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A1628" w:val="clear"/>
            <w:tcMar>
              <w:top w:type="dxa" w:w="1200"/>
              <w:left w:type="dxa" w:w="1440"/>
              <w:bottom w:type="dxa" w:w="240"/>
              <w:right w:type="dxa" w:w="1440"/>
            </w:tcMar>
          </w:tcPr>
          <w:p>
            <w:pPr>
              <w:spacing w:before="0" w:after="80"/>
            </w:pPr>
            <w:r>
              <w:rPr>
                <w:rFonts w:ascii="Calibri" w:cs="Calibri" w:eastAsia="Calibri" w:hAnsi="Calibri"/>
                <w:b/>
                <w:bCs/>
                <w:color w:val="FFFFFF"/>
                <w:spacing w:val="200"/>
                <w:sz w:val="64"/>
                <w:szCs w:val="64"/>
              </w:rPr>
              <w:t xml:space="preserve">ESHERIA</w:t>
            </w:r>
          </w:p>
          <w:p>
            <w:pPr>
              <w:spacing w:before="0" w:after="160"/>
            </w:pPr>
            <w:r>
              <w:rPr>
                <w:rFonts w:ascii="Calibri" w:cs="Calibri" w:eastAsia="Calibri" w:hAnsi="Calibri"/>
                <w:b/>
                <w:bCs/>
                <w:color w:val="00A884"/>
                <w:spacing w:val="60"/>
                <w:sz w:val="36"/>
                <w:szCs w:val="36"/>
              </w:rPr>
              <w:t xml:space="preserve">LEGAL WORKFLOW OPERATING SYSTEM</w:t>
            </w:r>
          </w:p>
          <w:p>
            <w:pPr>
              <w:pBdr>
                <w:bottom w:val="single" w:color="00A884" w:sz="4" w:space="8"/>
              </w:pBdr>
              <w:spacing w:before="0" w:after="0"/>
            </w:pPr>
            <w:r>
              <w:rPr>
                <w:sz w:val="22"/>
                <w:szCs w:val="22"/>
              </w:rPr>
              <w:t xml:space="preserve"/>
            </w:r>
          </w:p>
        </w:tc>
      </w:tr>
      <w:tr>
        <w:tc>
          <w:tcPr>
            <w:tcW w:type="dxa" w:w="12240"/>
            <w:tcBorders>
              <w:top w:val="none" w:color="FFFFFF" w:sz="0"/>
              <w:left w:val="none" w:color="FFFFFF" w:sz="0"/>
              <w:bottom w:val="none" w:color="FFFFFF" w:sz="0"/>
              <w:right w:val="none" w:color="FFFFFF" w:sz="0"/>
            </w:tcBorders>
            <w:shd w:fill="0A1628" w:val="clear"/>
            <w:tcMar>
              <w:top w:type="dxa" w:w="160"/>
              <w:left w:type="dxa" w:w="1440"/>
              <w:bottom w:type="dxa" w:w="240"/>
              <w:right w:type="dxa" w:w="1440"/>
            </w:tcMar>
          </w:tcPr>
          <w:p>
            <w:pPr>
              <w:spacing w:before="0" w:after="80"/>
            </w:pPr>
            <w:r>
              <w:rPr>
                <w:rFonts w:ascii="Calibri" w:cs="Calibri" w:eastAsia="Calibri" w:hAnsi="Calibri"/>
                <w:color w:val="8A9BB0"/>
                <w:sz w:val="26"/>
                <w:szCs w:val="26"/>
              </w:rPr>
              <w:t xml:space="preserve">Executive Proposal  ·  CEO Review Copy</w:t>
            </w:r>
          </w:p>
        </w:tc>
      </w:tr>
      <w:tr>
        <w:tc>
          <w:tcPr>
            <w:tcW w:type="dxa" w:w="12240"/>
            <w:tcBorders>
              <w:top w:val="none" w:color="FFFFFF" w:sz="0"/>
              <w:left w:val="none" w:color="FFFFFF" w:sz="0"/>
              <w:bottom w:val="none" w:color="FFFFFF" w:sz="0"/>
              <w:right w:val="none" w:color="FFFFFF" w:sz="0"/>
            </w:tcBorders>
            <w:shd w:fill="0D1E36" w:val="clear"/>
            <w:tcMar>
              <w:top w:type="dxa" w:w="600"/>
              <w:left w:type="dxa" w:w="1440"/>
              <w:bottom w:type="dxa" w:w="800"/>
              <w:right w:type="dxa" w:w="1440"/>
            </w:tcMar>
          </w:tcPr>
          <w:p>
            <w:pPr>
              <w:spacing w:before="0" w:after="100"/>
            </w:pPr>
            <w:r>
              <w:rPr>
                <w:rFonts w:ascii="Calibri" w:cs="Calibri" w:eastAsia="Calibri" w:hAnsi="Calibri"/>
                <w:color w:val="6B7E99"/>
                <w:spacing w:val="40"/>
                <w:sz w:val="18"/>
                <w:szCs w:val="18"/>
              </w:rPr>
              <w:t xml:space="preserve">Prepared by</w:t>
            </w:r>
          </w:p>
          <w:p>
            <w:pPr>
              <w:spacing w:before="0" w:after="100"/>
            </w:pPr>
            <w:r>
              <w:rPr>
                <w:rFonts w:ascii="Calibri" w:cs="Calibri" w:eastAsia="Calibri" w:hAnsi="Calibri"/>
                <w:b/>
                <w:bCs/>
                <w:color w:val="FFFFFF"/>
                <w:sz w:val="28"/>
                <w:szCs w:val="28"/>
              </w:rPr>
              <w:t xml:space="preserve">Vincent Nyamao</w:t>
            </w:r>
          </w:p>
          <w:p>
            <w:pPr>
              <w:spacing w:before="0" w:after="160"/>
            </w:pPr>
            <w:r>
              <w:t xml:space="preserve"/>
            </w:r>
          </w:p>
          <w:p>
            <w:pPr>
              <w:spacing w:before="0" w:after="80"/>
            </w:pPr>
            <w:r>
              <w:rPr>
                <w:rFonts w:ascii="Calibri" w:cs="Calibri" w:eastAsia="Calibri" w:hAnsi="Calibri"/>
                <w:color w:val="6B7E99"/>
                <w:spacing w:val="40"/>
                <w:sz w:val="18"/>
                <w:szCs w:val="18"/>
              </w:rPr>
              <w:t xml:space="preserve">Prepared for</w:t>
            </w:r>
          </w:p>
          <w:p>
            <w:pPr>
              <w:spacing w:before="0" w:after="80"/>
            </w:pPr>
            <w:r>
              <w:rPr>
                <w:rFonts w:ascii="Calibri" w:cs="Calibri" w:eastAsia="Calibri" w:hAnsi="Calibri"/>
                <w:b/>
                <w:bCs/>
                <w:color w:val="00A884"/>
                <w:sz w:val="26"/>
                <w:szCs w:val="26"/>
              </w:rPr>
              <w:t xml:space="preserve">Chief Executive Officer, Esheria</w:t>
            </w:r>
          </w:p>
          <w:p>
            <w:pPr>
              <w:spacing w:before="0" w:after="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800"/>
              <w:gridCol w:w="1560"/>
            </w:tblGrid>
            <w:tr>
              <w:trPr>
                <w:tblHeader/>
              </w:trPr>
              <w:tc>
                <w:tcPr>
                  <w:tcW w:type="dxa" w:w="4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Document</w:t>
                  </w:r>
                </w:p>
              </w:tc>
              <w:tc>
                <w:tcPr>
                  <w:tcW w:type="dxa" w:w="18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Status</w:t>
                  </w:r>
                </w:p>
              </w:tc>
              <w:tc>
                <w:tcPr>
                  <w:tcW w:type="dxa" w:w="18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Classification</w:t>
                  </w:r>
                </w:p>
              </w:tc>
              <w:tc>
                <w:tcPr>
                  <w:tcW w:type="dxa" w:w="15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Date</w:t>
                  </w:r>
                </w:p>
              </w:tc>
            </w:tr>
            <w:tr>
              <w:tc>
                <w:tcPr>
                  <w:tcW w:type="dxa" w:w="4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 Legal Workflow OS — Executive Proposal</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FINAL DRAFT</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CONFIDENTIAL</w:t>
                  </w:r>
                </w:p>
              </w:tc>
              <w:tc>
                <w:tcPr>
                  <w:tcW w:type="dxa" w:w="15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2025</w:t>
                  </w:r>
                </w:p>
              </w:tc>
            </w:tr>
          </w:tbl>
          <w:p/>
        </w:tc>
      </w:tr>
    </w:tbl>
    <w:p>
      <w:r>
        <w:br w:type="page"/>
      </w:r>
    </w:p>
    <w:p>
      <w:pPr>
        <w:sectPr>
          <w:pgSz w:w="12240" w:h="15840" w:orient="portrait"/>
          <w:pgMar w:top="0" w:right="0" w:bottom="1080" w:left="0" w:header="708" w:footer="708" w:gutter="0"/>
          <w:pgNumType/>
          <w:docGrid w:linePitch="360"/>
        </w:sectPr>
      </w:pPr>
    </w:p>
    <w:p>
      <w:pPr>
        <w:pStyle w:val="Heading1"/>
        <w:pBdr>
          <w:bottom w:val="single" w:color="00A884" w:sz="6" w:space="4"/>
        </w:pBdr>
        <w:spacing w:before="360" w:after="160"/>
      </w:pPr>
      <w:r>
        <w:rPr>
          <w:rFonts w:ascii="Calibri" w:cs="Calibri" w:eastAsia="Calibri" w:hAnsi="Calibri"/>
          <w:b/>
          <w:bCs/>
          <w:color w:val="0A1628"/>
          <w:sz w:val="36"/>
          <w:szCs w:val="36"/>
        </w:rPr>
        <w:t xml:space="preserve">Executive Summary</w:t>
      </w:r>
    </w:p>
    <w:p>
      <w:pPr>
        <w:spacing w:before="60" w:after="100"/>
      </w:pPr>
      <w:r>
        <w:rPr>
          <w:rFonts w:ascii="Calibri" w:cs="Calibri" w:eastAsia="Calibri" w:hAnsi="Calibri"/>
          <w:color w:val="1A1A2E"/>
          <w:sz w:val="22"/>
          <w:szCs w:val="22"/>
        </w:rPr>
        <w:t xml:space="preserve">Esheria currently operates five strong legal AI capabilities: document OCR and ingestion, contract compliance analysis, legal research and retrieval, AI-assisted drafting, and analytics infrastructure. Each of these capabilities is credible, functional, and increasingly relied upon by users. However, they operate as largely isolated systems — without a shared data model, shared workflow state, or coordinated orchestration layer connecting them into a coherent product experience.</w:t>
      </w:r>
    </w:p>
    <w:p>
      <w:pPr>
        <w:spacing w:before="0" w:after="0"/>
      </w:pPr>
      <w:r>
        <w:t xml:space="preserve"/>
      </w:r>
    </w:p>
    <w:p>
      <w:pPr>
        <w:spacing w:before="60" w:after="100"/>
      </w:pPr>
      <w:r>
        <w:rPr>
          <w:rFonts w:ascii="Calibri" w:cs="Calibri" w:eastAsia="Calibri" w:hAnsi="Calibri"/>
          <w:color w:val="1A1A2E"/>
          <w:sz w:val="22"/>
          <w:szCs w:val="22"/>
        </w:rPr>
        <w:t xml:space="preserve">This proposal argues that Esheria's most significant strategic opportunity in the near term is not to add a sixth capability, but to build the layer above the five that already exist: a Legal Workflow Operating System — a programmable orchestration platform that unifies current capabilities into enterprise-grade legal workflows with audit trails, human-in-loop review, role-based governance, and institutional analytics.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00A884" w:sz="8"/>
              <w:left w:val="single" w:color="00A884" w:sz="8"/>
              <w:bottom w:val="single" w:color="00A884" w:sz="8"/>
              <w:right w:val="none" w:color="FFFFFF" w:sz="0"/>
            </w:tcBorders>
            <w:shd w:fill="00A884" w:val="clear"/>
            <w:tcMar>
              <w:top w:type="dxa" w:w="120"/>
              <w:left w:type="dxa" w:w="140"/>
              <w:bottom w:type="dxa" w:w="120"/>
              <w:right w:type="dxa" w:w="0"/>
            </w:tcMar>
            <w:vAlign w:val="center"/>
          </w:tcPr>
          <w:p>
            <w:pPr>
              <w:jc w:val="center"/>
            </w:pPr>
            <w:r>
              <w:rPr>
                <w:sz w:val="1"/>
                <w:szCs w:val="1"/>
              </w:rPr>
              <w:t xml:space="preserve"/>
            </w:r>
          </w:p>
        </w:tc>
        <w:tc>
          <w:tcPr>
            <w:tcW w:type="dxa" w:w="9160"/>
            <w:tcBorders>
              <w:top w:val="single" w:color="00A884" w:sz="4"/>
              <w:left w:val="none" w:color="FFFFFF" w:sz="0"/>
              <w:bottom w:val="single" w:color="00A884" w:sz="4"/>
              <w:right w:val="single" w:color="00A884" w:sz="4"/>
            </w:tcBorders>
            <w:shd w:fill="E6F7F4" w:val="clear"/>
            <w:tcMar>
              <w:top w:type="dxa" w:w="120"/>
              <w:left w:type="dxa" w:w="200"/>
              <w:bottom w:type="dxa" w:w="120"/>
              <w:right w:type="dxa" w:w="160"/>
            </w:tcMar>
          </w:tcPr>
          <w:p>
            <w:pPr>
              <w:spacing w:before="0" w:after="60"/>
            </w:pPr>
            <w:r>
              <w:rPr>
                <w:rFonts w:ascii="Calibri" w:cs="Calibri" w:eastAsia="Calibri" w:hAnsi="Calibri"/>
                <w:b/>
                <w:bCs/>
                <w:color w:val="00A884"/>
                <w:spacing w:val="40"/>
                <w:sz w:val="18"/>
                <w:szCs w:val="18"/>
              </w:rPr>
              <w:t xml:space="preserve">KEY INSIGHT</w:t>
            </w:r>
          </w:p>
          <w:p>
            <w:pPr>
              <w:spacing w:before="0" w:after="0"/>
            </w:pPr>
            <w:r>
              <w:rPr>
                <w:rFonts w:ascii="Calibri" w:cs="Calibri" w:eastAsia="Calibri" w:hAnsi="Calibri"/>
                <w:i/>
                <w:iCs/>
                <w:color w:val="1A1A2E"/>
                <w:sz w:val="22"/>
                <w:szCs w:val="22"/>
              </w:rPr>
              <w:t xml:space="preserve">Esheria's strongest long-term moat may come from becoming the programmable operating layer through which organisations run intelligent legal workflows — not from accumulating isolated AI features.</w:t>
            </w:r>
          </w:p>
        </w:tc>
      </w:tr>
    </w:tbl>
    <w:p>
      <w:pPr>
        <w:spacing w:before="0" w:after="160"/>
      </w:pPr>
      <w:r>
        <w:t xml:space="preserve"/>
      </w:r>
    </w:p>
    <w:p>
      <w:pPr>
        <w:spacing w:before="60" w:after="100"/>
      </w:pPr>
      <w:r>
        <w:rPr>
          <w:rFonts w:ascii="Calibri" w:cs="Calibri" w:eastAsia="Calibri" w:hAnsi="Calibri"/>
          <w:color w:val="1A1A2E"/>
          <w:sz w:val="22"/>
          <w:szCs w:val="22"/>
        </w:rPr>
        <w:t xml:space="preserve">The first wedge is a Contract Intake and Review workflow: a narrow, high-value B2B workflow that uses all five existing capabilities in sequence, demonstrates the full orchestration thesis, and creates a compelling enterprise story that isolated features cannot match.</w:t>
      </w:r>
    </w:p>
    <w:p>
      <w:pPr>
        <w:spacing w:before="0" w:after="0"/>
      </w:pPr>
      <w:r>
        <w:t xml:space="preserve"/>
      </w:r>
    </w:p>
    <w:p>
      <w:pPr>
        <w:spacing w:before="60" w:after="100"/>
      </w:pPr>
      <w:r>
        <w:rPr>
          <w:rFonts w:ascii="Calibri" w:cs="Calibri" w:eastAsia="Calibri" w:hAnsi="Calibri"/>
          <w:color w:val="1A1A2E"/>
          <w:sz w:val="22"/>
          <w:szCs w:val="22"/>
        </w:rPr>
        <w:t xml:space="preserve">This proposal requests strategic alignment on the platform direction, greenlight for a Phase 0-to-Phase-2 MVP build, clarity on platform ownership, and identification of a pilot B2B target. It does not ask for a full platform rebuild — only for permission to prove the thesis on a narrow, well-scoped MVP on top of capabilities that already exist.</w:t>
      </w:r>
    </w:p>
    <w:p>
      <w:pPr>
        <w:pBdr>
          <w:bottom w:val="single" w:color="CBD5E0" w:sz="4" w:space="1"/>
        </w:pBdr>
        <w:spacing w:before="160" w:after="160"/>
      </w:pPr>
      <w:r>
        <w:t xml:space="preserve"/>
      </w:r>
    </w:p>
    <w:p>
      <w:pPr>
        <w:pStyle w:val="Heading1"/>
        <w:pBdr>
          <w:bottom w:val="single" w:color="00A884" w:sz="6" w:space="4"/>
        </w:pBdr>
        <w:spacing w:before="360" w:after="160"/>
      </w:pPr>
      <w:r>
        <w:rPr>
          <w:rFonts w:ascii="Calibri" w:cs="Calibri" w:eastAsia="Calibri" w:hAnsi="Calibri"/>
          <w:b/>
          <w:bCs/>
          <w:color w:val="0A1628"/>
          <w:sz w:val="36"/>
          <w:szCs w:val="36"/>
        </w:rPr>
        <w:t xml:space="preserve">1.  The Strategic Problem</w:t>
      </w:r>
    </w:p>
    <w:p>
      <w:pPr>
        <w:pStyle w:val="Heading2"/>
        <w:spacing w:before="280" w:after="120"/>
      </w:pPr>
      <w:r>
        <w:rPr>
          <w:rFonts w:ascii="Calibri" w:cs="Calibri" w:eastAsia="Calibri" w:hAnsi="Calibri"/>
          <w:b/>
          <w:bCs/>
          <w:color w:val="1E3A5F"/>
          <w:sz w:val="28"/>
          <w:szCs w:val="28"/>
        </w:rPr>
        <w:t xml:space="preserve">1.1  Capability Strength Without Platform Coherence</w:t>
      </w:r>
    </w:p>
    <w:p>
      <w:pPr>
        <w:spacing w:before="60" w:after="100"/>
      </w:pPr>
      <w:r>
        <w:rPr>
          <w:rFonts w:ascii="Calibri" w:cs="Calibri" w:eastAsia="Calibri" w:hAnsi="Calibri"/>
          <w:color w:val="1A1A2E"/>
          <w:sz w:val="22"/>
          <w:szCs w:val="22"/>
        </w:rPr>
        <w:t xml:space="preserve">Esheria has reached a point that many early-stage AI companies arrive at: the individual capabilities are strong, but the product lacks a unifying layer. This is not a failure — it is a natural consequence of building quickly and shipping value. But left unaddressed, it creates compounding risks.</w:t>
      </w:r>
    </w:p>
    <w:p>
      <w:pPr>
        <w:spacing w:before="0" w:after="0"/>
      </w:pPr>
      <w:r>
        <w:t xml:space="preserve"/>
      </w:r>
    </w:p>
    <w:p>
      <w:pPr>
        <w:spacing w:before="60" w:after="100"/>
      </w:pPr>
      <w:r>
        <w:rPr>
          <w:rFonts w:ascii="Calibri" w:cs="Calibri" w:eastAsia="Calibri" w:hAnsi="Calibri"/>
          <w:color w:val="1A1A2E"/>
          <w:sz w:val="22"/>
          <w:szCs w:val="22"/>
        </w:rPr>
        <w:t xml:space="preserve">The current state across Esheria's ecosystem shows signs of:</w:t>
      </w:r>
    </w:p>
    <w:p>
      <w:pPr>
        <w:pStyle w:val="ListParagraph"/>
        <w:numPr>
          <w:ilvl w:val="0"/>
          <w:numId w:val="2"/>
        </w:numPr>
        <w:spacing w:before="40" w:after="60"/>
      </w:pPr>
      <w:r>
        <w:rPr>
          <w:rFonts w:ascii="Calibri" w:cs="Calibri" w:eastAsia="Calibri" w:hAnsi="Calibri"/>
          <w:color w:val="1A1A2E"/>
          <w:sz w:val="22"/>
          <w:szCs w:val="22"/>
        </w:rPr>
        <w:t xml:space="preserve">Authentication and identity models that differ across product surfaces</w:t>
      </w:r>
    </w:p>
    <w:p>
      <w:pPr>
        <w:pStyle w:val="ListParagraph"/>
        <w:numPr>
          <w:ilvl w:val="0"/>
          <w:numId w:val="2"/>
        </w:numPr>
        <w:spacing w:before="40" w:after="60"/>
      </w:pPr>
      <w:r>
        <w:rPr>
          <w:rFonts w:ascii="Calibri" w:cs="Calibri" w:eastAsia="Calibri" w:hAnsi="Calibri"/>
          <w:color w:val="1A1A2E"/>
          <w:sz w:val="22"/>
          <w:szCs w:val="22"/>
        </w:rPr>
        <w:t xml:space="preserve">Overlapping drafting and review capability that exists in parallel without coordination</w:t>
      </w:r>
    </w:p>
    <w:p>
      <w:pPr>
        <w:pStyle w:val="ListParagraph"/>
        <w:numPr>
          <w:ilvl w:val="0"/>
          <w:numId w:val="2"/>
        </w:numPr>
        <w:spacing w:before="40" w:after="60"/>
      </w:pPr>
      <w:r>
        <w:rPr>
          <w:rFonts w:ascii="Calibri" w:cs="Calibri" w:eastAsia="Calibri" w:hAnsi="Calibri"/>
          <w:color w:val="1A1A2E"/>
          <w:sz w:val="22"/>
          <w:szCs w:val="22"/>
        </w:rPr>
        <w:t xml:space="preserve">No shared canonical representation of core business objects — Documents, Matters, Clauses, Risks — across services</w:t>
      </w:r>
    </w:p>
    <w:p>
      <w:pPr>
        <w:pStyle w:val="ListParagraph"/>
        <w:numPr>
          <w:ilvl w:val="0"/>
          <w:numId w:val="2"/>
        </w:numPr>
        <w:spacing w:before="40" w:after="60"/>
      </w:pPr>
      <w:r>
        <w:rPr>
          <w:rFonts w:ascii="Calibri" w:cs="Calibri" w:eastAsia="Calibri" w:hAnsi="Calibri"/>
          <w:color w:val="1A1A2E"/>
          <w:sz w:val="22"/>
          <w:szCs w:val="22"/>
        </w:rPr>
        <w:t xml:space="preserve">Workflow state that is not preserved or transferable between systems</w:t>
      </w:r>
    </w:p>
    <w:p>
      <w:pPr>
        <w:pStyle w:val="ListParagraph"/>
        <w:numPr>
          <w:ilvl w:val="0"/>
          <w:numId w:val="2"/>
        </w:numPr>
        <w:spacing w:before="40" w:after="60"/>
      </w:pPr>
      <w:r>
        <w:rPr>
          <w:rFonts w:ascii="Calibri" w:cs="Calibri" w:eastAsia="Calibri" w:hAnsi="Calibri"/>
          <w:color w:val="1A1A2E"/>
          <w:sz w:val="22"/>
          <w:szCs w:val="22"/>
        </w:rPr>
        <w:t xml:space="preserve">Limited direct service-to-service composition</w:t>
      </w:r>
    </w:p>
    <w:p>
      <w:pPr>
        <w:pStyle w:val="ListParagraph"/>
        <w:numPr>
          <w:ilvl w:val="0"/>
          <w:numId w:val="2"/>
        </w:numPr>
        <w:spacing w:before="40" w:after="60"/>
      </w:pPr>
      <w:r>
        <w:rPr>
          <w:rFonts w:ascii="Calibri" w:cs="Calibri" w:eastAsia="Calibri" w:hAnsi="Calibri"/>
          <w:color w:val="1A1A2E"/>
          <w:sz w:val="22"/>
          <w:szCs w:val="22"/>
        </w:rPr>
        <w:t xml:space="preserve">Analytics that serve Esheria's internal operations but do not yet serve customer organisations as operational intelligence</w:t>
      </w:r>
    </w:p>
    <w:p>
      <w:pPr>
        <w:spacing w:before="0" w:after="160"/>
      </w:pPr>
      <w:r>
        <w:t xml:space="preserve"/>
      </w:r>
    </w:p>
    <w:p>
      <w:pPr>
        <w:pStyle w:val="Heading2"/>
        <w:spacing w:before="280" w:after="120"/>
      </w:pPr>
      <w:r>
        <w:rPr>
          <w:rFonts w:ascii="Calibri" w:cs="Calibri" w:eastAsia="Calibri" w:hAnsi="Calibri"/>
          <w:b/>
          <w:bCs/>
          <w:color w:val="1E3A5F"/>
          <w:sz w:val="28"/>
          <w:szCs w:val="28"/>
        </w:rPr>
        <w:t xml:space="preserve">1.2  The Enterprise Buyer Reality</w:t>
      </w:r>
    </w:p>
    <w:p>
      <w:pPr>
        <w:spacing w:before="60" w:after="100"/>
      </w:pPr>
      <w:r>
        <w:rPr>
          <w:rFonts w:ascii="Calibri" w:cs="Calibri" w:eastAsia="Calibri" w:hAnsi="Calibri"/>
          <w:color w:val="1A1A2E"/>
          <w:sz w:val="22"/>
          <w:szCs w:val="22"/>
        </w:rPr>
        <w:t xml:space="preserve">B2B enterprise buyers in legal, compliance, procurement, and financial services do not buy isolated AI features indefinitely. Their procurement and adoption cycles are driven by a different set of requirements: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What B2B Buyers Actually Require</w:t>
            </w:r>
          </w:p>
        </w:tc>
        <w:tc>
          <w:tcPr>
            <w:tcW w:type="dxa" w:w="43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Current Esheria Position</w:t>
            </w:r>
          </w:p>
        </w:tc>
      </w:tr>
      <w:tr>
        <w:tc>
          <w:tcPr>
            <w:tcW w:type="dxa" w:w="5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Repeatable, auditable workflows</w:t>
            </w:r>
          </w:p>
        </w:tc>
        <w:tc>
          <w:tcPr>
            <w:tcW w:type="dxa" w:w="4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Features without shared workflow state</w:t>
            </w:r>
          </w:p>
        </w:tc>
      </w:tr>
      <w:tr>
        <w:tc>
          <w:tcPr>
            <w:tcW w:type="dxa" w:w="5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Role-based access and controls</w:t>
            </w:r>
          </w:p>
        </w:tc>
        <w:tc>
          <w:tcPr>
            <w:tcW w:type="dxa" w:w="4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Varies by product surface</w:t>
            </w:r>
          </w:p>
        </w:tc>
      </w:tr>
      <w:tr>
        <w:tc>
          <w:tcPr>
            <w:tcW w:type="dxa" w:w="5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Integration with internal systems (DMS, CRM, ERP)</w:t>
            </w:r>
          </w:p>
        </w:tc>
        <w:tc>
          <w:tcPr>
            <w:tcW w:type="dxa" w:w="4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Not yet systematised</w:t>
            </w:r>
          </w:p>
        </w:tc>
      </w:tr>
      <w:tr>
        <w:tc>
          <w:tcPr>
            <w:tcW w:type="dxa" w:w="5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Approval chains and escalation paths</w:t>
            </w:r>
          </w:p>
        </w:tc>
        <w:tc>
          <w:tcPr>
            <w:tcW w:type="dxa" w:w="4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Not present as platform primitives</w:t>
            </w:r>
          </w:p>
        </w:tc>
      </w:tr>
      <w:tr>
        <w:tc>
          <w:tcPr>
            <w:tcW w:type="dxa" w:w="5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Institutional analytics and reporting</w:t>
            </w:r>
          </w:p>
        </w:tc>
        <w:tc>
          <w:tcPr>
            <w:tcW w:type="dxa" w:w="4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Internal to Esheria only</w:t>
            </w:r>
          </w:p>
        </w:tc>
      </w:tr>
      <w:tr>
        <w:tc>
          <w:tcPr>
            <w:tcW w:type="dxa" w:w="5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Evidence-backed AI outputs</w:t>
            </w:r>
          </w:p>
        </w:tc>
        <w:tc>
          <w:tcPr>
            <w:tcW w:type="dxa" w:w="4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Output-only, not linked to source</w:t>
            </w:r>
          </w:p>
        </w:tc>
      </w:tr>
      <w:tr>
        <w:tc>
          <w:tcPr>
            <w:tcW w:type="dxa" w:w="5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Explainable and reviewable recommendations</w:t>
            </w:r>
          </w:p>
        </w:tc>
        <w:tc>
          <w:tcPr>
            <w:tcW w:type="dxa" w:w="43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AI output without review layer</w:t>
            </w:r>
          </w:p>
        </w:tc>
      </w:tr>
      <w:tr>
        <w:tc>
          <w:tcPr>
            <w:tcW w:type="dxa" w:w="5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Compliance and audit trails</w:t>
            </w:r>
          </w:p>
        </w:tc>
        <w:tc>
          <w:tcPr>
            <w:tcW w:type="dxa" w:w="43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Not present as first-class concern</w:t>
            </w:r>
          </w:p>
        </w:tc>
      </w:tr>
    </w:tbl>
    <w:p>
      <w:pPr>
        <w:spacing w:before="0" w:after="160"/>
      </w:pPr>
      <w:r>
        <w:t xml:space="preserve"/>
      </w:r>
    </w:p>
    <w:p>
      <w:pPr>
        <w:spacing w:before="60" w:after="100"/>
      </w:pPr>
      <w:r>
        <w:rPr>
          <w:rFonts w:ascii="Calibri" w:cs="Calibri" w:eastAsia="Calibri" w:hAnsi="Calibri"/>
          <w:color w:val="1A1A2E"/>
          <w:sz w:val="22"/>
          <w:szCs w:val="22"/>
        </w:rPr>
        <w:t xml:space="preserve">A legal team at a bank, a procurement function at a corporation, or a compliance office at a regulated firm does not want to buy an OCR tool, then a drafting tool, then a compliance checker. They want to buy: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47F1A" w:sz="8"/>
              <w:left w:val="single" w:color="C47F1A" w:sz="8"/>
              <w:bottom w:val="single" w:color="C47F1A" w:sz="8"/>
              <w:right w:val="none" w:color="FFFFFF" w:sz="0"/>
            </w:tcBorders>
            <w:shd w:fill="C47F1A" w:val="clear"/>
            <w:tcMar>
              <w:top w:type="dxa" w:w="120"/>
              <w:left w:type="dxa" w:w="140"/>
              <w:bottom w:type="dxa" w:w="120"/>
              <w:right w:type="dxa" w:w="0"/>
            </w:tcMar>
            <w:vAlign w:val="center"/>
          </w:tcPr>
          <w:p>
            <w:pPr>
              <w:jc w:val="center"/>
            </w:pPr>
            <w:r>
              <w:rPr>
                <w:sz w:val="1"/>
                <w:szCs w:val="1"/>
              </w:rPr>
              <w:t xml:space="preserve"/>
            </w:r>
          </w:p>
        </w:tc>
        <w:tc>
          <w:tcPr>
            <w:tcW w:type="dxa" w:w="9160"/>
            <w:tcBorders>
              <w:top w:val="single" w:color="C47F1A" w:sz="4"/>
              <w:left w:val="none" w:color="FFFFFF" w:sz="0"/>
              <w:bottom w:val="single" w:color="C47F1A" w:sz="4"/>
              <w:right w:val="single" w:color="C47F1A" w:sz="4"/>
            </w:tcBorders>
            <w:shd w:fill="FDF3E0" w:val="clear"/>
            <w:tcMar>
              <w:top w:type="dxa" w:w="120"/>
              <w:left w:type="dxa" w:w="200"/>
              <w:bottom w:type="dxa" w:w="120"/>
              <w:right w:type="dxa" w:w="160"/>
            </w:tcMar>
          </w:tcPr>
          <w:p>
            <w:pPr>
              <w:spacing w:before="0" w:after="60"/>
            </w:pPr>
            <w:r>
              <w:rPr>
                <w:rFonts w:ascii="Calibri" w:cs="Calibri" w:eastAsia="Calibri" w:hAnsi="Calibri"/>
                <w:b/>
                <w:bCs/>
                <w:color w:val="C47F1A"/>
                <w:spacing w:val="40"/>
                <w:sz w:val="18"/>
                <w:szCs w:val="18"/>
              </w:rPr>
              <w:t xml:space="preserve">THE ENTERPRISE WORKFLOW IMPERATIVE</w:t>
            </w:r>
          </w:p>
          <w:p>
            <w:pPr>
              <w:spacing w:before="0" w:after="0"/>
            </w:pPr>
            <w:r>
              <w:rPr>
                <w:rFonts w:ascii="Calibri" w:cs="Calibri" w:eastAsia="Calibri" w:hAnsi="Calibri"/>
                <w:i/>
                <w:iCs/>
                <w:color w:val="1A1A2E"/>
                <w:sz w:val="22"/>
                <w:szCs w:val="22"/>
              </w:rPr>
              <w:t xml:space="preserve">Upload a contract → analyze it → flag risks → draft corrections → route for review → obtain approval → close the matter → generate a compliance report. That is one workflow. That is what they will pay for.</w:t>
            </w:r>
          </w:p>
        </w:tc>
      </w:tr>
    </w:tbl>
    <w:p>
      <w:pPr>
        <w:spacing w:before="0" w:after="160"/>
      </w:pPr>
      <w:r>
        <w:t xml:space="preserve"/>
      </w:r>
    </w:p>
    <w:p>
      <w:pPr>
        <w:pStyle w:val="Heading2"/>
        <w:spacing w:before="280" w:after="120"/>
      </w:pPr>
      <w:r>
        <w:rPr>
          <w:rFonts w:ascii="Calibri" w:cs="Calibri" w:eastAsia="Calibri" w:hAnsi="Calibri"/>
          <w:b/>
          <w:bCs/>
          <w:color w:val="1E3A5F"/>
          <w:sz w:val="28"/>
          <w:szCs w:val="28"/>
        </w:rPr>
        <w:t xml:space="preserve">1.3  The Fragmentation Risk</w:t>
      </w:r>
    </w:p>
    <w:p>
      <w:pPr>
        <w:spacing w:before="60" w:after="100"/>
      </w:pPr>
      <w:r>
        <w:rPr>
          <w:rFonts w:ascii="Calibri" w:cs="Calibri" w:eastAsia="Calibri" w:hAnsi="Calibri"/>
          <w:color w:val="1A1A2E"/>
          <w:sz w:val="22"/>
          <w:szCs w:val="22"/>
        </w:rPr>
        <w:t xml:space="preserve">Without a unifying platform layer, Esheria faces the risk of capability fragmentation becoming a growth bottleneck. Each new product surface adds complexity without adding the compounding value that a platform architecture would create. The strategic risk is not that the capabilities are weak — they are not. The risk is that they remain five separate things rather than one powerful system.</w:t>
      </w:r>
    </w:p>
    <w:p>
      <w:pPr>
        <w:pBdr>
          <w:bottom w:val="single" w:color="CBD5E0" w:sz="4" w:space="1"/>
        </w:pBdr>
        <w:spacing w:before="160" w:after="160"/>
      </w:pPr>
      <w:r>
        <w:t xml:space="preserve"/>
      </w:r>
    </w:p>
    <w:p>
      <w:pPr>
        <w:pStyle w:val="Heading1"/>
        <w:pBdr>
          <w:bottom w:val="single" w:color="00A884" w:sz="6" w:space="4"/>
        </w:pBdr>
        <w:spacing w:before="360" w:after="160"/>
      </w:pPr>
      <w:r>
        <w:rPr>
          <w:rFonts w:ascii="Calibri" w:cs="Calibri" w:eastAsia="Calibri" w:hAnsi="Calibri"/>
          <w:b/>
          <w:bCs/>
          <w:color w:val="0A1628"/>
          <w:sz w:val="36"/>
          <w:szCs w:val="36"/>
        </w:rPr>
        <w:t xml:space="preserve">2.  The Platform Thesis</w:t>
      </w:r>
    </w:p>
    <w:p>
      <w:pPr>
        <w:pStyle w:val="Heading2"/>
        <w:spacing w:before="280" w:after="120"/>
      </w:pPr>
      <w:r>
        <w:rPr>
          <w:rFonts w:ascii="Calibri" w:cs="Calibri" w:eastAsia="Calibri" w:hAnsi="Calibri"/>
          <w:b/>
          <w:bCs/>
          <w:color w:val="1E3A5F"/>
          <w:sz w:val="28"/>
          <w:szCs w:val="28"/>
        </w:rPr>
        <w:t xml:space="preserve">2.1  From Features to Operating Layer</w:t>
      </w:r>
    </w:p>
    <w:p>
      <w:pPr>
        <w:spacing w:before="60" w:after="100"/>
      </w:pPr>
      <w:r>
        <w:rPr>
          <w:rFonts w:ascii="Calibri" w:cs="Calibri" w:eastAsia="Calibri" w:hAnsi="Calibri"/>
          <w:color w:val="1A1A2E"/>
          <w:sz w:val="22"/>
          <w:szCs w:val="22"/>
        </w:rPr>
        <w:t xml:space="preserve">The core thesis of this proposal is simple and direct: Esheria should evolve from a collection of legal AI capabilities into a programmable legal operations platform — the operating layer through which organisations run intelligent legal workflows.</w:t>
      </w:r>
    </w:p>
    <w:p>
      <w:pPr>
        <w:spacing w:before="0" w:after="0"/>
      </w:pPr>
      <w:r>
        <w:t xml:space="preserve"/>
      </w:r>
    </w:p>
    <w:p>
      <w:pPr>
        <w:spacing w:before="60" w:after="100"/>
      </w:pPr>
      <w:r>
        <w:rPr>
          <w:rFonts w:ascii="Calibri" w:cs="Calibri" w:eastAsia="Calibri" w:hAnsi="Calibri"/>
          <w:color w:val="1A1A2E"/>
          <w:sz w:val="22"/>
          <w:szCs w:val="22"/>
        </w:rPr>
        <w:t xml:space="preserve">This is a category shift, not merely a product expansion. The difference between a feature company and a platform company is not just the number of features — it is the architecture of value delivery. A platform creates compounding value as each capability reinforces the others, as institutional data accumulates, and as workflow depth creates switching costs that isolated features never can.</w:t>
      </w:r>
    </w:p>
    <w:p>
      <w:pPr>
        <w:spacing w:before="0" w:after="0"/>
      </w:pPr>
      <w:r>
        <w:t xml:space="preserve"/>
      </w:r>
    </w:p>
    <w:p>
      <w:pPr>
        <w:pStyle w:val="Heading2"/>
        <w:spacing w:before="280" w:after="120"/>
      </w:pPr>
      <w:r>
        <w:rPr>
          <w:rFonts w:ascii="Calibri" w:cs="Calibri" w:eastAsia="Calibri" w:hAnsi="Calibri"/>
          <w:b/>
          <w:bCs/>
          <w:color w:val="1E3A5F"/>
          <w:sz w:val="28"/>
          <w:szCs w:val="28"/>
        </w:rPr>
        <w:t xml:space="preserve">2.2  What the Platform Means Concretely</w:t>
      </w:r>
    </w:p>
    <w:p>
      <w:pPr>
        <w:spacing w:before="60" w:after="100"/>
      </w:pPr>
      <w:r>
        <w:rPr>
          <w:rFonts w:ascii="Calibri" w:cs="Calibri" w:eastAsia="Calibri" w:hAnsi="Calibri"/>
          <w:color w:val="1A1A2E"/>
          <w:sz w:val="22"/>
          <w:szCs w:val="22"/>
        </w:rPr>
        <w:t xml:space="preserve">In concrete terms, the Esheria Legal Workflow OS means: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A884" w:sz="4"/>
              <w:left w:val="single" w:color="00A884" w:sz="4"/>
              <w:bottom w:val="single" w:color="00A884" w:sz="4"/>
              <w:right w:val="single" w:color="00A884" w:sz="4"/>
            </w:tcBorders>
            <w:shd w:fill="E6F7F4" w:val="clear"/>
            <w:tcMar>
              <w:top w:type="dxa" w:w="80"/>
              <w:left w:type="dxa" w:w="140"/>
              <w:bottom w:type="dxa" w:w="80"/>
              <w:right w:type="dxa" w:w="140"/>
            </w:tcMar>
          </w:tcPr>
          <w:p>
            <w:r>
              <w:rPr>
                <w:rFonts w:ascii="Calibri" w:cs="Calibri" w:eastAsia="Calibri" w:hAnsi="Calibri"/>
                <w:b/>
                <w:bCs/>
                <w:color w:val="00A884"/>
                <w:sz w:val="20"/>
                <w:szCs w:val="20"/>
              </w:rPr>
              <w:t xml:space="preserve">Shared Object Model</w:t>
            </w:r>
          </w:p>
        </w:tc>
        <w:tc>
          <w:tcPr>
            <w:tcW w:type="dxa" w:w="6360"/>
            <w:tcBorders>
              <w:top w:val="single" w:color="00A884" w:sz="4"/>
              <w:left w:val="single" w:color="00A884" w:sz="4"/>
              <w:bottom w:val="single" w:color="00A884" w:sz="4"/>
              <w:right w:val="single" w:color="00A884"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 canonical set of legal business objects — Organization, Matter, Document, Clause, Risk, WorkflowRun, Action, Review, Citation — that all services and agents operate on. Once defined, these objects become the shared language of the entire platform.</w:t>
            </w:r>
          </w:p>
        </w:tc>
      </w:tr>
      <w:tr>
        <w:tc>
          <w:tcPr>
            <w:tcW w:type="dxa" w:w="3000"/>
            <w:tcBorders>
              <w:top w:val="single" w:color="00A884" w:sz="4"/>
              <w:left w:val="single" w:color="00A884" w:sz="4"/>
              <w:bottom w:val="single" w:color="00A884" w:sz="4"/>
              <w:right w:val="single" w:color="00A884" w:sz="4"/>
            </w:tcBorders>
            <w:shd w:fill="E6F7F4" w:val="clear"/>
            <w:tcMar>
              <w:top w:type="dxa" w:w="80"/>
              <w:left w:type="dxa" w:w="140"/>
              <w:bottom w:type="dxa" w:w="80"/>
              <w:right w:type="dxa" w:w="140"/>
            </w:tcMar>
          </w:tcPr>
          <w:p>
            <w:r>
              <w:rPr>
                <w:rFonts w:ascii="Calibri" w:cs="Calibri" w:eastAsia="Calibri" w:hAnsi="Calibri"/>
                <w:b/>
                <w:bCs/>
                <w:color w:val="00A884"/>
                <w:sz w:val="20"/>
                <w:szCs w:val="20"/>
              </w:rPr>
              <w:t xml:space="preserve">Workflow Engine</w:t>
            </w:r>
          </w:p>
        </w:tc>
        <w:tc>
          <w:tcPr>
            <w:tcW w:type="dxa" w:w="6360"/>
            <w:tcBorders>
              <w:top w:val="single" w:color="00A884" w:sz="4"/>
              <w:left w:val="single" w:color="00A884" w:sz="4"/>
              <w:bottom w:val="single" w:color="00A884" w:sz="4"/>
              <w:right w:val="single" w:color="00A884"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 state machine that defines, executes, and tracks multi-step legal workflows — with step routing, human-in-loop review, approval chains, escalation logic, and full audit trails.</w:t>
            </w:r>
          </w:p>
        </w:tc>
      </w:tr>
      <w:tr>
        <w:tc>
          <w:tcPr>
            <w:tcW w:type="dxa" w:w="3000"/>
            <w:tcBorders>
              <w:top w:val="single" w:color="00A884" w:sz="4"/>
              <w:left w:val="single" w:color="00A884" w:sz="4"/>
              <w:bottom w:val="single" w:color="00A884" w:sz="4"/>
              <w:right w:val="single" w:color="00A884" w:sz="4"/>
            </w:tcBorders>
            <w:shd w:fill="E6F7F4" w:val="clear"/>
            <w:tcMar>
              <w:top w:type="dxa" w:w="80"/>
              <w:left w:type="dxa" w:w="140"/>
              <w:bottom w:type="dxa" w:w="80"/>
              <w:right w:type="dxa" w:w="140"/>
            </w:tcMar>
          </w:tcPr>
          <w:p>
            <w:r>
              <w:rPr>
                <w:rFonts w:ascii="Calibri" w:cs="Calibri" w:eastAsia="Calibri" w:hAnsi="Calibri"/>
                <w:b/>
                <w:bCs/>
                <w:color w:val="00A884"/>
                <w:sz w:val="20"/>
                <w:szCs w:val="20"/>
              </w:rPr>
              <w:t xml:space="preserve">Connector Gateway</w:t>
            </w:r>
          </w:p>
        </w:tc>
        <w:tc>
          <w:tcPr>
            <w:tcW w:type="dxa" w:w="6360"/>
            <w:tcBorders>
              <w:top w:val="single" w:color="00A884" w:sz="4"/>
              <w:left w:val="single" w:color="00A884" w:sz="4"/>
              <w:bottom w:val="single" w:color="00A884" w:sz="4"/>
              <w:right w:val="single" w:color="00A884"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 stable internal API gateway that abstracts all existing capability services. Frontends and workflows call one gateway; the gateway routes to OCR, contract engine, drafting, research, and analytics internally.</w:t>
            </w:r>
          </w:p>
        </w:tc>
      </w:tr>
      <w:tr>
        <w:tc>
          <w:tcPr>
            <w:tcW w:type="dxa" w:w="3000"/>
            <w:tcBorders>
              <w:top w:val="single" w:color="00A884" w:sz="4"/>
              <w:left w:val="single" w:color="00A884" w:sz="4"/>
              <w:bottom w:val="single" w:color="00A884" w:sz="4"/>
              <w:right w:val="single" w:color="00A884" w:sz="4"/>
            </w:tcBorders>
            <w:shd w:fill="E6F7F4" w:val="clear"/>
            <w:tcMar>
              <w:top w:type="dxa" w:w="80"/>
              <w:left w:type="dxa" w:w="140"/>
              <w:bottom w:type="dxa" w:w="80"/>
              <w:right w:type="dxa" w:w="140"/>
            </w:tcMar>
          </w:tcPr>
          <w:p>
            <w:r>
              <w:rPr>
                <w:rFonts w:ascii="Calibri" w:cs="Calibri" w:eastAsia="Calibri" w:hAnsi="Calibri"/>
                <w:b/>
                <w:bCs/>
                <w:color w:val="00A884"/>
                <w:sz w:val="20"/>
                <w:szCs w:val="20"/>
              </w:rPr>
              <w:t xml:space="preserve">Multi-Tenant Core</w:t>
            </w:r>
          </w:p>
        </w:tc>
        <w:tc>
          <w:tcPr>
            <w:tcW w:type="dxa" w:w="6360"/>
            <w:tcBorders>
              <w:top w:val="single" w:color="00A884" w:sz="4"/>
              <w:left w:val="single" w:color="00A884" w:sz="4"/>
              <w:bottom w:val="single" w:color="00A884" w:sz="4"/>
              <w:right w:val="single" w:color="00A884"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An enterprise-grade tenancy model where each customer organisation has isolated data, users, roles, and workflow configurations — with a centralised Esheria operator console for platform management.</w:t>
            </w:r>
          </w:p>
        </w:tc>
      </w:tr>
      <w:tr>
        <w:tc>
          <w:tcPr>
            <w:tcW w:type="dxa" w:w="3000"/>
            <w:tcBorders>
              <w:top w:val="single" w:color="00A884" w:sz="4"/>
              <w:left w:val="single" w:color="00A884" w:sz="4"/>
              <w:bottom w:val="single" w:color="00A884" w:sz="4"/>
              <w:right w:val="single" w:color="00A884" w:sz="4"/>
            </w:tcBorders>
            <w:shd w:fill="E6F7F4" w:val="clear"/>
            <w:tcMar>
              <w:top w:type="dxa" w:w="80"/>
              <w:left w:type="dxa" w:w="140"/>
              <w:bottom w:type="dxa" w:w="80"/>
              <w:right w:type="dxa" w:w="140"/>
            </w:tcMar>
          </w:tcPr>
          <w:p>
            <w:r>
              <w:rPr>
                <w:rFonts w:ascii="Calibri" w:cs="Calibri" w:eastAsia="Calibri" w:hAnsi="Calibri"/>
                <w:b/>
                <w:bCs/>
                <w:color w:val="00A884"/>
                <w:sz w:val="20"/>
                <w:szCs w:val="20"/>
              </w:rPr>
              <w:t xml:space="preserve">Institution Analytics</w:t>
            </w:r>
          </w:p>
        </w:tc>
        <w:tc>
          <w:tcPr>
            <w:tcW w:type="dxa" w:w="6360"/>
            <w:tcBorders>
              <w:top w:val="single" w:color="00A884" w:sz="4"/>
              <w:left w:val="single" w:color="00A884" w:sz="4"/>
              <w:bottom w:val="single" w:color="00A884" w:sz="4"/>
              <w:right w:val="single" w:color="00A884"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 customer-facing analytics layer — separate from Esheria's internal CRM and ops analytics — giving legal teams, compliance officers, and procurement heads operational intelligence over their own workflows.</w:t>
            </w:r>
          </w:p>
        </w:tc>
      </w:tr>
      <w:tr>
        <w:tc>
          <w:tcPr>
            <w:tcW w:type="dxa" w:w="3000"/>
            <w:tcBorders>
              <w:top w:val="single" w:color="00A884" w:sz="4"/>
              <w:left w:val="single" w:color="00A884" w:sz="4"/>
              <w:bottom w:val="single" w:color="00A884" w:sz="4"/>
              <w:right w:val="single" w:color="00A884" w:sz="4"/>
            </w:tcBorders>
            <w:shd w:fill="E6F7F4" w:val="clear"/>
            <w:tcMar>
              <w:top w:type="dxa" w:w="80"/>
              <w:left w:type="dxa" w:w="140"/>
              <w:bottom w:type="dxa" w:w="80"/>
              <w:right w:type="dxa" w:w="140"/>
            </w:tcMar>
          </w:tcPr>
          <w:p>
            <w:r>
              <w:rPr>
                <w:rFonts w:ascii="Calibri" w:cs="Calibri" w:eastAsia="Calibri" w:hAnsi="Calibri"/>
                <w:b/>
                <w:bCs/>
                <w:color w:val="00A884"/>
                <w:sz w:val="20"/>
                <w:szCs w:val="20"/>
              </w:rPr>
              <w:t xml:space="preserve">Control Plane</w:t>
            </w:r>
          </w:p>
        </w:tc>
        <w:tc>
          <w:tcPr>
            <w:tcW w:type="dxa" w:w="6360"/>
            <w:tcBorders>
              <w:top w:val="single" w:color="00A884" w:sz="4"/>
              <w:left w:val="single" w:color="00A884" w:sz="4"/>
              <w:bottom w:val="single" w:color="00A884" w:sz="4"/>
              <w:right w:val="single" w:color="00A884"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Governance infrastructure: immutable audit log, policy enforcement, approval routing, SLA tracking, observability, and the operator console for Esheria's internal teams.</w:t>
            </w:r>
          </w:p>
        </w:tc>
      </w:tr>
    </w:tbl>
    <w:p>
      <w:pPr>
        <w:spacing w:before="0" w:after="160"/>
      </w:pPr>
      <w:r>
        <w:t xml:space="preserve"/>
      </w:r>
    </w:p>
    <w:p>
      <w:pPr>
        <w:pStyle w:val="Heading2"/>
        <w:spacing w:before="280" w:after="120"/>
      </w:pPr>
      <w:r>
        <w:rPr>
          <w:rFonts w:ascii="Calibri" w:cs="Calibri" w:eastAsia="Calibri" w:hAnsi="Calibri"/>
          <w:b/>
          <w:bCs/>
          <w:color w:val="1E3A5F"/>
          <w:sz w:val="28"/>
          <w:szCs w:val="28"/>
        </w:rPr>
        <w:t xml:space="preserve">2.3  The Moat This Creates</w:t>
      </w:r>
    </w:p>
    <w:p>
      <w:pPr>
        <w:spacing w:before="60" w:after="100"/>
      </w:pPr>
      <w:r>
        <w:rPr>
          <w:rFonts w:ascii="Calibri" w:cs="Calibri" w:eastAsia="Calibri" w:hAnsi="Calibri"/>
          <w:color w:val="1A1A2E"/>
          <w:sz w:val="22"/>
          <w:szCs w:val="22"/>
        </w:rPr>
        <w:t xml:space="preserve">Platform businesses create a fundamentally different type of competitive moat than feature businesses. For the Esheria Legal Workflow OS, the moat comes from six sources:</w:t>
      </w:r>
    </w:p>
    <w:p>
      <w:pPr>
        <w:spacing w:before="0" w:after="0"/>
      </w:pPr>
      <w:r>
        <w:t xml:space="preserve"/>
      </w:r>
    </w:p>
    <w:p>
      <w:pPr>
        <w:pStyle w:val="ListParagraph"/>
        <w:numPr>
          <w:ilvl w:val="0"/>
          <w:numId w:val="3"/>
        </w:numPr>
        <w:spacing w:before="40" w:after="60"/>
      </w:pPr>
      <w:r>
        <w:rPr>
          <w:rFonts w:ascii="Calibri" w:cs="Calibri" w:eastAsia="Calibri" w:hAnsi="Calibri"/>
          <w:color w:val="1A1A2E"/>
          <w:sz w:val="22"/>
          <w:szCs w:val="22"/>
        </w:rPr>
        <w:t xml:space="preserve">Workflow depth — once an organisation runs legal processes inside Esheria, the depth of embedded workflow logic creates significant switching cost</w:t>
      </w:r>
    </w:p>
    <w:p>
      <w:pPr>
        <w:pStyle w:val="ListParagraph"/>
        <w:numPr>
          <w:ilvl w:val="0"/>
          <w:numId w:val="3"/>
        </w:numPr>
        <w:spacing w:before="40" w:after="60"/>
      </w:pPr>
      <w:r>
        <w:rPr>
          <w:rFonts w:ascii="Calibri" w:cs="Calibri" w:eastAsia="Calibri" w:hAnsi="Calibri"/>
          <w:color w:val="1A1A2E"/>
          <w:sz w:val="22"/>
          <w:szCs w:val="22"/>
        </w:rPr>
        <w:t xml:space="preserve">Ontology lock-in — the more Esheria becomes the system that defines legal business objects and their relationships, the harder it becomes to replace</w:t>
      </w:r>
    </w:p>
    <w:p>
      <w:pPr>
        <w:pStyle w:val="ListParagraph"/>
        <w:numPr>
          <w:ilvl w:val="0"/>
          <w:numId w:val="3"/>
        </w:numPr>
        <w:spacing w:before="40" w:after="60"/>
      </w:pPr>
      <w:r>
        <w:rPr>
          <w:rFonts w:ascii="Calibri" w:cs="Calibri" w:eastAsia="Calibri" w:hAnsi="Calibri"/>
          <w:color w:val="1A1A2E"/>
          <w:sz w:val="22"/>
          <w:szCs w:val="22"/>
        </w:rPr>
        <w:t xml:space="preserve">Process memory — audit logs, approval histories, prior drafts, clause decisions, and organisational policies accumulate as long-term institutional assets</w:t>
      </w:r>
    </w:p>
    <w:p>
      <w:pPr>
        <w:pStyle w:val="ListParagraph"/>
        <w:numPr>
          <w:ilvl w:val="0"/>
          <w:numId w:val="3"/>
        </w:numPr>
        <w:spacing w:before="40" w:after="60"/>
      </w:pPr>
      <w:r>
        <w:rPr>
          <w:rFonts w:ascii="Calibri" w:cs="Calibri" w:eastAsia="Calibri" w:hAnsi="Calibri"/>
          <w:color w:val="1A1A2E"/>
          <w:sz w:val="22"/>
          <w:szCs w:val="22"/>
        </w:rPr>
        <w:t xml:space="preserve">Integration depth — as the platform integrates with enterprise DMS, CRM, ERP, and e-signature systems, it becomes embedded in core business infrastructure</w:t>
      </w:r>
    </w:p>
    <w:p>
      <w:pPr>
        <w:pStyle w:val="ListParagraph"/>
        <w:numPr>
          <w:ilvl w:val="0"/>
          <w:numId w:val="3"/>
        </w:numPr>
        <w:spacing w:before="40" w:after="60"/>
      </w:pPr>
      <w:r>
        <w:rPr>
          <w:rFonts w:ascii="Calibri" w:cs="Calibri" w:eastAsia="Calibri" w:hAnsi="Calibri"/>
          <w:color w:val="1A1A2E"/>
          <w:sz w:val="22"/>
          <w:szCs w:val="22"/>
        </w:rPr>
        <w:t xml:space="preserve">Data network effects — workflow events, review patterns, risk detection data, and compliance outcomes create proprietary datasets over time</w:t>
      </w:r>
    </w:p>
    <w:p>
      <w:pPr>
        <w:pStyle w:val="ListParagraph"/>
        <w:numPr>
          <w:ilvl w:val="0"/>
          <w:numId w:val="3"/>
        </w:numPr>
        <w:spacing w:before="40" w:after="60"/>
      </w:pPr>
      <w:r>
        <w:rPr>
          <w:rFonts w:ascii="Calibri" w:cs="Calibri" w:eastAsia="Calibri" w:hAnsi="Calibri"/>
          <w:color w:val="1A1A2E"/>
          <w:sz w:val="22"/>
          <w:szCs w:val="22"/>
        </w:rPr>
        <w:t xml:space="preserve">Platform narrative — a platform company is strategically more expandable and more fundable than a single-feature company</w:t>
      </w:r>
    </w:p>
    <w:p>
      <w:pPr>
        <w:pBdr>
          <w:bottom w:val="single" w:color="CBD5E0" w:sz="4" w:space="1"/>
        </w:pBdr>
        <w:spacing w:before="160" w:after="160"/>
      </w:pPr>
      <w:r>
        <w:t xml:space="preserve"/>
      </w:r>
    </w:p>
    <w:p>
      <w:pPr>
        <w:pStyle w:val="Heading1"/>
        <w:pBdr>
          <w:bottom w:val="single" w:color="00A884" w:sz="6" w:space="4"/>
        </w:pBdr>
        <w:spacing w:before="360" w:after="160"/>
      </w:pPr>
      <w:r>
        <w:rPr>
          <w:rFonts w:ascii="Calibri" w:cs="Calibri" w:eastAsia="Calibri" w:hAnsi="Calibri"/>
          <w:b/>
          <w:bCs/>
          <w:color w:val="0A1628"/>
          <w:sz w:val="36"/>
          <w:szCs w:val="36"/>
        </w:rPr>
        <w:t xml:space="preserve">3.  Platform Architecture Overview</w:t>
      </w:r>
    </w:p>
    <w:p>
      <w:pPr>
        <w:pStyle w:val="Heading2"/>
        <w:spacing w:before="280" w:after="120"/>
      </w:pPr>
      <w:r>
        <w:rPr>
          <w:rFonts w:ascii="Calibri" w:cs="Calibri" w:eastAsia="Calibri" w:hAnsi="Calibri"/>
          <w:b/>
          <w:bCs/>
          <w:color w:val="1E3A5F"/>
          <w:sz w:val="28"/>
          <w:szCs w:val="28"/>
        </w:rPr>
        <w:t xml:space="preserve">3.1  Five-Layer Architecture</w:t>
      </w:r>
    </w:p>
    <w:p>
      <w:pPr>
        <w:spacing w:before="60" w:after="100"/>
      </w:pPr>
      <w:r>
        <w:rPr>
          <w:rFonts w:ascii="Calibri" w:cs="Calibri" w:eastAsia="Calibri" w:hAnsi="Calibri"/>
          <w:color w:val="1A1A2E"/>
          <w:sz w:val="22"/>
          <w:szCs w:val="22"/>
        </w:rPr>
        <w:t xml:space="preserve">The Esheria Legal Workflow OS is structured as five horizontal layers. Each layer has a distinct purpose, and the layered design ensures that existing capabilities are preserved and extended rather than disrupted.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3960"/>
      </w:tblGrid>
      <w:tr>
        <w:trPr>
          <w:tblHeader/>
        </w:trPr>
        <w:tc>
          <w:tcPr>
            <w:tcW w:type="dxa" w:w="6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Layer</w:t>
            </w:r>
          </w:p>
        </w:tc>
        <w:tc>
          <w:tcPr>
            <w:tcW w:type="dxa" w:w="20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Name</w:t>
            </w:r>
          </w:p>
        </w:tc>
        <w:tc>
          <w:tcPr>
            <w:tcW w:type="dxa" w:w="28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Purpose</w:t>
            </w:r>
          </w:p>
        </w:tc>
        <w:tc>
          <w:tcPr>
            <w:tcW w:type="dxa" w:w="39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Key Components</w:t>
            </w:r>
          </w:p>
        </w:tc>
      </w:tr>
      <w:tr>
        <w:tc>
          <w:tcPr>
            <w:tcW w:type="dxa" w:w="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L5</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Experience</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Customer and operator frontend surfaces</w:t>
            </w:r>
          </w:p>
        </w:tc>
        <w:tc>
          <w:tcPr>
            <w:tcW w:type="dxa" w:w="3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Institution Workspace · Operator Console · Public/Sales Surface</w:t>
            </w:r>
          </w:p>
        </w:tc>
      </w:tr>
      <w:tr>
        <w:tc>
          <w:tcPr>
            <w:tcW w:type="dxa" w:w="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L4</w:t>
            </w:r>
          </w:p>
        </w:tc>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Workflow Control Plane</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Orchestration, governance, audit</w:t>
            </w:r>
          </w:p>
        </w:tc>
        <w:tc>
          <w:tcPr>
            <w:tcW w:type="dxa" w:w="3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Workflow Engine · State Machine · Approval Router · Escalation Manager · Audit Log</w:t>
            </w:r>
          </w:p>
        </w:tc>
      </w:tr>
      <w:tr>
        <w:tc>
          <w:tcPr>
            <w:tcW w:type="dxa" w:w="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L3</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Canonical Object Model</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Shared legal business objects</w:t>
            </w:r>
          </w:p>
        </w:tc>
        <w:tc>
          <w:tcPr>
            <w:tcW w:type="dxa" w:w="3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Org · Matter · Document · Clause · Risk · WorkflowRun · Action · Review · Citation</w:t>
            </w:r>
          </w:p>
        </w:tc>
      </w:tr>
      <w:tr>
        <w:tc>
          <w:tcPr>
            <w:tcW w:type="dxa" w:w="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L2</w:t>
            </w:r>
          </w:p>
        </w:tc>
        <w:tc>
          <w:tcPr>
            <w:tcW w:type="dxa" w:w="2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Capability Connectors</w:t>
            </w:r>
          </w:p>
        </w:tc>
        <w:tc>
          <w:tcPr>
            <w:tcW w:type="dxa" w:w="2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Stable gateway to all services</w:t>
            </w:r>
          </w:p>
        </w:tc>
        <w:tc>
          <w:tcPr>
            <w:tcW w:type="dxa" w:w="39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OCR · Contract · Research · Drafting · Analytics Connectors</w:t>
            </w:r>
          </w:p>
        </w:tc>
      </w:tr>
      <w:tr>
        <w:tc>
          <w:tcPr>
            <w:tcW w:type="dxa" w:w="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L1</w:t>
            </w:r>
          </w:p>
        </w:tc>
        <w:tc>
          <w:tcPr>
            <w:tcW w:type="dxa" w:w="2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Existing Services</w:t>
            </w:r>
          </w:p>
        </w:tc>
        <w:tc>
          <w:tcPr>
            <w:tcW w:type="dxa" w:w="2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Current Esheria capability repos</w:t>
            </w:r>
          </w:p>
        </w:tc>
        <w:tc>
          <w:tcPr>
            <w:tcW w:type="dxa" w:w="39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esheria-ocr · contract-engine · esheria-ai · lexdraft · esheria-analytics</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E3A5F" w:sz="8"/>
              <w:left w:val="single" w:color="1E3A5F" w:sz="8"/>
              <w:bottom w:val="single" w:color="1E3A5F" w:sz="8"/>
              <w:right w:val="none" w:color="FFFFFF" w:sz="0"/>
            </w:tcBorders>
            <w:shd w:fill="1E3A5F" w:val="clear"/>
            <w:tcMar>
              <w:top w:type="dxa" w:w="120"/>
              <w:left w:type="dxa" w:w="140"/>
              <w:bottom w:type="dxa" w:w="120"/>
              <w:right w:type="dxa" w:w="0"/>
            </w:tcMar>
            <w:vAlign w:val="center"/>
          </w:tcPr>
          <w:p>
            <w:pPr>
              <w:jc w:val="center"/>
            </w:pPr>
            <w:r>
              <w:rPr>
                <w:sz w:val="1"/>
                <w:szCs w:val="1"/>
              </w:rPr>
              <w:t xml:space="preserve"/>
            </w:r>
          </w:p>
        </w:tc>
        <w:tc>
          <w:tcPr>
            <w:tcW w:type="dxa" w:w="9160"/>
            <w:tcBorders>
              <w:top w:val="single" w:color="1E3A5F" w:sz="4"/>
              <w:left w:val="none" w:color="FFFFFF" w:sz="0"/>
              <w:bottom w:val="single" w:color="1E3A5F" w:sz="4"/>
              <w:right w:val="single" w:color="1E3A5F" w:sz="4"/>
            </w:tcBorders>
            <w:shd w:fill="F2F5F8" w:val="clear"/>
            <w:tcMar>
              <w:top w:type="dxa" w:w="120"/>
              <w:left w:type="dxa" w:w="200"/>
              <w:bottom w:type="dxa" w:w="120"/>
              <w:right w:type="dxa" w:w="160"/>
            </w:tcMar>
          </w:tcPr>
          <w:p>
            <w:pPr>
              <w:spacing w:before="0" w:after="60"/>
            </w:pPr>
            <w:r>
              <w:rPr>
                <w:rFonts w:ascii="Calibri" w:cs="Calibri" w:eastAsia="Calibri" w:hAnsi="Calibri"/>
                <w:b/>
                <w:bCs/>
                <w:color w:val="1E3A5F"/>
                <w:spacing w:val="40"/>
                <w:sz w:val="18"/>
                <w:szCs w:val="18"/>
              </w:rPr>
              <w:t xml:space="preserve">ARCHITECTURAL PRINCIPLE</w:t>
            </w:r>
          </w:p>
          <w:p>
            <w:pPr>
              <w:spacing w:before="0" w:after="0"/>
            </w:pPr>
            <w:r>
              <w:rPr>
                <w:rFonts w:ascii="Calibri" w:cs="Calibri" w:eastAsia="Calibri" w:hAnsi="Calibri"/>
                <w:i/>
                <w:iCs/>
                <w:color w:val="1A1A2E"/>
                <w:sz w:val="22"/>
                <w:szCs w:val="22"/>
              </w:rPr>
              <w:t xml:space="preserve">The critical architectural decision is Layer 3: the Canonical Object Model. Once all services share the same object definitions — and agents, workflows, and frontends operate on those shared objects — the platform emerges from the architecture naturally.</w:t>
            </w:r>
          </w:p>
        </w:tc>
      </w:tr>
    </w:tbl>
    <w:p>
      <w:pPr>
        <w:spacing w:before="0" w:after="160"/>
      </w:pPr>
      <w:r>
        <w:t xml:space="preserve"/>
      </w:r>
    </w:p>
    <w:p>
      <w:pPr>
        <w:pStyle w:val="Heading2"/>
        <w:spacing w:before="280" w:after="120"/>
      </w:pPr>
      <w:r>
        <w:rPr>
          <w:rFonts w:ascii="Calibri" w:cs="Calibri" w:eastAsia="Calibri" w:hAnsi="Calibri"/>
          <w:b/>
          <w:bCs/>
          <w:color w:val="1E3A5F"/>
          <w:sz w:val="28"/>
          <w:szCs w:val="28"/>
        </w:rPr>
        <w:t xml:space="preserve">3.2  How Existing Repos Plug In</w:t>
      </w:r>
    </w:p>
    <w:p>
      <w:pPr>
        <w:spacing w:before="60" w:after="100"/>
      </w:pPr>
      <w:r>
        <w:rPr>
          <w:rFonts w:ascii="Calibri" w:cs="Calibri" w:eastAsia="Calibri" w:hAnsi="Calibri"/>
          <w:color w:val="1A1A2E"/>
          <w:sz w:val="22"/>
          <w:szCs w:val="22"/>
        </w:rPr>
        <w:t xml:space="preserve">This platform does not require rebuilding any existing capability. Each existing repo becomes a service that plugs into the Connector Gateway at Layer 2, exposed through stable internal APIs: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rPr>
          <w:tblHeader/>
        </w:trPr>
        <w:tc>
          <w:tcPr>
            <w:tcW w:type="dxa" w:w="2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Repository</w:t>
            </w:r>
          </w:p>
        </w:tc>
        <w:tc>
          <w:tcPr>
            <w:tcW w:type="dxa" w:w="25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Platform Role</w:t>
            </w:r>
          </w:p>
        </w:tc>
        <w:tc>
          <w:tcPr>
            <w:tcW w:type="dxa" w:w="24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Internal API Prefix</w:t>
            </w:r>
          </w:p>
        </w:tc>
        <w:tc>
          <w:tcPr>
            <w:tcW w:type="dxa" w:w="22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Status</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esheria-ai</w:t>
            </w:r>
          </w:p>
        </w:tc>
        <w:tc>
          <w:tcPr>
            <w:tcW w:type="dxa" w:w="2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Research &amp; Citation Operator</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/internal/research/*</w:t>
            </w:r>
          </w:p>
        </w:tc>
        <w:tc>
          <w:tcPr>
            <w:tcW w:type="dxa" w:w="22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PRIMARY</w:t>
            </w:r>
          </w:p>
        </w:tc>
      </w:tr>
      <w:tr>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esheria-ocr</w:t>
            </w:r>
          </w:p>
        </w:tc>
        <w:tc>
          <w:tcPr>
            <w:tcW w:type="dxa" w:w="25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Document Ingestion Service</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/internal/ocr/*</w:t>
            </w:r>
          </w:p>
        </w:tc>
        <w:tc>
          <w:tcPr>
            <w:tcW w:type="dxa" w:w="22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PRIMARY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esheria-contract-engine</w:t>
            </w:r>
          </w:p>
        </w:tc>
        <w:tc>
          <w:tcPr>
            <w:tcW w:type="dxa" w:w="2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Compliance &amp; Clause Analysis</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/internal/contracts/*</w:t>
            </w:r>
          </w:p>
        </w:tc>
        <w:tc>
          <w:tcPr>
            <w:tcW w:type="dxa" w:w="22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PRIMARY</w:t>
            </w:r>
          </w:p>
        </w:tc>
      </w:tr>
      <w:tr>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lexdraft</w:t>
            </w:r>
          </w:p>
        </w:tc>
        <w:tc>
          <w:tcPr>
            <w:tcW w:type="dxa" w:w="25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Drafting &amp; Redline Engine</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/internal/drafting/*</w:t>
            </w:r>
          </w:p>
        </w:tc>
        <w:tc>
          <w:tcPr>
            <w:tcW w:type="dxa" w:w="22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PRIMARY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esheria-analytics</w:t>
            </w:r>
          </w:p>
        </w:tc>
        <w:tc>
          <w:tcPr>
            <w:tcW w:type="dxa" w:w="2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Analytics Pipeline (dual role)</w:t>
            </w:r>
          </w:p>
        </w:tc>
        <w:tc>
          <w:tcPr>
            <w:tcW w:type="dxa" w:w="24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/internal/analytics/*</w:t>
            </w:r>
          </w:p>
        </w:tc>
        <w:tc>
          <w:tcPr>
            <w:tcW w:type="dxa" w:w="22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EVOLVE</w:t>
            </w:r>
          </w:p>
        </w:tc>
      </w:tr>
      <w:tr>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lexchat-plugin</w:t>
            </w:r>
          </w:p>
        </w:tc>
        <w:tc>
          <w:tcPr>
            <w:tcW w:type="dxa" w:w="25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Browser Edge Assistant</w:t>
            </w:r>
          </w:p>
        </w:tc>
        <w:tc>
          <w:tcPr>
            <w:tcW w:type="dxa" w:w="24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TBD</w:t>
            </w:r>
          </w:p>
        </w:tc>
        <w:tc>
          <w:tcPr>
            <w:tcW w:type="dxa" w:w="22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FUTURE</w:t>
            </w:r>
          </w:p>
        </w:tc>
      </w:tr>
    </w:tbl>
    <w:p>
      <w:pPr>
        <w:spacing w:before="0" w:after="160"/>
      </w:pPr>
      <w:r>
        <w:t xml:space="preserve"/>
      </w:r>
    </w:p>
    <w:p>
      <w:pPr>
        <w:pStyle w:val="Heading2"/>
        <w:spacing w:before="280" w:after="120"/>
      </w:pPr>
      <w:r>
        <w:rPr>
          <w:rFonts w:ascii="Calibri" w:cs="Calibri" w:eastAsia="Calibri" w:hAnsi="Calibri"/>
          <w:b/>
          <w:bCs/>
          <w:color w:val="1E3A5F"/>
          <w:sz w:val="28"/>
          <w:szCs w:val="28"/>
        </w:rPr>
        <w:t xml:space="preserve">3.3  Three Frontend Surfaces</w:t>
      </w:r>
    </w:p>
    <w:p>
      <w:pPr>
        <w:spacing w:before="60" w:after="100"/>
      </w:pPr>
      <w:r>
        <w:rPr>
          <w:rFonts w:ascii="Calibri" w:cs="Calibri" w:eastAsia="Calibri" w:hAnsi="Calibri"/>
          <w:color w:val="1A1A2E"/>
          <w:sz w:val="22"/>
          <w:szCs w:val="22"/>
        </w:rPr>
        <w:t xml:space="preserve">The platform architecture supports three distinct frontend surfaces, each serving a different audience with different access models: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A1628" w:sz="4"/>
              <w:left w:val="single" w:color="0A1628" w:sz="4"/>
              <w:bottom w:val="single" w:color="0A1628" w:sz="4"/>
              <w:right w:val="single" w:color="0A1628" w:sz="4"/>
            </w:tcBorders>
            <w:shd w:fill="F2F5F8" w:val="clear"/>
            <w:tcMar>
              <w:top w:type="dxa" w:w="80"/>
              <w:left w:type="dxa" w:w="140"/>
              <w:bottom w:type="dxa" w:w="80"/>
              <w:right w:type="dxa" w:w="140"/>
            </w:tcMar>
          </w:tcPr>
          <w:p>
            <w:r>
              <w:rPr>
                <w:rFonts w:ascii="Calibri" w:cs="Calibri" w:eastAsia="Calibri" w:hAnsi="Calibri"/>
                <w:b/>
                <w:bCs/>
                <w:color w:val="0A1628"/>
                <w:sz w:val="20"/>
                <w:szCs w:val="20"/>
              </w:rPr>
              <w:t xml:space="preserve">Institution Workspace</w:t>
            </w:r>
          </w:p>
        </w:tc>
        <w:tc>
          <w:tcPr>
            <w:tcW w:type="dxa" w:w="6360"/>
            <w:tcBorders>
              <w:top w:val="single" w:color="0A1628" w:sz="4"/>
              <w:left w:val="single" w:color="0A1628" w:sz="4"/>
              <w:bottom w:val="single" w:color="0A1628" w:sz="4"/>
              <w:right w:val="single" w:color="0A1628"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The primary B2B product. Each customer organisation gets an isolated workspace with role-gated modules: Matters, Documents, Reviews, Drafting, Compliance, Tasks &amp; Approvals, Analytics, and Settings. This is what enterprise customers pay for.</w:t>
            </w:r>
          </w:p>
        </w:tc>
      </w:tr>
      <w:tr>
        <w:tc>
          <w:tcPr>
            <w:tcW w:type="dxa" w:w="3000"/>
            <w:tcBorders>
              <w:top w:val="single" w:color="0A1628" w:sz="4"/>
              <w:left w:val="single" w:color="0A1628" w:sz="4"/>
              <w:bottom w:val="single" w:color="0A1628" w:sz="4"/>
              <w:right w:val="single" w:color="0A1628" w:sz="4"/>
            </w:tcBorders>
            <w:shd w:fill="F2F5F8" w:val="clear"/>
            <w:tcMar>
              <w:top w:type="dxa" w:w="80"/>
              <w:left w:type="dxa" w:w="140"/>
              <w:bottom w:type="dxa" w:w="80"/>
              <w:right w:type="dxa" w:w="140"/>
            </w:tcMar>
          </w:tcPr>
          <w:p>
            <w:r>
              <w:rPr>
                <w:rFonts w:ascii="Calibri" w:cs="Calibri" w:eastAsia="Calibri" w:hAnsi="Calibri"/>
                <w:b/>
                <w:bCs/>
                <w:color w:val="0A1628"/>
                <w:sz w:val="20"/>
                <w:szCs w:val="20"/>
              </w:rPr>
              <w:t xml:space="preserve">Esheria Operator Console</w:t>
            </w:r>
          </w:p>
        </w:tc>
        <w:tc>
          <w:tcPr>
            <w:tcW w:type="dxa" w:w="6360"/>
            <w:tcBorders>
              <w:top w:val="single" w:color="0A1628" w:sz="4"/>
              <w:left w:val="single" w:color="0A1628" w:sz="4"/>
              <w:bottom w:val="single" w:color="0A1628" w:sz="4"/>
              <w:right w:val="single" w:color="0A1628"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Internal control plane for Esheria ops, support, and engineering. Modules: Tenant Operations, Workflow Monitoring, Service Health, Incident Center, Support Console, Usage &amp; Billing, Global Analytics, Policy &amp; Governance. Completely separate from customer surfaces.</w:t>
            </w:r>
          </w:p>
        </w:tc>
      </w:tr>
      <w:tr>
        <w:tc>
          <w:tcPr>
            <w:tcW w:type="dxa" w:w="3000"/>
            <w:tcBorders>
              <w:top w:val="single" w:color="0A1628" w:sz="4"/>
              <w:left w:val="single" w:color="0A1628" w:sz="4"/>
              <w:bottom w:val="single" w:color="0A1628" w:sz="4"/>
              <w:right w:val="single" w:color="0A1628" w:sz="4"/>
            </w:tcBorders>
            <w:shd w:fill="F2F5F8" w:val="clear"/>
            <w:tcMar>
              <w:top w:type="dxa" w:w="80"/>
              <w:left w:type="dxa" w:w="140"/>
              <w:bottom w:type="dxa" w:w="80"/>
              <w:right w:type="dxa" w:w="140"/>
            </w:tcMar>
          </w:tcPr>
          <w:p>
            <w:r>
              <w:rPr>
                <w:rFonts w:ascii="Calibri" w:cs="Calibri" w:eastAsia="Calibri" w:hAnsi="Calibri"/>
                <w:b/>
                <w:bCs/>
                <w:color w:val="0A1628"/>
                <w:sz w:val="20"/>
                <w:szCs w:val="20"/>
              </w:rPr>
              <w:t xml:space="preserve">Public / Sales Surface</w:t>
            </w:r>
          </w:p>
        </w:tc>
        <w:tc>
          <w:tcPr>
            <w:tcW w:type="dxa" w:w="6360"/>
            <w:tcBorders>
              <w:top w:val="single" w:color="0A1628" w:sz="4"/>
              <w:left w:val="single" w:color="0A1628" w:sz="4"/>
              <w:bottom w:val="single" w:color="0A1628" w:sz="4"/>
              <w:right w:val="single" w:color="0A1628"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Demo environment, self-serve signup, onboarding wizard, and vertical workflow templates. Separate from operational surfaces to prevent demo contamination of production data.</w:t>
            </w:r>
          </w:p>
        </w:tc>
      </w:tr>
    </w:tbl>
    <w:p>
      <w:pPr>
        <w:spacing w:before="0" w:after="160"/>
      </w:pPr>
      <w:r>
        <w:t xml:space="preserve"/>
      </w:r>
    </w:p>
    <w:p>
      <w:pPr>
        <w:pStyle w:val="Heading2"/>
        <w:spacing w:before="280" w:after="120"/>
      </w:pPr>
      <w:r>
        <w:rPr>
          <w:rFonts w:ascii="Calibri" w:cs="Calibri" w:eastAsia="Calibri" w:hAnsi="Calibri"/>
          <w:b/>
          <w:bCs/>
          <w:color w:val="1E3A5F"/>
          <w:sz w:val="28"/>
          <w:szCs w:val="28"/>
        </w:rPr>
        <w:t xml:space="preserve">3.4  Two Analytics Worlds</w:t>
      </w:r>
    </w:p>
    <w:p>
      <w:pPr>
        <w:spacing w:before="60" w:after="100"/>
      </w:pPr>
      <w:r>
        <w:rPr>
          <w:rFonts w:ascii="Calibri" w:cs="Calibri" w:eastAsia="Calibri" w:hAnsi="Calibri"/>
          <w:color w:val="1A1A2E"/>
          <w:sz w:val="22"/>
          <w:szCs w:val="22"/>
        </w:rPr>
        <w:t xml:space="preserve">A critical architectural distinction that must be maintained from the outset: Esheria operates two completely separate analytics domains that should not be conflated.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Analytics Domain</w:t>
            </w:r>
          </w:p>
        </w:tc>
        <w:tc>
          <w:tcPr>
            <w:tcW w:type="dxa" w:w="2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Audience</w:t>
            </w:r>
          </w:p>
        </w:tc>
        <w:tc>
          <w:tcPr>
            <w:tcW w:type="dxa" w:w="2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Data Source</w:t>
            </w:r>
          </w:p>
        </w:tc>
        <w:tc>
          <w:tcPr>
            <w:tcW w:type="dxa" w:w="27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Purpose</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 Internal Analytics</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Esheria ops, CS, leadership</w:t>
            </w:r>
          </w:p>
        </w:tc>
        <w:tc>
          <w:tcPr>
            <w:tcW w:type="dxa" w:w="2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Platform events, usage, billing</w:t>
            </w:r>
          </w:p>
        </w:tc>
        <w:tc>
          <w:tcPr>
            <w:tcW w:type="dxa" w:w="27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CRM, ops monitoring, billing, support metrics, internal KPIs</w:t>
            </w:r>
          </w:p>
        </w:tc>
      </w:tr>
      <w:tr>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Institution Analytics</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Customer legal teams, CCOs, procurement</w:t>
            </w:r>
          </w:p>
        </w:tc>
        <w:tc>
          <w:tcPr>
            <w:tcW w:type="dxa" w:w="2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Workflow events, review outcomes, risk findings</w:t>
            </w:r>
          </w:p>
        </w:tc>
        <w:tc>
          <w:tcPr>
            <w:tcW w:type="dxa" w:w="27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Turnaround times, risk trends, compliance scores, SLA performance, department views</w:t>
            </w:r>
          </w:p>
        </w:tc>
      </w:tr>
    </w:tbl>
    <w:p>
      <w:pPr>
        <w:pBdr>
          <w:bottom w:val="single" w:color="CBD5E0" w:sz="4" w:space="1"/>
        </w:pBdr>
        <w:spacing w:before="160" w:after="160"/>
      </w:pPr>
      <w:r>
        <w:t xml:space="preserve"/>
      </w:r>
    </w:p>
    <w:p>
      <w:pPr>
        <w:pStyle w:val="Heading1"/>
        <w:pBdr>
          <w:bottom w:val="single" w:color="00A884" w:sz="6" w:space="4"/>
        </w:pBdr>
        <w:spacing w:before="360" w:after="160"/>
      </w:pPr>
      <w:r>
        <w:rPr>
          <w:rFonts w:ascii="Calibri" w:cs="Calibri" w:eastAsia="Calibri" w:hAnsi="Calibri"/>
          <w:b/>
          <w:bCs/>
          <w:color w:val="0A1628"/>
          <w:sz w:val="36"/>
          <w:szCs w:val="36"/>
        </w:rPr>
        <w:t xml:space="preserve">4.  The MVP — Contract Intake &amp; Review</w:t>
      </w:r>
    </w:p>
    <w:p>
      <w:pPr>
        <w:pStyle w:val="Heading2"/>
        <w:spacing w:before="280" w:after="120"/>
      </w:pPr>
      <w:r>
        <w:rPr>
          <w:rFonts w:ascii="Calibri" w:cs="Calibri" w:eastAsia="Calibri" w:hAnsi="Calibri"/>
          <w:b/>
          <w:bCs/>
          <w:color w:val="1E3A5F"/>
          <w:sz w:val="28"/>
          <w:szCs w:val="28"/>
        </w:rPr>
        <w:t xml:space="preserve">4.1  Why This Workflow</w:t>
      </w:r>
    </w:p>
    <w:p>
      <w:pPr>
        <w:spacing w:before="60" w:after="100"/>
      </w:pPr>
      <w:r>
        <w:rPr>
          <w:rFonts w:ascii="Calibri" w:cs="Calibri" w:eastAsia="Calibri" w:hAnsi="Calibri"/>
          <w:color w:val="1A1A2E"/>
          <w:sz w:val="22"/>
          <w:szCs w:val="22"/>
        </w:rPr>
        <w:t xml:space="preserve">The recommended first MVP is a Contract Intake and Review workflow. This is the right wedge because it is commercially validated (clear B2B demand), technically achievable (uses existing capabilities), architecturally illustrative (requires orchestration across multiple services), and narratively compelling (the output is a human reviewer making a decision on evidence-backed AI analysis).</w:t>
      </w:r>
    </w:p>
    <w:p>
      <w:pPr>
        <w:spacing w:before="0" w:after="0"/>
      </w:pPr>
      <w:r>
        <w:t xml:space="preserve"/>
      </w:r>
    </w:p>
    <w:p>
      <w:pPr>
        <w:pStyle w:val="Heading2"/>
        <w:spacing w:before="280" w:after="120"/>
      </w:pPr>
      <w:r>
        <w:rPr>
          <w:rFonts w:ascii="Calibri" w:cs="Calibri" w:eastAsia="Calibri" w:hAnsi="Calibri"/>
          <w:b/>
          <w:bCs/>
          <w:color w:val="1E3A5F"/>
          <w:sz w:val="28"/>
          <w:szCs w:val="28"/>
        </w:rPr>
        <w:t xml:space="preserve">4.2  End-to-End Workflow</w:t>
      </w:r>
    </w:p>
    <w:p>
      <w:pPr>
        <w:spacing w:before="60" w:after="100"/>
      </w:pPr>
      <w:r>
        <w:rPr>
          <w:rFonts w:ascii="Calibri" w:cs="Calibri" w:eastAsia="Calibri" w:hAnsi="Calibri"/>
          <w:color w:val="1A1A2E"/>
          <w:sz w:val="22"/>
          <w:szCs w:val="22"/>
        </w:rPr>
        <w:t xml:space="preserve">The MVP workflow executes in ten steps across eight operators and one human reviewer: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3500"/>
        <w:gridCol w:w="3580"/>
      </w:tblGrid>
      <w:tr>
        <w:trPr>
          <w:tblHeader/>
        </w:trPr>
        <w:tc>
          <w:tcPr>
            <w:tcW w:type="dxa" w:w="48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Step</w:t>
            </w:r>
          </w:p>
        </w:tc>
        <w:tc>
          <w:tcPr>
            <w:tcW w:type="dxa" w:w="18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Actor</w:t>
            </w:r>
          </w:p>
        </w:tc>
        <w:tc>
          <w:tcPr>
            <w:tcW w:type="dxa" w:w="35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Action</w:t>
            </w:r>
          </w:p>
        </w:tc>
        <w:tc>
          <w:tcPr>
            <w:tcW w:type="dxa" w:w="358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Output Object</w:t>
            </w:r>
          </w:p>
        </w:tc>
      </w:tr>
      <w:tr>
        <w:tc>
          <w:tcPr>
            <w:tcW w:type="dxa" w:w="4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1</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User</w:t>
            </w:r>
          </w:p>
        </w:tc>
        <w:tc>
          <w:tcPr>
            <w:tcW w:type="dxa" w:w="3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Upload contract document to platform</w:t>
            </w:r>
          </w:p>
        </w:tc>
        <w:tc>
          <w:tcPr>
            <w:tcW w:type="dxa" w:w="35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Document record + WorkflowRun created</w:t>
            </w:r>
          </w:p>
        </w:tc>
      </w:tr>
      <w:tr>
        <w:tc>
          <w:tcPr>
            <w:tcW w:type="dxa" w:w="48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2</w:t>
            </w:r>
          </w:p>
        </w:tc>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Ingestion Operator</w:t>
            </w:r>
          </w:p>
        </w:tc>
        <w:tc>
          <w:tcPr>
            <w:tcW w:type="dxa" w:w="35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Trigger OCR, validate structure, classify document type</w:t>
            </w:r>
          </w:p>
        </w:tc>
        <w:tc>
          <w:tcPr>
            <w:tcW w:type="dxa" w:w="358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Parsed text, DocumentVersion</w:t>
            </w:r>
          </w:p>
        </w:tc>
      </w:tr>
      <w:tr>
        <w:tc>
          <w:tcPr>
            <w:tcW w:type="dxa" w:w="4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3</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Extraction Operator</w:t>
            </w:r>
          </w:p>
        </w:tc>
        <w:tc>
          <w:tcPr>
            <w:tcW w:type="dxa" w:w="3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Identify parties, extract clauses, detect obligations and dates</w:t>
            </w:r>
          </w:p>
        </w:tc>
        <w:tc>
          <w:tcPr>
            <w:tcW w:type="dxa" w:w="35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Clause objects with metadata</w:t>
            </w:r>
          </w:p>
        </w:tc>
      </w:tr>
      <w:tr>
        <w:tc>
          <w:tcPr>
            <w:tcW w:type="dxa" w:w="48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4</w:t>
            </w:r>
          </w:p>
        </w:tc>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Compliance Operator</w:t>
            </w:r>
          </w:p>
        </w:tc>
        <w:tc>
          <w:tcPr>
            <w:tcW w:type="dxa" w:w="35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Check clauses against policy rules and regulatory requirements</w:t>
            </w:r>
          </w:p>
        </w:tc>
        <w:tc>
          <w:tcPr>
            <w:tcW w:type="dxa" w:w="358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Risk objects with severity scores</w:t>
            </w:r>
          </w:p>
        </w:tc>
      </w:tr>
      <w:tr>
        <w:tc>
          <w:tcPr>
            <w:tcW w:type="dxa" w:w="4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5</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Research Operator</w:t>
            </w:r>
          </w:p>
        </w:tc>
        <w:tc>
          <w:tcPr>
            <w:tcW w:type="dxa" w:w="3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Retrieve relevant precedents, statutes, and citations</w:t>
            </w:r>
          </w:p>
        </w:tc>
        <w:tc>
          <w:tcPr>
            <w:tcW w:type="dxa" w:w="35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Citation/Evidence objects linked to findings</w:t>
            </w:r>
          </w:p>
        </w:tc>
      </w:tr>
      <w:tr>
        <w:tc>
          <w:tcPr>
            <w:tcW w:type="dxa" w:w="48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6</w:t>
            </w:r>
          </w:p>
        </w:tc>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Drafting Operator</w:t>
            </w:r>
          </w:p>
        </w:tc>
        <w:tc>
          <w:tcPr>
            <w:tcW w:type="dxa" w:w="35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Generate fallback language and redline suggestions for flagged clauses</w:t>
            </w:r>
          </w:p>
        </w:tc>
        <w:tc>
          <w:tcPr>
            <w:tcW w:type="dxa" w:w="358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Draft suggestions attached to Clause objects</w:t>
            </w:r>
          </w:p>
        </w:tc>
      </w:tr>
      <w:tr>
        <w:tc>
          <w:tcPr>
            <w:tcW w:type="dxa" w:w="4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7</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Review Operator</w:t>
            </w:r>
          </w:p>
        </w:tc>
        <w:tc>
          <w:tcPr>
            <w:tcW w:type="dxa" w:w="3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Compile findings summary, score overall risk, prepare reviewer briefing</w:t>
            </w:r>
          </w:p>
        </w:tc>
        <w:tc>
          <w:tcPr>
            <w:tcW w:type="dxa" w:w="35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Review record with structured findings</w:t>
            </w:r>
          </w:p>
        </w:tc>
      </w:tr>
      <w:tr>
        <w:tc>
          <w:tcPr>
            <w:tcW w:type="dxa" w:w="48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8</w:t>
            </w:r>
          </w:p>
        </w:tc>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Human Reviewer</w:t>
            </w:r>
          </w:p>
        </w:tc>
        <w:tc>
          <w:tcPr>
            <w:tcW w:type="dxa" w:w="35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Review findings, accept/reject/escalate with annotations</w:t>
            </w:r>
          </w:p>
        </w:tc>
        <w:tc>
          <w:tcPr>
            <w:tcW w:type="dxa" w:w="358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Decision recorded on Review object</w:t>
            </w:r>
          </w:p>
        </w:tc>
      </w:tr>
      <w:tr>
        <w:tc>
          <w:tcPr>
            <w:tcW w:type="dxa" w:w="4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9</w:t>
            </w:r>
          </w:p>
        </w:tc>
        <w:tc>
          <w:tcPr>
            <w:tcW w:type="dxa" w:w="18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Routing Operator</w:t>
            </w:r>
          </w:p>
        </w:tc>
        <w:tc>
          <w:tcPr>
            <w:tcW w:type="dxa" w:w="35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Route to approver if required, trigger SLA timer, escalate if needed</w:t>
            </w:r>
          </w:p>
        </w:tc>
        <w:tc>
          <w:tcPr>
            <w:tcW w:type="dxa" w:w="35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Approval object, Matter status updated</w:t>
            </w:r>
          </w:p>
        </w:tc>
      </w:tr>
      <w:tr>
        <w:tc>
          <w:tcPr>
            <w:tcW w:type="dxa" w:w="48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10</w:t>
            </w:r>
          </w:p>
        </w:tc>
        <w:tc>
          <w:tcPr>
            <w:tcW w:type="dxa" w:w="18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Analytics Operator</w:t>
            </w:r>
          </w:p>
        </w:tc>
        <w:tc>
          <w:tcPr>
            <w:tcW w:type="dxa" w:w="35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Emit workflow events, update institution dashboard, log metrics</w:t>
            </w:r>
          </w:p>
        </w:tc>
        <w:tc>
          <w:tcPr>
            <w:tcW w:type="dxa" w:w="358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Analytics updated, WorkflowRun closed</w:t>
            </w:r>
          </w:p>
        </w:tc>
      </w:tr>
    </w:tbl>
    <w:p>
      <w:pPr>
        <w:spacing w:before="0" w:after="160"/>
      </w:pPr>
      <w:r>
        <w:t xml:space="preserve"/>
      </w:r>
    </w:p>
    <w:p>
      <w:pPr>
        <w:pStyle w:val="Heading2"/>
        <w:spacing w:before="280" w:after="120"/>
      </w:pPr>
      <w:r>
        <w:rPr>
          <w:rFonts w:ascii="Calibri" w:cs="Calibri" w:eastAsia="Calibri" w:hAnsi="Calibri"/>
          <w:b/>
          <w:bCs/>
          <w:color w:val="1E3A5F"/>
          <w:sz w:val="28"/>
          <w:szCs w:val="28"/>
        </w:rPr>
        <w:t xml:space="preserve">4.3  MVP Scope Boundaries</w:t>
      </w:r>
    </w:p>
    <w:p>
      <w:pPr>
        <w:spacing w:before="60" w:after="100"/>
      </w:pPr>
      <w:r>
        <w:rPr>
          <w:rFonts w:ascii="Calibri" w:cs="Calibri" w:eastAsia="Calibri" w:hAnsi="Calibri"/>
          <w:color w:val="1A1A2E"/>
          <w:sz w:val="22"/>
          <w:szCs w:val="22"/>
        </w:rPr>
        <w:t xml:space="preserve">To keep the MVP deliverable and focused, the following are explicitly out of scope for Phase 2:</w:t>
      </w:r>
    </w:p>
    <w:p>
      <w:pPr>
        <w:pStyle w:val="ListParagraph"/>
        <w:numPr>
          <w:ilvl w:val="0"/>
          <w:numId w:val="2"/>
        </w:numPr>
        <w:spacing w:before="40" w:after="60"/>
      </w:pPr>
      <w:r>
        <w:rPr>
          <w:rFonts w:ascii="Calibri" w:cs="Calibri" w:eastAsia="Calibri" w:hAnsi="Calibri"/>
          <w:color w:val="1A1A2E"/>
          <w:sz w:val="22"/>
          <w:szCs w:val="22"/>
        </w:rPr>
        <w:t xml:space="preserve">Full enterprise SSO integration (deferred to Phase 3)</w:t>
      </w:r>
    </w:p>
    <w:p>
      <w:pPr>
        <w:pStyle w:val="ListParagraph"/>
        <w:numPr>
          <w:ilvl w:val="0"/>
          <w:numId w:val="2"/>
        </w:numPr>
        <w:spacing w:before="40" w:after="60"/>
      </w:pPr>
      <w:r>
        <w:rPr>
          <w:rFonts w:ascii="Calibri" w:cs="Calibri" w:eastAsia="Calibri" w:hAnsi="Calibri"/>
          <w:color w:val="1A1A2E"/>
          <w:sz w:val="22"/>
          <w:szCs w:val="22"/>
        </w:rPr>
        <w:t xml:space="preserve">Universal integration suite across all external systems (one connector per capability sufficient for MVP)</w:t>
      </w:r>
    </w:p>
    <w:p>
      <w:pPr>
        <w:pStyle w:val="ListParagraph"/>
        <w:numPr>
          <w:ilvl w:val="0"/>
          <w:numId w:val="2"/>
        </w:numPr>
        <w:spacing w:before="40" w:after="60"/>
      </w:pPr>
      <w:r>
        <w:rPr>
          <w:rFonts w:ascii="Calibri" w:cs="Calibri" w:eastAsia="Calibri" w:hAnsi="Calibri"/>
          <w:color w:val="1A1A2E"/>
          <w:sz w:val="22"/>
          <w:szCs w:val="22"/>
        </w:rPr>
        <w:t xml:space="preserve">Complete authentication unification across all existing repos (deferred)</w:t>
      </w:r>
    </w:p>
    <w:p>
      <w:pPr>
        <w:pStyle w:val="ListParagraph"/>
        <w:numPr>
          <w:ilvl w:val="0"/>
          <w:numId w:val="2"/>
        </w:numPr>
        <w:spacing w:before="40" w:after="60"/>
      </w:pPr>
      <w:r>
        <w:rPr>
          <w:rFonts w:ascii="Calibri" w:cs="Calibri" w:eastAsia="Calibri" w:hAnsi="Calibri"/>
          <w:color w:val="1A1A2E"/>
          <w:sz w:val="22"/>
          <w:szCs w:val="22"/>
        </w:rPr>
        <w:t xml:space="preserve">All nine workflow types simultaneously (one workflow proves the thesis)</w:t>
      </w:r>
    </w:p>
    <w:p>
      <w:pPr>
        <w:pStyle w:val="ListParagraph"/>
        <w:numPr>
          <w:ilvl w:val="0"/>
          <w:numId w:val="2"/>
        </w:numPr>
        <w:spacing w:before="40" w:after="60"/>
      </w:pPr>
      <w:r>
        <w:rPr>
          <w:rFonts w:ascii="Calibri" w:cs="Calibri" w:eastAsia="Calibri" w:hAnsi="Calibri"/>
          <w:color w:val="1A1A2E"/>
          <w:sz w:val="22"/>
          <w:szCs w:val="22"/>
        </w:rPr>
        <w:t xml:space="preserve">Bi-directional analytics with real-time streaming (read-only dashboards sufficient for MVP)</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47F1A" w:sz="8"/>
              <w:left w:val="single" w:color="C47F1A" w:sz="8"/>
              <w:bottom w:val="single" w:color="C47F1A" w:sz="8"/>
              <w:right w:val="none" w:color="FFFFFF" w:sz="0"/>
            </w:tcBorders>
            <w:shd w:fill="C47F1A" w:val="clear"/>
            <w:tcMar>
              <w:top w:type="dxa" w:w="120"/>
              <w:left w:type="dxa" w:w="140"/>
              <w:bottom w:type="dxa" w:w="120"/>
              <w:right w:type="dxa" w:w="0"/>
            </w:tcMar>
            <w:vAlign w:val="center"/>
          </w:tcPr>
          <w:p>
            <w:pPr>
              <w:jc w:val="center"/>
            </w:pPr>
            <w:r>
              <w:rPr>
                <w:sz w:val="1"/>
                <w:szCs w:val="1"/>
              </w:rPr>
              <w:t xml:space="preserve"/>
            </w:r>
          </w:p>
        </w:tc>
        <w:tc>
          <w:tcPr>
            <w:tcW w:type="dxa" w:w="9160"/>
            <w:tcBorders>
              <w:top w:val="single" w:color="C47F1A" w:sz="4"/>
              <w:left w:val="none" w:color="FFFFFF" w:sz="0"/>
              <w:bottom w:val="single" w:color="C47F1A" w:sz="4"/>
              <w:right w:val="single" w:color="C47F1A" w:sz="4"/>
            </w:tcBorders>
            <w:shd w:fill="FDF3E0" w:val="clear"/>
            <w:tcMar>
              <w:top w:type="dxa" w:w="120"/>
              <w:left w:type="dxa" w:w="200"/>
              <w:bottom w:type="dxa" w:w="120"/>
              <w:right w:type="dxa" w:w="160"/>
            </w:tcMar>
          </w:tcPr>
          <w:p>
            <w:pPr>
              <w:spacing w:before="0" w:after="60"/>
            </w:pPr>
            <w:r>
              <w:rPr>
                <w:rFonts w:ascii="Calibri" w:cs="Calibri" w:eastAsia="Calibri" w:hAnsi="Calibri"/>
                <w:b/>
                <w:bCs/>
                <w:color w:val="C47F1A"/>
                <w:spacing w:val="40"/>
                <w:sz w:val="18"/>
                <w:szCs w:val="18"/>
              </w:rPr>
              <w:t xml:space="preserve">MVP SUCCESS CRITERION</w:t>
            </w:r>
          </w:p>
          <w:p>
            <w:pPr>
              <w:spacing w:before="0" w:after="0"/>
            </w:pPr>
            <w:r>
              <w:rPr>
                <w:rFonts w:ascii="Calibri" w:cs="Calibri" w:eastAsia="Calibri" w:hAnsi="Calibri"/>
                <w:i/>
                <w:iCs/>
                <w:color w:val="1A1A2E"/>
                <w:sz w:val="22"/>
                <w:szCs w:val="22"/>
              </w:rPr>
              <w:t xml:space="preserve">The MVP must prove one thing: that orchestration, shared objects, agent collaboration, audit trails, and human review can work together in a single coherent workflow. If it proves that, the platform thesis is validated.</w:t>
            </w:r>
          </w:p>
        </w:tc>
      </w:tr>
    </w:tbl>
    <w:p>
      <w:pPr>
        <w:pBdr>
          <w:bottom w:val="single" w:color="CBD5E0" w:sz="4" w:space="1"/>
        </w:pBdr>
        <w:spacing w:before="160" w:after="160"/>
      </w:pPr>
      <w:r>
        <w:t xml:space="preserve"/>
      </w:r>
    </w:p>
    <w:p>
      <w:pPr>
        <w:pStyle w:val="Heading1"/>
        <w:pBdr>
          <w:bottom w:val="single" w:color="00A884" w:sz="6" w:space="4"/>
        </w:pBdr>
        <w:spacing w:before="360" w:after="160"/>
      </w:pPr>
      <w:r>
        <w:rPr>
          <w:rFonts w:ascii="Calibri" w:cs="Calibri" w:eastAsia="Calibri" w:hAnsi="Calibri"/>
          <w:b/>
          <w:bCs/>
          <w:color w:val="0A1628"/>
          <w:sz w:val="36"/>
          <w:szCs w:val="36"/>
        </w:rPr>
        <w:t xml:space="preserve">5.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1200"/>
        <w:gridCol w:w="4100"/>
        <w:gridCol w:w="1980"/>
      </w:tblGrid>
      <w:tr>
        <w:trPr>
          <w:tblHeader/>
        </w:trPr>
        <w:tc>
          <w:tcPr>
            <w:tcW w:type="dxa" w:w="48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Phase</w:t>
            </w:r>
          </w:p>
        </w:tc>
        <w:tc>
          <w:tcPr>
            <w:tcW w:type="dxa" w:w="16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Name</w:t>
            </w:r>
          </w:p>
        </w:tc>
        <w:tc>
          <w:tcPr>
            <w:tcW w:type="dxa" w:w="1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Duration</w:t>
            </w:r>
          </w:p>
        </w:tc>
        <w:tc>
          <w:tcPr>
            <w:tcW w:type="dxa" w:w="41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Key Deliverables</w:t>
            </w:r>
          </w:p>
        </w:tc>
        <w:tc>
          <w:tcPr>
            <w:tcW w:type="dxa" w:w="198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Milestone</w:t>
            </w:r>
          </w:p>
        </w:tc>
      </w:tr>
      <w:tr>
        <w:tc>
          <w:tcPr>
            <w:tcW w:type="dxa" w:w="4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P0</w:t>
            </w:r>
          </w:p>
        </w:tc>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Validation &amp; Alignment</w:t>
            </w:r>
          </w:p>
        </w:tc>
        <w:tc>
          <w:tcPr>
            <w:tcW w:type="dxa" w:w="1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2–3 weeks</w:t>
            </w:r>
          </w:p>
        </w:tc>
        <w:tc>
          <w:tcPr>
            <w:tcW w:type="dxa" w:w="41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CEO alignment, scope agreement, service readiness audit, success criteria</w:t>
            </w:r>
          </w:p>
        </w:tc>
        <w:tc>
          <w:tcPr>
            <w:tcW w:type="dxa" w:w="19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Greenlight + scope agreed</w:t>
            </w:r>
          </w:p>
        </w:tc>
      </w:tr>
      <w:tr>
        <w:tc>
          <w:tcPr>
            <w:tcW w:type="dxa" w:w="48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P1</w:t>
            </w:r>
          </w:p>
        </w:tc>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Design</w:t>
            </w:r>
          </w:p>
        </w:tc>
        <w:tc>
          <w:tcPr>
            <w:tcW w:type="dxa" w:w="1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3–4 weeks</w:t>
            </w:r>
          </w:p>
        </w:tc>
        <w:tc>
          <w:tcPr>
            <w:tcW w:type="dxa" w:w="41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Ontology schema, workflow state machine, API contract spec, auth/tenant model, UI scope</w:t>
            </w:r>
          </w:p>
        </w:tc>
        <w:tc>
          <w:tcPr>
            <w:tcW w:type="dxa" w:w="198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Architecture doc + API spec approved</w:t>
            </w:r>
          </w:p>
        </w:tc>
      </w:tr>
      <w:tr>
        <w:tc>
          <w:tcPr>
            <w:tcW w:type="dxa" w:w="4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P2</w:t>
            </w:r>
          </w:p>
        </w:tc>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MVP Build</w:t>
            </w:r>
          </w:p>
        </w:tc>
        <w:tc>
          <w:tcPr>
            <w:tcW w:type="dxa" w:w="1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6–8 weeks</w:t>
            </w:r>
          </w:p>
        </w:tc>
        <w:tc>
          <w:tcPr>
            <w:tcW w:type="dxa" w:w="41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Core backend, workflow engine, 2–3 service connectors, reviewer dashboard, audit log, E2E demo</w:t>
            </w:r>
          </w:p>
        </w:tc>
        <w:tc>
          <w:tcPr>
            <w:tcW w:type="dxa" w:w="19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Live demo: upload → analyze → review → approve</w:t>
            </w:r>
          </w:p>
        </w:tc>
      </w:tr>
      <w:tr>
        <w:tc>
          <w:tcPr>
            <w:tcW w:type="dxa" w:w="48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P3</w:t>
            </w:r>
          </w:p>
        </w:tc>
        <w:tc>
          <w:tcPr>
            <w:tcW w:type="dxa" w:w="16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Internal Pilot</w:t>
            </w:r>
          </w:p>
        </w:tc>
        <w:tc>
          <w:tcPr>
            <w:tcW w:type="dxa" w:w="1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3–4 weeks</w:t>
            </w:r>
          </w:p>
        </w:tc>
        <w:tc>
          <w:tcPr>
            <w:tcW w:type="dxa" w:w="41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Test with real scenarios, refine model, operator console v1, performance baseline</w:t>
            </w:r>
          </w:p>
        </w:tc>
        <w:tc>
          <w:tcPr>
            <w:tcW w:type="dxa" w:w="198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Validated and refined platform</w:t>
            </w:r>
          </w:p>
        </w:tc>
      </w:tr>
      <w:tr>
        <w:tc>
          <w:tcPr>
            <w:tcW w:type="dxa" w:w="4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P4</w:t>
            </w:r>
          </w:p>
        </w:tc>
        <w:tc>
          <w:tcPr>
            <w:tcW w:type="dxa" w:w="16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B2B Packaging</w:t>
            </w:r>
          </w:p>
        </w:tc>
        <w:tc>
          <w:tcPr>
            <w:tcW w:type="dxa" w:w="1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4–6 weeks</w:t>
            </w:r>
          </w:p>
        </w:tc>
        <w:tc>
          <w:tcPr>
            <w:tcW w:type="dxa" w:w="41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Target customer profile, pilot onboarding, institution analytics v1, pricing model</w:t>
            </w:r>
          </w:p>
        </w:tc>
        <w:tc>
          <w:tcPr>
            <w:tcW w:type="dxa" w:w="198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First pilot conversation</w:t>
            </w:r>
          </w:p>
        </w:tc>
      </w:tr>
    </w:tbl>
    <w:p>
      <w:pPr>
        <w:spacing w:before="0" w:after="160"/>
      </w:pPr>
      <w:r>
        <w:t xml:space="preserve"/>
      </w:r>
    </w:p>
    <w:p>
      <w:pPr>
        <w:spacing w:before="60" w:after="100"/>
      </w:pPr>
      <w:r>
        <w:rPr>
          <w:rFonts w:ascii="Calibri" w:cs="Calibri" w:eastAsia="Calibri" w:hAnsi="Calibri"/>
          <w:color w:val="1A1A2E"/>
          <w:sz w:val="22"/>
          <w:szCs w:val="22"/>
        </w:rPr>
        <w:t xml:space="preserve">Total estimated timeline to first B2B pilot conversation: 18–27 weeks from greenlight. This assumes normal engineering capacity and no major dependency blockers on existing service APIs.</w:t>
      </w:r>
    </w:p>
    <w:p>
      <w:pPr>
        <w:pBdr>
          <w:bottom w:val="single" w:color="CBD5E0" w:sz="4" w:space="1"/>
        </w:pBdr>
        <w:spacing w:before="160" w:after="160"/>
      </w:pPr>
      <w:r>
        <w:t xml:space="preserve"/>
      </w:r>
    </w:p>
    <w:p>
      <w:pPr>
        <w:pStyle w:val="Heading1"/>
        <w:pBdr>
          <w:bottom w:val="single" w:color="00A884" w:sz="6" w:space="4"/>
        </w:pBdr>
        <w:spacing w:before="360" w:after="160"/>
      </w:pPr>
      <w:r>
        <w:rPr>
          <w:rFonts w:ascii="Calibri" w:cs="Calibri" w:eastAsia="Calibri" w:hAnsi="Calibri"/>
          <w:b/>
          <w:bCs/>
          <w:color w:val="0A1628"/>
          <w:sz w:val="36"/>
          <w:szCs w:val="36"/>
        </w:rPr>
        <w:t xml:space="preserve">6.  Business Value &amp; Revenue Model</w:t>
      </w:r>
    </w:p>
    <w:p>
      <w:pPr>
        <w:pStyle w:val="Heading2"/>
        <w:spacing w:before="280" w:after="120"/>
      </w:pPr>
      <w:r>
        <w:rPr>
          <w:rFonts w:ascii="Calibri" w:cs="Calibri" w:eastAsia="Calibri" w:hAnsi="Calibri"/>
          <w:b/>
          <w:bCs/>
          <w:color w:val="1E3A5F"/>
          <w:sz w:val="28"/>
          <w:szCs w:val="28"/>
        </w:rPr>
        <w:t xml:space="preserve">6.1  Target Customer Segments</w:t>
      </w:r>
    </w:p>
    <w:p>
      <w:pPr>
        <w:spacing w:before="60" w:after="100"/>
      </w:pPr>
      <w:r>
        <w:rPr>
          <w:rFonts w:ascii="Calibri" w:cs="Calibri" w:eastAsia="Calibri" w:hAnsi="Calibri"/>
          <w:color w:val="1A1A2E"/>
          <w:sz w:val="22"/>
          <w:szCs w:val="22"/>
        </w:rPr>
        <w:t xml:space="preserve">The platform's primary B2B target segments, in order of likely readiness and deal value:</w:t>
      </w:r>
    </w:p>
    <w:p>
      <w:pPr>
        <w:spacing w:before="0" w:after="0"/>
      </w:pPr>
      <w:r>
        <w:t xml:space="preserve"/>
      </w:r>
    </w:p>
    <w:p>
      <w:pPr>
        <w:pStyle w:val="ListParagraph"/>
        <w:numPr>
          <w:ilvl w:val="0"/>
          <w:numId w:val="3"/>
        </w:numPr>
        <w:spacing w:before="40" w:after="60"/>
      </w:pPr>
      <w:r>
        <w:rPr>
          <w:rFonts w:ascii="Calibri" w:cs="Calibri" w:eastAsia="Calibri" w:hAnsi="Calibri"/>
          <w:color w:val="1A1A2E"/>
          <w:sz w:val="22"/>
          <w:szCs w:val="22"/>
        </w:rPr>
        <w:t xml:space="preserve">Enterprise legal teams (in-house counsel at corporations with active contract volumes)</w:t>
      </w:r>
    </w:p>
    <w:p>
      <w:pPr>
        <w:pStyle w:val="ListParagraph"/>
        <w:numPr>
          <w:ilvl w:val="0"/>
          <w:numId w:val="3"/>
        </w:numPr>
        <w:spacing w:before="40" w:after="60"/>
      </w:pPr>
      <w:r>
        <w:rPr>
          <w:rFonts w:ascii="Calibri" w:cs="Calibri" w:eastAsia="Calibri" w:hAnsi="Calibri"/>
          <w:color w:val="1A1A2E"/>
          <w:sz w:val="22"/>
          <w:szCs w:val="22"/>
        </w:rPr>
        <w:t xml:space="preserve">Banks and financial institutions (regulatory compliance and contract management at scale)</w:t>
      </w:r>
    </w:p>
    <w:p>
      <w:pPr>
        <w:pStyle w:val="ListParagraph"/>
        <w:numPr>
          <w:ilvl w:val="0"/>
          <w:numId w:val="3"/>
        </w:numPr>
        <w:spacing w:before="40" w:after="60"/>
      </w:pPr>
      <w:r>
        <w:rPr>
          <w:rFonts w:ascii="Calibri" w:cs="Calibri" w:eastAsia="Calibri" w:hAnsi="Calibri"/>
          <w:color w:val="1A1A2E"/>
          <w:sz w:val="22"/>
          <w:szCs w:val="22"/>
        </w:rPr>
        <w:t xml:space="preserve">Procurement departments (supplier contract intake, review, and approval workflows)</w:t>
      </w:r>
    </w:p>
    <w:p>
      <w:pPr>
        <w:pStyle w:val="ListParagraph"/>
        <w:numPr>
          <w:ilvl w:val="0"/>
          <w:numId w:val="3"/>
        </w:numPr>
        <w:spacing w:before="40" w:after="60"/>
      </w:pPr>
      <w:r>
        <w:rPr>
          <w:rFonts w:ascii="Calibri" w:cs="Calibri" w:eastAsia="Calibri" w:hAnsi="Calibri"/>
          <w:color w:val="1A1A2E"/>
          <w:sz w:val="22"/>
          <w:szCs w:val="22"/>
        </w:rPr>
        <w:t xml:space="preserve">Insurers (policy and claims document processing with compliance overlay)</w:t>
      </w:r>
    </w:p>
    <w:p>
      <w:pPr>
        <w:pStyle w:val="ListParagraph"/>
        <w:numPr>
          <w:ilvl w:val="0"/>
          <w:numId w:val="3"/>
        </w:numPr>
        <w:spacing w:before="40" w:after="60"/>
      </w:pPr>
      <w:r>
        <w:rPr>
          <w:rFonts w:ascii="Calibri" w:cs="Calibri" w:eastAsia="Calibri" w:hAnsi="Calibri"/>
          <w:color w:val="1A1A2E"/>
          <w:sz w:val="22"/>
          <w:szCs w:val="22"/>
        </w:rPr>
        <w:t xml:space="preserve">Regulated businesses requiring documented compliance workflows</w:t>
      </w:r>
    </w:p>
    <w:p>
      <w:pPr>
        <w:pStyle w:val="ListParagraph"/>
        <w:numPr>
          <w:ilvl w:val="0"/>
          <w:numId w:val="3"/>
        </w:numPr>
        <w:spacing w:before="40" w:after="60"/>
      </w:pPr>
      <w:r>
        <w:rPr>
          <w:rFonts w:ascii="Calibri" w:cs="Calibri" w:eastAsia="Calibri" w:hAnsi="Calibri"/>
          <w:color w:val="1A1A2E"/>
          <w:sz w:val="22"/>
          <w:szCs w:val="22"/>
        </w:rPr>
        <w:t xml:space="preserve">Law firms seeking to offer value-added workflow services to enterprise clients</w:t>
      </w:r>
    </w:p>
    <w:p>
      <w:pPr>
        <w:spacing w:before="0" w:after="160"/>
      </w:pPr>
      <w:r>
        <w:t xml:space="preserve"/>
      </w:r>
    </w:p>
    <w:p>
      <w:pPr>
        <w:pStyle w:val="Heading2"/>
        <w:spacing w:before="280" w:after="120"/>
      </w:pPr>
      <w:r>
        <w:rPr>
          <w:rFonts w:ascii="Calibri" w:cs="Calibri" w:eastAsia="Calibri" w:hAnsi="Calibri"/>
          <w:b/>
          <w:bCs/>
          <w:color w:val="1E3A5F"/>
          <w:sz w:val="28"/>
          <w:szCs w:val="28"/>
        </w:rPr>
        <w:t xml:space="preserve">6.2  Revenue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A884" w:sz="4"/>
              <w:left w:val="single" w:color="00A884" w:sz="4"/>
              <w:bottom w:val="single" w:color="00A884" w:sz="4"/>
              <w:right w:val="single" w:color="00A884" w:sz="4"/>
            </w:tcBorders>
            <w:shd w:fill="E6F7F4" w:val="clear"/>
            <w:tcMar>
              <w:top w:type="dxa" w:w="80"/>
              <w:left w:type="dxa" w:w="140"/>
              <w:bottom w:type="dxa" w:w="80"/>
              <w:right w:type="dxa" w:w="140"/>
            </w:tcMar>
          </w:tcPr>
          <w:p>
            <w:r>
              <w:rPr>
                <w:rFonts w:ascii="Calibri" w:cs="Calibri" w:eastAsia="Calibri" w:hAnsi="Calibri"/>
                <w:b/>
                <w:bCs/>
                <w:color w:val="00A884"/>
                <w:sz w:val="20"/>
                <w:szCs w:val="20"/>
              </w:rPr>
              <w:t xml:space="preserve">Per-seat + workflow usage</w:t>
            </w:r>
          </w:p>
        </w:tc>
        <w:tc>
          <w:tcPr>
            <w:tcW w:type="dxa" w:w="6360"/>
            <w:tcBorders>
              <w:top w:val="single" w:color="00A884" w:sz="4"/>
              <w:left w:val="single" w:color="00A884" w:sz="4"/>
              <w:bottom w:val="single" w:color="00A884" w:sz="4"/>
              <w:right w:val="single" w:color="00A884"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Base subscription per user, plus volume-based pricing for document processing and workflow runs. Aligns cost with value delivered.</w:t>
            </w:r>
          </w:p>
        </w:tc>
      </w:tr>
      <w:tr>
        <w:tc>
          <w:tcPr>
            <w:tcW w:type="dxa" w:w="3000"/>
            <w:tcBorders>
              <w:top w:val="single" w:color="00A884" w:sz="4"/>
              <w:left w:val="single" w:color="00A884" w:sz="4"/>
              <w:bottom w:val="single" w:color="00A884" w:sz="4"/>
              <w:right w:val="single" w:color="00A884" w:sz="4"/>
            </w:tcBorders>
            <w:shd w:fill="E6F7F4" w:val="clear"/>
            <w:tcMar>
              <w:top w:type="dxa" w:w="80"/>
              <w:left w:type="dxa" w:w="140"/>
              <w:bottom w:type="dxa" w:w="80"/>
              <w:right w:type="dxa" w:w="140"/>
            </w:tcMar>
          </w:tcPr>
          <w:p>
            <w:r>
              <w:rPr>
                <w:rFonts w:ascii="Calibri" w:cs="Calibri" w:eastAsia="Calibri" w:hAnsi="Calibri"/>
                <w:b/>
                <w:bCs/>
                <w:color w:val="00A884"/>
                <w:sz w:val="20"/>
                <w:szCs w:val="20"/>
              </w:rPr>
              <w:t xml:space="preserve">Enterprise subscription</w:t>
            </w:r>
          </w:p>
        </w:tc>
        <w:tc>
          <w:tcPr>
            <w:tcW w:type="dxa" w:w="6360"/>
            <w:tcBorders>
              <w:top w:val="single" w:color="00A884" w:sz="4"/>
              <w:left w:val="single" w:color="00A884" w:sz="4"/>
              <w:bottom w:val="single" w:color="00A884" w:sz="4"/>
              <w:right w:val="single" w:color="00A884"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Annual contract for large organisations with high volume. Includes dedicated support, custom workflow templates, and SLA commitments.</w:t>
            </w:r>
          </w:p>
        </w:tc>
      </w:tr>
      <w:tr>
        <w:tc>
          <w:tcPr>
            <w:tcW w:type="dxa" w:w="3000"/>
            <w:tcBorders>
              <w:top w:val="single" w:color="00A884" w:sz="4"/>
              <w:left w:val="single" w:color="00A884" w:sz="4"/>
              <w:bottom w:val="single" w:color="00A884" w:sz="4"/>
              <w:right w:val="single" w:color="00A884" w:sz="4"/>
            </w:tcBorders>
            <w:shd w:fill="E6F7F4" w:val="clear"/>
            <w:tcMar>
              <w:top w:type="dxa" w:w="80"/>
              <w:left w:type="dxa" w:w="140"/>
              <w:bottom w:type="dxa" w:w="80"/>
              <w:right w:type="dxa" w:w="140"/>
            </w:tcMar>
          </w:tcPr>
          <w:p>
            <w:r>
              <w:rPr>
                <w:rFonts w:ascii="Calibri" w:cs="Calibri" w:eastAsia="Calibri" w:hAnsi="Calibri"/>
                <w:b/>
                <w:bCs/>
                <w:color w:val="00A884"/>
                <w:sz w:val="20"/>
                <w:szCs w:val="20"/>
              </w:rPr>
              <w:t xml:space="preserve">Vertical workflow templates</w:t>
            </w:r>
          </w:p>
        </w:tc>
        <w:tc>
          <w:tcPr>
            <w:tcW w:type="dxa" w:w="6360"/>
            <w:tcBorders>
              <w:top w:val="single" w:color="00A884" w:sz="4"/>
              <w:left w:val="single" w:color="00A884" w:sz="4"/>
              <w:bottom w:val="single" w:color="00A884" w:sz="4"/>
              <w:right w:val="single" w:color="00A884"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Premium modules for specific industries (banking, insurance, procurement) with pre-configured compliance rule sets and jurisdiction profiles.</w:t>
            </w:r>
          </w:p>
        </w:tc>
      </w:tr>
      <w:tr>
        <w:tc>
          <w:tcPr>
            <w:tcW w:type="dxa" w:w="3000"/>
            <w:tcBorders>
              <w:top w:val="single" w:color="00A884" w:sz="4"/>
              <w:left w:val="single" w:color="00A884" w:sz="4"/>
              <w:bottom w:val="single" w:color="00A884" w:sz="4"/>
              <w:right w:val="single" w:color="00A884" w:sz="4"/>
            </w:tcBorders>
            <w:shd w:fill="E6F7F4" w:val="clear"/>
            <w:tcMar>
              <w:top w:type="dxa" w:w="80"/>
              <w:left w:type="dxa" w:w="140"/>
              <w:bottom w:type="dxa" w:w="80"/>
              <w:right w:type="dxa" w:w="140"/>
            </w:tcMar>
          </w:tcPr>
          <w:p>
            <w:r>
              <w:rPr>
                <w:rFonts w:ascii="Calibri" w:cs="Calibri" w:eastAsia="Calibri" w:hAnsi="Calibri"/>
                <w:b/>
                <w:bCs/>
                <w:color w:val="00A884"/>
                <w:sz w:val="20"/>
                <w:szCs w:val="20"/>
              </w:rPr>
              <w:t xml:space="preserve">Implementation &amp; integration</w:t>
            </w:r>
          </w:p>
        </w:tc>
        <w:tc>
          <w:tcPr>
            <w:tcW w:type="dxa" w:w="6360"/>
            <w:tcBorders>
              <w:top w:val="single" w:color="00A884" w:sz="4"/>
              <w:left w:val="single" w:color="00A884" w:sz="4"/>
              <w:bottom w:val="single" w:color="00A884" w:sz="4"/>
              <w:right w:val="single" w:color="00A884"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Professional services for enterprise onboarding, custom workflow configuration, and external system integration.</w:t>
            </w:r>
          </w:p>
        </w:tc>
      </w:tr>
      <w:tr>
        <w:tc>
          <w:tcPr>
            <w:tcW w:type="dxa" w:w="3000"/>
            <w:tcBorders>
              <w:top w:val="single" w:color="00A884" w:sz="4"/>
              <w:left w:val="single" w:color="00A884" w:sz="4"/>
              <w:bottom w:val="single" w:color="00A884" w:sz="4"/>
              <w:right w:val="single" w:color="00A884" w:sz="4"/>
            </w:tcBorders>
            <w:shd w:fill="E6F7F4" w:val="clear"/>
            <w:tcMar>
              <w:top w:type="dxa" w:w="80"/>
              <w:left w:type="dxa" w:w="140"/>
              <w:bottom w:type="dxa" w:w="80"/>
              <w:right w:type="dxa" w:w="140"/>
            </w:tcMar>
          </w:tcPr>
          <w:p>
            <w:r>
              <w:rPr>
                <w:rFonts w:ascii="Calibri" w:cs="Calibri" w:eastAsia="Calibri" w:hAnsi="Calibri"/>
                <w:b/>
                <w:bCs/>
                <w:color w:val="00A884"/>
                <w:sz w:val="20"/>
                <w:szCs w:val="20"/>
              </w:rPr>
              <w:t xml:space="preserve">Analytics tier</w:t>
            </w:r>
          </w:p>
        </w:tc>
        <w:tc>
          <w:tcPr>
            <w:tcW w:type="dxa" w:w="6360"/>
            <w:tcBorders>
              <w:top w:val="single" w:color="00A884" w:sz="4"/>
              <w:left w:val="single" w:color="00A884" w:sz="4"/>
              <w:bottom w:val="single" w:color="00A884" w:sz="4"/>
              <w:right w:val="single" w:color="00A884"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Premium analytics module with advanced reporting, custom dashboards, and API access for enterprise data teams.</w:t>
            </w:r>
          </w:p>
        </w:tc>
      </w:tr>
    </w:tbl>
    <w:p>
      <w:pPr>
        <w:spacing w:before="0" w:after="160"/>
      </w:pPr>
      <w:r>
        <w:t xml:space="preserve"/>
      </w:r>
    </w:p>
    <w:p>
      <w:pPr>
        <w:pBdr>
          <w:bottom w:val="single" w:color="CBD5E0" w:sz="4" w:space="1"/>
        </w:pBdr>
        <w:spacing w:before="160" w:after="160"/>
      </w:pPr>
      <w:r>
        <w:t xml:space="preserve"/>
      </w:r>
    </w:p>
    <w:p>
      <w:pPr>
        <w:pStyle w:val="Heading1"/>
        <w:pBdr>
          <w:bottom w:val="single" w:color="00A884" w:sz="6" w:space="4"/>
        </w:pBdr>
        <w:spacing w:before="360" w:after="160"/>
      </w:pPr>
      <w:r>
        <w:rPr>
          <w:rFonts w:ascii="Calibri" w:cs="Calibri" w:eastAsia="Calibri" w:hAnsi="Calibri"/>
          <w:b/>
          <w:bCs/>
          <w:color w:val="0A1628"/>
          <w:sz w:val="36"/>
          <w:szCs w:val="36"/>
        </w:rPr>
        <w:t xml:space="preserve">7.  The Ask</w:t>
      </w:r>
    </w:p>
    <w:p>
      <w:pPr>
        <w:spacing w:before="60" w:after="100"/>
      </w:pPr>
      <w:r>
        <w:rPr>
          <w:rFonts w:ascii="Calibri" w:cs="Calibri" w:eastAsia="Calibri" w:hAnsi="Calibri"/>
          <w:color w:val="1A1A2E"/>
          <w:sz w:val="22"/>
          <w:szCs w:val="22"/>
        </w:rPr>
        <w:t xml:space="preserve">This proposal does not request a full platform build, a reorganisation, or displacement of existing product ownership. It requests four specific decisions:</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A1628" w:sz="4"/>
              <w:left w:val="single" w:color="0A1628" w:sz="4"/>
              <w:bottom w:val="single" w:color="0A1628" w:sz="4"/>
              <w:right w:val="single" w:color="0A1628" w:sz="4"/>
            </w:tcBorders>
            <w:shd w:fill="F2F5F8" w:val="clear"/>
            <w:tcMar>
              <w:top w:type="dxa" w:w="80"/>
              <w:left w:type="dxa" w:w="140"/>
              <w:bottom w:type="dxa" w:w="80"/>
              <w:right w:type="dxa" w:w="140"/>
            </w:tcMar>
          </w:tcPr>
          <w:p>
            <w:r>
              <w:rPr>
                <w:rFonts w:ascii="Calibri" w:cs="Calibri" w:eastAsia="Calibri" w:hAnsi="Calibri"/>
                <w:b/>
                <w:bCs/>
                <w:color w:val="0A1628"/>
                <w:sz w:val="20"/>
                <w:szCs w:val="20"/>
              </w:rPr>
              <w:t xml:space="preserve">1. Strategic Alignment</w:t>
            </w:r>
          </w:p>
        </w:tc>
        <w:tc>
          <w:tcPr>
            <w:tcW w:type="dxa" w:w="6360"/>
            <w:tcBorders>
              <w:top w:val="single" w:color="0A1628" w:sz="4"/>
              <w:left w:val="single" w:color="0A1628" w:sz="4"/>
              <w:bottom w:val="single" w:color="0A1628" w:sz="4"/>
              <w:right w:val="single" w:color="0A1628"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Confirm that the platform direction — Esheria as a programmable legal workflow OS — is the right strategic bet for the next phase of growth.</w:t>
            </w:r>
          </w:p>
        </w:tc>
      </w:tr>
      <w:tr>
        <w:tc>
          <w:tcPr>
            <w:tcW w:type="dxa" w:w="3000"/>
            <w:tcBorders>
              <w:top w:val="single" w:color="0A1628" w:sz="4"/>
              <w:left w:val="single" w:color="0A1628" w:sz="4"/>
              <w:bottom w:val="single" w:color="0A1628" w:sz="4"/>
              <w:right w:val="single" w:color="0A1628" w:sz="4"/>
            </w:tcBorders>
            <w:shd w:fill="F2F5F8" w:val="clear"/>
            <w:tcMar>
              <w:top w:type="dxa" w:w="80"/>
              <w:left w:type="dxa" w:w="140"/>
              <w:bottom w:type="dxa" w:w="80"/>
              <w:right w:type="dxa" w:w="140"/>
            </w:tcMar>
          </w:tcPr>
          <w:p>
            <w:r>
              <w:rPr>
                <w:rFonts w:ascii="Calibri" w:cs="Calibri" w:eastAsia="Calibri" w:hAnsi="Calibri"/>
                <w:b/>
                <w:bCs/>
                <w:color w:val="0A1628"/>
                <w:sz w:val="20"/>
                <w:szCs w:val="20"/>
              </w:rPr>
              <w:t xml:space="preserve">2. MVP Greenlight</w:t>
            </w:r>
          </w:p>
        </w:tc>
        <w:tc>
          <w:tcPr>
            <w:tcW w:type="dxa" w:w="6360"/>
            <w:tcBorders>
              <w:top w:val="single" w:color="0A1628" w:sz="4"/>
              <w:left w:val="single" w:color="0A1628" w:sz="4"/>
              <w:bottom w:val="single" w:color="0A1628" w:sz="4"/>
              <w:right w:val="single" w:color="0A1628"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Approve Phase 0 through Phase 2: the validation, design, and MVP build phases, culminating in a live Contract Intake and Review demo.</w:t>
            </w:r>
          </w:p>
        </w:tc>
      </w:tr>
      <w:tr>
        <w:tc>
          <w:tcPr>
            <w:tcW w:type="dxa" w:w="3000"/>
            <w:tcBorders>
              <w:top w:val="single" w:color="0A1628" w:sz="4"/>
              <w:left w:val="single" w:color="0A1628" w:sz="4"/>
              <w:bottom w:val="single" w:color="0A1628" w:sz="4"/>
              <w:right w:val="single" w:color="0A1628" w:sz="4"/>
            </w:tcBorders>
            <w:shd w:fill="F2F5F8" w:val="clear"/>
            <w:tcMar>
              <w:top w:type="dxa" w:w="80"/>
              <w:left w:type="dxa" w:w="140"/>
              <w:bottom w:type="dxa" w:w="80"/>
              <w:right w:type="dxa" w:w="140"/>
            </w:tcMar>
          </w:tcPr>
          <w:p>
            <w:r>
              <w:rPr>
                <w:rFonts w:ascii="Calibri" w:cs="Calibri" w:eastAsia="Calibri" w:hAnsi="Calibri"/>
                <w:b/>
                <w:bCs/>
                <w:color w:val="0A1628"/>
                <w:sz w:val="20"/>
                <w:szCs w:val="20"/>
              </w:rPr>
              <w:t xml:space="preserve">3. Platform Ownership</w:t>
            </w:r>
          </w:p>
        </w:tc>
        <w:tc>
          <w:tcPr>
            <w:tcW w:type="dxa" w:w="6360"/>
            <w:tcBorders>
              <w:top w:val="single" w:color="0A1628" w:sz="4"/>
              <w:left w:val="single" w:color="0A1628" w:sz="4"/>
              <w:bottom w:val="single" w:color="0A1628" w:sz="4"/>
              <w:right w:val="single" w:color="0A1628"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Name a platform lead responsible for coordinating across existing repo owners. Without clear ownership, the orchestration layer will stall.</w:t>
            </w:r>
          </w:p>
        </w:tc>
      </w:tr>
      <w:tr>
        <w:tc>
          <w:tcPr>
            <w:tcW w:type="dxa" w:w="3000"/>
            <w:tcBorders>
              <w:top w:val="single" w:color="0A1628" w:sz="4"/>
              <w:left w:val="single" w:color="0A1628" w:sz="4"/>
              <w:bottom w:val="single" w:color="0A1628" w:sz="4"/>
              <w:right w:val="single" w:color="0A1628" w:sz="4"/>
            </w:tcBorders>
            <w:shd w:fill="F2F5F8" w:val="clear"/>
            <w:tcMar>
              <w:top w:type="dxa" w:w="80"/>
              <w:left w:type="dxa" w:w="140"/>
              <w:bottom w:type="dxa" w:w="80"/>
              <w:right w:type="dxa" w:w="140"/>
            </w:tcMar>
          </w:tcPr>
          <w:p>
            <w:r>
              <w:rPr>
                <w:rFonts w:ascii="Calibri" w:cs="Calibri" w:eastAsia="Calibri" w:hAnsi="Calibri"/>
                <w:b/>
                <w:bCs/>
                <w:color w:val="0A1628"/>
                <w:sz w:val="20"/>
                <w:szCs w:val="20"/>
              </w:rPr>
              <w:t xml:space="preserve">4. Pilot Target</w:t>
            </w:r>
          </w:p>
        </w:tc>
        <w:tc>
          <w:tcPr>
            <w:tcW w:type="dxa" w:w="6360"/>
            <w:tcBorders>
              <w:top w:val="single" w:color="0A1628" w:sz="4"/>
              <w:left w:val="single" w:color="0A1628" w:sz="4"/>
              <w:bottom w:val="single" w:color="0A1628" w:sz="4"/>
              <w:right w:val="single" w:color="0A1628" w:sz="4"/>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Identify one B2B customer type or named prospect to use as the north star for the MVP and B2B packaging phases.</w:t>
            </w:r>
          </w:p>
        </w:tc>
      </w:tr>
    </w:tbl>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00A884" w:sz="8"/>
              <w:left w:val="single" w:color="00A884" w:sz="8"/>
              <w:bottom w:val="single" w:color="00A884" w:sz="8"/>
              <w:right w:val="none" w:color="FFFFFF" w:sz="0"/>
            </w:tcBorders>
            <w:shd w:fill="00A884" w:val="clear"/>
            <w:tcMar>
              <w:top w:type="dxa" w:w="120"/>
              <w:left w:type="dxa" w:w="140"/>
              <w:bottom w:type="dxa" w:w="120"/>
              <w:right w:type="dxa" w:w="0"/>
            </w:tcMar>
            <w:vAlign w:val="center"/>
          </w:tcPr>
          <w:p>
            <w:pPr>
              <w:jc w:val="center"/>
            </w:pPr>
            <w:r>
              <w:rPr>
                <w:sz w:val="1"/>
                <w:szCs w:val="1"/>
              </w:rPr>
              <w:t xml:space="preserve"/>
            </w:r>
          </w:p>
        </w:tc>
        <w:tc>
          <w:tcPr>
            <w:tcW w:type="dxa" w:w="9160"/>
            <w:tcBorders>
              <w:top w:val="single" w:color="00A884" w:sz="4"/>
              <w:left w:val="none" w:color="FFFFFF" w:sz="0"/>
              <w:bottom w:val="single" w:color="00A884" w:sz="4"/>
              <w:right w:val="single" w:color="00A884" w:sz="4"/>
            </w:tcBorders>
            <w:shd w:fill="E6F7F4" w:val="clear"/>
            <w:tcMar>
              <w:top w:type="dxa" w:w="120"/>
              <w:left w:type="dxa" w:w="200"/>
              <w:bottom w:type="dxa" w:w="120"/>
              <w:right w:type="dxa" w:w="160"/>
            </w:tcMar>
          </w:tcPr>
          <w:p>
            <w:pPr>
              <w:spacing w:before="0" w:after="60"/>
            </w:pPr>
            <w:r>
              <w:rPr>
                <w:rFonts w:ascii="Calibri" w:cs="Calibri" w:eastAsia="Calibri" w:hAnsi="Calibri"/>
                <w:b/>
                <w:bCs/>
                <w:color w:val="00A884"/>
                <w:spacing w:val="40"/>
                <w:sz w:val="18"/>
                <w:szCs w:val="18"/>
              </w:rPr>
              <w:t xml:space="preserve">CLOSING STATEMENT</w:t>
            </w:r>
          </w:p>
          <w:p>
            <w:pPr>
              <w:spacing w:before="0" w:after="0"/>
            </w:pPr>
            <w:r>
              <w:rPr>
                <w:rFonts w:ascii="Calibri" w:cs="Calibri" w:eastAsia="Calibri" w:hAnsi="Calibri"/>
                <w:i/>
                <w:iCs/>
                <w:color w:val="1A1A2E"/>
                <w:sz w:val="22"/>
                <w:szCs w:val="22"/>
              </w:rPr>
              <w:t xml:space="preserve">We are not asking to rebuild Esheria. We are asking for permission to prove that what Esheria has already built can operate as one coherent system — and that this coherence creates the enterprise story that drives the next phase of growth.</w:t>
            </w:r>
          </w:p>
        </w:tc>
      </w:tr>
    </w:tbl>
    <w:p>
      <w:pPr>
        <w:spacing w:before="0" w:after="320"/>
      </w:pPr>
      <w:r>
        <w:t xml:space="preserve"/>
      </w:r>
    </w:p>
    <w:p>
      <w:pPr>
        <w:pBdr>
          <w:bottom w:val="single" w:color="CBD5E0" w:sz="4" w:space="1"/>
        </w:pBdr>
        <w:spacing w:before="160" w:after="160"/>
      </w:pPr>
      <w:r>
        <w:t xml:space="preserve"/>
      </w:r>
    </w:p>
    <w:p>
      <w:pPr>
        <w:pStyle w:val="Heading1"/>
        <w:pBdr>
          <w:bottom w:val="single" w:color="00A884" w:sz="6" w:space="4"/>
        </w:pBdr>
        <w:spacing w:before="360" w:after="160"/>
      </w:pPr>
      <w:r>
        <w:rPr>
          <w:rFonts w:ascii="Calibri" w:cs="Calibri" w:eastAsia="Calibri" w:hAnsi="Calibri"/>
          <w:b/>
          <w:bCs/>
          <w:color w:val="0A1628"/>
          <w:sz w:val="36"/>
          <w:szCs w:val="36"/>
        </w:rPr>
        <w:t xml:space="preserve">Supporting Documentation</w:t>
      </w:r>
    </w:p>
    <w:p>
      <w:pPr>
        <w:spacing w:before="60" w:after="100"/>
      </w:pPr>
      <w:r>
        <w:rPr>
          <w:rFonts w:ascii="Calibri" w:cs="Calibri" w:eastAsia="Calibri" w:hAnsi="Calibri"/>
          <w:color w:val="1A1A2E"/>
          <w:sz w:val="22"/>
          <w:szCs w:val="22"/>
        </w:rPr>
        <w:t xml:space="preserve">The following technical and product documents have been prepared to support this proposal and are available for deeper review:</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Document</w:t>
            </w:r>
          </w:p>
        </w:tc>
        <w:tc>
          <w:tcPr>
            <w:tcW w:type="dxa" w:w="400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Purpose</w:t>
            </w:r>
          </w:p>
        </w:tc>
        <w:tc>
          <w:tcPr>
            <w:tcW w:type="dxa" w:w="2160"/>
            <w:tcBorders>
              <w:top w:val="single" w:color="0A1628" w:sz="4"/>
              <w:left w:val="single" w:color="0A1628" w:sz="4"/>
              <w:bottom w:val="single" w:color="00A884" w:sz="8"/>
              <w:right w:val="single" w:color="0A1628" w:sz="4"/>
            </w:tcBorders>
            <w:shd w:fill="0A1628"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Audience</w:t>
            </w:r>
          </w:p>
        </w:tc>
      </w:tr>
      <w:tr>
        <w:tc>
          <w:tcPr>
            <w:tcW w:type="dxa" w:w="3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Technical Architecture Blueprint</w:t>
            </w:r>
          </w:p>
        </w:tc>
        <w:tc>
          <w:tcPr>
            <w:tcW w:type="dxa" w:w="4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Full engineering specification: 5-layer architecture, deployment topology, API contracts, data model, tenancy/auth model</w:t>
            </w:r>
          </w:p>
        </w:tc>
        <w:tc>
          <w:tcPr>
            <w:tcW w:type="dxa" w:w="21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Engineering leads, CTO</w:t>
            </w:r>
          </w:p>
        </w:tc>
      </w:tr>
      <w:tr>
        <w:tc>
          <w:tcPr>
            <w:tcW w:type="dxa" w:w="3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Architecture Diagram Pack</w:t>
            </w:r>
          </w:p>
        </w:tc>
        <w:tc>
          <w:tcPr>
            <w:tcW w:type="dxa" w:w="4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8 engineering-grade SVG diagrams: system context, layered arch, sequence diagram, data model, control/data plane, service integration, deployment, dashboard topology</w:t>
            </w:r>
          </w:p>
        </w:tc>
        <w:tc>
          <w:tcPr>
            <w:tcW w:type="dxa" w:w="21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All technical stakeholders</w:t>
            </w:r>
          </w:p>
        </w:tc>
      </w:tr>
      <w:tr>
        <w:tc>
          <w:tcPr>
            <w:tcW w:type="dxa" w:w="3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Architecture Consistency Report</w:t>
            </w:r>
          </w:p>
        </w:tc>
        <w:tc>
          <w:tcPr>
            <w:tcW w:type="dxa" w:w="4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7 resolved inconsistencies across source artifacts; canonical architecture fact table</w:t>
            </w:r>
          </w:p>
        </w:tc>
        <w:tc>
          <w:tcPr>
            <w:tcW w:type="dxa" w:w="21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Engineering leads</w:t>
            </w:r>
          </w:p>
        </w:tc>
      </w:tr>
      <w:tr>
        <w:tc>
          <w:tcPr>
            <w:tcW w:type="dxa" w:w="32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Dashboard Mockup Briefs</w:t>
            </w:r>
          </w:p>
        </w:tc>
        <w:tc>
          <w:tcPr>
            <w:tcW w:type="dxa" w:w="400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Screen-level design briefs for 5 surfaces: Institution Workspace, Operator Console, Workflow Monitor, Institution Analytics, Support/Incident Center</w:t>
            </w:r>
          </w:p>
        </w:tc>
        <w:tc>
          <w:tcPr>
            <w:tcW w:type="dxa" w:w="2160"/>
            <w:tcBorders>
              <w:top w:val="single" w:color="CBD5E0" w:sz="4"/>
              <w:left w:val="single" w:color="CBD5E0" w:sz="4"/>
              <w:bottom w:val="single" w:color="CBD5E0" w:sz="4"/>
              <w:right w:val="single" w:color="CBD5E0" w:sz="4"/>
            </w:tcBorders>
            <w:shd w:fill="F2F5F8" w:val="clear"/>
            <w:tcMar>
              <w:top w:type="dxa" w:w="100"/>
              <w:left w:type="dxa" w:w="140"/>
              <w:bottom w:type="dxa" w:w="100"/>
              <w:right w:type="dxa" w:w="140"/>
            </w:tcMar>
          </w:tcPr>
          <w:p>
            <w:r>
              <w:rPr>
                <w:rFonts w:ascii="Calibri" w:cs="Calibri" w:eastAsia="Calibri" w:hAnsi="Calibri"/>
                <w:color w:val="1A1A2E"/>
                <w:sz w:val="20"/>
                <w:szCs w:val="20"/>
              </w:rPr>
              <w:t xml:space="preserve">Product, design, engineering</w:t>
            </w:r>
          </w:p>
        </w:tc>
      </w:tr>
      <w:tr>
        <w:tc>
          <w:tcPr>
            <w:tcW w:type="dxa" w:w="32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Technical Appendix</w:t>
            </w:r>
          </w:p>
        </w:tc>
        <w:tc>
          <w:tcPr>
            <w:tcW w:type="dxa" w:w="400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API catalog, module reference, repo integration table, tenancy model, implementation notes</w:t>
            </w:r>
          </w:p>
        </w:tc>
        <w:tc>
          <w:tcPr>
            <w:tcW w:type="dxa" w:w="2160"/>
            <w:tcBorders>
              <w:top w:val="single" w:color="CBD5E0" w:sz="4"/>
              <w:left w:val="single" w:color="CBD5E0" w:sz="4"/>
              <w:bottom w:val="single" w:color="CBD5E0" w:sz="4"/>
              <w:right w:val="single" w:color="CBD5E0" w:sz="4"/>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Engineering team</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4"/>
      </w:pBdr>
      <w:tabs>
        <w:tab w:val="center" w:pos="4680"/>
        <w:tab w:val="right" w:pos="9360"/>
      </w:tabs>
      <w:spacing w:before="80"/>
    </w:pPr>
    <w:r>
      <w:rPr>
        <w:rFonts w:ascii="Calibri" w:cs="Calibri" w:eastAsia="Calibri" w:hAnsi="Calibri"/>
        <w:color w:val="8A9BB0"/>
        <w:sz w:val="16"/>
        <w:szCs w:val="16"/>
      </w:rPr>
      <w:t xml:space="preserve">Esheria Legal Workflow OS  ·  Executive Proposal</w:t>
    </w:r>
    <w:r>
      <w:rPr>
        <w:sz w:val="16"/>
        <w:szCs w:val="16"/>
      </w:rPr>
      <w:t xml:space="preserve">	</w:t>
    </w:r>
    <w:r>
      <w:rPr>
        <w:rFonts w:ascii="Calibri" w:cs="Calibri" w:eastAsia="Calibri" w:hAnsi="Calibri"/>
        <w:color w:val="8A9BB0"/>
        <w:sz w:val="16"/>
        <w:szCs w:val="16"/>
      </w:rPr>
      <w:t xml:space="preserve">Vincent Nyamao  ·  2025</w:t>
    </w:r>
    <w:r>
      <w:rPr>
        <w:sz w:val="16"/>
        <w:szCs w:val="16"/>
      </w:rPr>
      <w:t xml:space="preserve">	</w:t>
    </w:r>
    <w:r>
      <w:rPr>
        <w:rFonts w:ascii="Calibri" w:cs="Calibri" w:eastAsia="Calibri" w:hAnsi="Calibri"/>
        <w:color w:val="8A9BB0"/>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A1628" w:val="clear"/>
          <w:tcMar>
            <w:top w:type="dxa" w:w="80"/>
            <w:left w:type="dxa" w:w="180"/>
            <w:bottom w:type="dxa" w:w="80"/>
            <w:right w:type="dxa" w:w="80"/>
          </w:tcMar>
        </w:tcPr>
        <w:p>
          <w:r>
            <w:rPr>
              <w:rFonts w:ascii="Calibri" w:cs="Calibri" w:eastAsia="Calibri" w:hAnsi="Calibri"/>
              <w:b/>
              <w:bCs/>
              <w:color w:val="00A884"/>
              <w:spacing w:val="60"/>
              <w:sz w:val="18"/>
              <w:szCs w:val="18"/>
            </w:rPr>
            <w:t xml:space="preserve">ESHERIA  ·  LEGAL WORKFLOW OS</w:t>
          </w:r>
        </w:p>
      </w:tc>
      <w:tc>
        <w:tcPr>
          <w:tcW w:type="dxa" w:w="4680"/>
          <w:tcBorders>
            <w:top w:val="none" w:color="FFFFFF" w:sz="0"/>
            <w:left w:val="none" w:color="FFFFFF" w:sz="0"/>
            <w:bottom w:val="none" w:color="FFFFFF" w:sz="0"/>
            <w:right w:val="none" w:color="FFFFFF" w:sz="0"/>
          </w:tcBorders>
          <w:shd w:fill="0A1628" w:val="clear"/>
          <w:tcMar>
            <w:top w:type="dxa" w:w="80"/>
            <w:left w:type="dxa" w:w="80"/>
            <w:bottom w:type="dxa" w:w="80"/>
            <w:right w:type="dxa" w:w="180"/>
          </w:tcMar>
        </w:tcPr>
        <w:p>
          <w:pPr>
            <w:jc w:val="right"/>
          </w:pPr>
          <w:r>
            <w:rPr>
              <w:rFonts w:ascii="Calibri" w:cs="Calibri" w:eastAsia="Calibri" w:hAnsi="Calibri"/>
              <w:color w:val="6B7E99"/>
              <w:spacing w:val="40"/>
              <w:sz w:val="16"/>
              <w:szCs w:val="16"/>
            </w:rPr>
            <w:t xml:space="preserve">CONFIDENTIAL  ·  CEO REVIEW COPY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560" w:hanging="280"/>
      </w:pPr>
    </w:lvl>
    <w:lvl w:ilvl="1" w15:tentative="1">
      <w:start w:val="1"/>
      <w:numFmt w:val="bullet"/>
      <w:lvlText w:val="–"/>
      <w:lvlJc w:val="left"/>
      <w:pPr>
        <w:spacing w:before="20" w:after="20"/>
        <w:ind w:left="1000" w:hanging="280"/>
      </w:pPr>
    </w:lvl>
  </w:abstractNum>
  <w:abstractNum w:abstractNumId="3" w15:restartNumberingAfterBreak="0">
    <w:multiLevelType w:val="hybridMultilevel"/>
    <w:lvl w:ilvl="0" w15:tentative="1">
      <w:start w:val="1"/>
      <w:numFmt w:val="decimal"/>
      <w:lvlText w:val="%1."/>
      <w:lvlJc w:val="left"/>
      <w:pPr>
        <w:spacing w:before="40" w:after="40"/>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0A1628"/>
      <w:sz w:val="36"/>
      <w:szCs w:val="36"/>
    </w:rPr>
  </w:style>
  <w:style w:type="paragraph" w:styleId="Heading2">
    <w:name w:val="Heading 2"/>
    <w:basedOn w:val="Normal"/>
    <w:next w:val="Normal"/>
    <w:qFormat/>
    <w:pPr>
      <w:spacing w:before="280" w:after="120"/>
      <w:outlineLvl w:val="1"/>
    </w:pPr>
    <w:rPr>
      <w:rFonts w:ascii="Calibri" w:cs="Calibri" w:eastAsia="Calibri" w:hAnsi="Calibri"/>
      <w:b/>
      <w:bCs/>
      <w:color w:val="1E3A5F"/>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2E3F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2026-03-07T15:22:11.962Z</dcterms:created>
  <dcterms:modified xsi:type="dcterms:W3CDTF">2026-03-07T15:22:11.964Z</dcterms:modified>
</cp:coreProperties>
</file>

<file path=docProps/custom.xml><?xml version="1.0" encoding="utf-8"?>
<Properties xmlns="http://schemas.openxmlformats.org/officeDocument/2006/custom-properties" xmlns:vt="http://schemas.openxmlformats.org/officeDocument/2006/docPropsVTypes"/>
</file>