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A1628" w:val="clear"/>
            <w:tcMar>
              <w:top w:type="dxa" w:w="1400"/>
              <w:left w:type="dxa" w:w="1440"/>
              <w:bottom w:type="dxa" w:w="0"/>
              <w:right w:type="dxa" w:w="1440"/>
            </w:tcMar>
          </w:tcPr>
          <w:p>
            <w:pPr>
              <w:spacing w:before="0" w:after="40"/>
            </w:pPr>
            <w:r>
              <w:rPr>
                <w:rFonts w:ascii="Calibri" w:cs="Calibri" w:eastAsia="Calibri" w:hAnsi="Calibri"/>
                <w:b/>
                <w:bCs/>
                <w:color w:val="FFFFFF"/>
                <w:spacing w:val="200"/>
                <w:sz w:val="72"/>
                <w:szCs w:val="72"/>
              </w:rPr>
              <w:t xml:space="preserve">ESHERIA</w:t>
            </w:r>
          </w:p>
          <w:p>
            <w:pPr>
              <w:spacing w:before="0" w:after="80"/>
            </w:pPr>
            <w:r>
              <w:rPr>
                <w:rFonts w:ascii="Calibri" w:cs="Calibri" w:eastAsia="Calibri" w:hAnsi="Calibri"/>
                <w:b/>
                <w:bCs/>
                <w:color w:val="00A884"/>
                <w:spacing w:val="80"/>
                <w:sz w:val="28"/>
                <w:szCs w:val="28"/>
              </w:rPr>
              <w:t xml:space="preserve">LEGAL WORKFLOW OPERATING SYSTEM</w:t>
            </w:r>
          </w:p>
          <w:p>
            <w:pPr>
              <w:pBdr>
                <w:bottom w:val="single" w:color="00A884" w:sz="4" w:space="8"/>
              </w:pBdr>
              <w:spacing w:before="0" w:after="40"/>
            </w:pPr>
            <w:r>
              <w:rPr>
                <w:sz w:val="22"/>
                <w:szCs w:val="22"/>
              </w:rPr>
              <w:t xml:space="preserve"/>
            </w:r>
          </w:p>
        </w:tc>
      </w:tr>
      <w:tr>
        <w:tc>
          <w:tcPr>
            <w:tcW w:type="dxa" w:w="12240"/>
            <w:tcBorders>
              <w:top w:val="none" w:color="FFFFFF" w:sz="0"/>
              <w:left w:val="none" w:color="FFFFFF" w:sz="0"/>
              <w:bottom w:val="none" w:color="FFFFFF" w:sz="0"/>
              <w:right w:val="none" w:color="FFFFFF" w:sz="0"/>
            </w:tcBorders>
            <w:shd w:fill="0A1628" w:val="clear"/>
            <w:tcMar>
              <w:top w:type="dxa" w:w="160"/>
              <w:left w:type="dxa" w:w="1440"/>
              <w:bottom w:type="dxa" w:w="0"/>
              <w:right w:type="dxa" w:w="1440"/>
            </w:tcMar>
          </w:tcPr>
          <w:p>
            <w:pPr>
              <w:spacing w:before="0" w:after="80"/>
            </w:pPr>
            <w:r>
              <w:rPr>
                <w:rFonts w:ascii="Calibri" w:cs="Calibri" w:eastAsia="Calibri" w:hAnsi="Calibri"/>
                <w:b/>
                <w:bCs/>
                <w:color w:val="F2F5F8"/>
                <w:sz w:val="40"/>
                <w:szCs w:val="40"/>
              </w:rPr>
              <w:t xml:space="preserve">Product &amp; Design Appendix</w:t>
            </w:r>
          </w:p>
          <w:p>
            <w:pPr>
              <w:spacing w:before="0" w:after="0"/>
            </w:pPr>
            <w:r>
              <w:rPr>
                <w:rFonts w:ascii="Calibri" w:cs="Calibri" w:eastAsia="Calibri" w:hAnsi="Calibri"/>
                <w:color w:val="8A9BB0"/>
                <w:sz w:val="22"/>
                <w:szCs w:val="22"/>
              </w:rPr>
              <w:t xml:space="preserve">Dashboard Mockup Briefs  ·  UX Architecture  ·  Consistency Report  ·  Artifact Index</w:t>
            </w:r>
          </w:p>
        </w:tc>
      </w:tr>
      <w:tr>
        <w:tc>
          <w:tcPr>
            <w:tcW w:type="dxa" w:w="12240"/>
            <w:tcBorders>
              <w:top w:val="none" w:color="FFFFFF" w:sz="0"/>
              <w:left w:val="none" w:color="FFFFFF" w:sz="0"/>
              <w:bottom w:val="none" w:color="FFFFFF" w:sz="0"/>
              <w:right w:val="none" w:color="FFFFFF" w:sz="0"/>
            </w:tcBorders>
            <w:shd w:fill="081020" w:val="clear"/>
            <w:tcMar>
              <w:top w:type="dxa" w:w="800"/>
              <w:left w:type="dxa" w:w="1440"/>
              <w:bottom w:type="dxa" w:w="1200"/>
              <w:right w:type="dxa" w:w="1440"/>
            </w:tcMar>
          </w:tcPr>
          <w:p>
            <w:pPr>
              <w:spacing w:before="60" w:after="200"/>
            </w:pPr>
            <w:r>
              <w:rPr>
                <w:rFonts w:ascii="Calibri" w:cs="Calibri" w:eastAsia="Calibri" w:hAnsi="Calibri"/>
                <w:color w:val="1A1A2E"/>
                <w:sz w:val="22"/>
                <w:szCs w:val="22"/>
              </w:rPr>
              <w:t xml:space="preserve">This appendix contains the detailed product and UX specifications to support the Executive Proposal and Technical Architecture Blueprint. It defines screen-level design briefs for all five major dashboard surfaces, the architecture consistency report, and the complete artifact index for the CEO review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Attribute</w:t>
                  </w:r>
                </w:p>
              </w:tc>
              <w:tc>
                <w:tcPr>
                  <w:tcW w:type="dxa" w:w="69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Value</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Document Type</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Product &amp; Design Appendix</w:t>
                  </w:r>
                </w:p>
              </w:tc>
            </w:tr>
            <w:tr>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Prepared By</w:t>
                  </w:r>
                </w:p>
              </w:tc>
              <w:tc>
                <w:tcPr>
                  <w:tcW w:type="dxa" w:w="6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Vincent Nyamao</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Audience</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Product · Design · Engineering · CEO Review</w:t>
                  </w:r>
                </w:p>
              </w:tc>
            </w:tr>
            <w:tr>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Classification</w:t>
                  </w:r>
                </w:p>
              </w:tc>
              <w:tc>
                <w:tcPr>
                  <w:tcW w:type="dxa" w:w="6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CONFIDENTIAL — Internal</w:t>
                  </w:r>
                </w:p>
              </w:tc>
            </w:tr>
            <w:tr>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Version</w:t>
                  </w:r>
                </w:p>
              </w:tc>
              <w:tc>
                <w:tcPr>
                  <w:tcW w:type="dxa" w:w="6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1.0 — 2025</w:t>
                  </w:r>
                </w:p>
              </w:tc>
            </w:tr>
          </w:tbl>
          <w:p/>
        </w:tc>
      </w:tr>
    </w:tbl>
    <w:p>
      <w:r>
        <w:br w:type="page"/>
      </w:r>
    </w:p>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80"/>
              <w:left w:type="dxa" w:w="120"/>
              <w:bottom w:type="dxa" w:w="180"/>
              <w:right w:type="dxa" w:w="80"/>
            </w:tcMar>
            <w:vAlign w:val="center"/>
          </w:tcPr>
          <w:p>
            <w:pPr>
              <w:jc w:val="center"/>
            </w:pPr>
            <w:r>
              <w:rPr>
                <w:rFonts w:ascii="Calibri" w:cs="Calibri" w:eastAsia="Calibri" w:hAnsi="Calibri"/>
                <w:b/>
                <w:bCs/>
                <w:color w:val="FFFFFF"/>
                <w:sz w:val="36"/>
                <w:szCs w:val="36"/>
              </w:rPr>
              <w:t xml:space="preserve">A</w:t>
            </w:r>
          </w:p>
        </w:tc>
        <w:tc>
          <w:tcPr>
            <w:tcW w:type="dxa" w:w="8760"/>
            <w:tcBorders>
              <w:top w:val="single" w:color="0A1628" w:sz="4"/>
              <w:left w:val="none" w:color="FFFFFF" w:sz="0"/>
              <w:bottom w:val="single" w:color="0A1628" w:sz="4"/>
              <w:right w:val="single" w:color="0A1628" w:sz="4"/>
            </w:tcBorders>
            <w:shd w:fill="0A1628" w:val="clear"/>
            <w:tcMar>
              <w:top w:type="dxa" w:w="80"/>
              <w:left w:type="dxa" w:w="200"/>
              <w:bottom w:type="dxa" w:w="80"/>
              <w:right w:type="dxa" w:w="120"/>
            </w:tcMar>
            <w:vAlign w:val="center"/>
          </w:tcPr>
          <w:p>
            <w:r>
              <w:rPr>
                <w:rFonts w:ascii="Calibri" w:cs="Calibri" w:eastAsia="Calibri" w:hAnsi="Calibri"/>
                <w:b/>
                <w:bCs/>
                <w:color w:val="FFFFFF"/>
                <w:sz w:val="28"/>
                <w:szCs w:val="28"/>
              </w:rPr>
              <w:t xml:space="preserve">Architecture Consistency Report</w:t>
            </w:r>
          </w:p>
          <w:p>
            <w:r>
              <w:rPr>
                <w:rFonts w:ascii="Calibri" w:cs="Calibri" w:eastAsia="Calibri" w:hAnsi="Calibri"/>
                <w:color w:val="8A9BB0"/>
                <w:sz w:val="18"/>
                <w:szCs w:val="18"/>
              </w:rPr>
              <w:t xml:space="preserve">Resolved inconsistencies across source artifacts — canonical facts table</w:t>
            </w:r>
          </w:p>
        </w:tc>
      </w:tr>
    </w:tbl>
    <w:p>
      <w:pPr>
        <w:spacing w:after="0"/>
      </w:pPr>
      <w:r>
        <w:t xml:space="preserve"/>
      </w:r>
    </w:p>
    <w:p>
      <w:pPr>
        <w:spacing w:before="60" w:after="100"/>
      </w:pPr>
      <w:r>
        <w:rPr>
          <w:rFonts w:ascii="Calibri" w:cs="Calibri" w:eastAsia="Calibri" w:hAnsi="Calibri"/>
          <w:color w:val="1A1A2E"/>
          <w:sz w:val="22"/>
          <w:szCs w:val="22"/>
        </w:rPr>
        <w:t xml:space="preserve">The following inconsistencies were identified and resolved during the proposal packaging review pass across the two primary generated artifacts: the Architecture Explorer (esheria-architecture.jsx, 9-tab module reference) and the Diagram Pack (esheria-diagrams.jsx, 10-page interactive SVG review). All resolutions are canonical — downstream documents have been authored against the resolved versions.</w:t>
      </w:r>
    </w:p>
    <w:p>
      <w:pPr>
        <w:spacing w:after="160"/>
      </w:pPr>
      <w:r>
        <w:t xml:space="preserve"/>
      </w:r>
    </w:p>
    <w:p>
      <w:pPr>
        <w:pStyle w:val="Heading2"/>
        <w:spacing w:before="280" w:after="120"/>
      </w:pPr>
      <w:r>
        <w:rPr>
          <w:rFonts w:ascii="Calibri" w:cs="Calibri" w:eastAsia="Calibri" w:hAnsi="Calibri"/>
          <w:b/>
          <w:bCs/>
          <w:color w:val="1E3A5F"/>
          <w:sz w:val="28"/>
          <w:szCs w:val="28"/>
        </w:rPr>
        <w:t xml:space="preserve">A.1  Resolved Inconsistencies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3600"/>
        <w:gridCol w:w="2400"/>
      </w:tblGrid>
      <w:tr>
        <w:trPr>
          <w:tblHeader/>
        </w:trPr>
        <w:tc>
          <w:tcPr>
            <w:tcW w:type="dxa" w:w="3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2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Issue</w:t>
            </w:r>
          </w:p>
        </w:tc>
        <w:tc>
          <w:tcPr>
            <w:tcW w:type="dxa" w:w="3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Resolution</w:t>
            </w:r>
          </w:p>
        </w:tc>
        <w:tc>
          <w:tcPr>
            <w:tcW w:type="dxa" w:w="2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Impact</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1</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Layer numbering direction inconsistent — prose in diagram file described layers top-down while SVG rendered bottom-up</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Canonical: L1 = Existing Services (bottom), L5 = Experience (top). All documents use bottom-up numbering. SVG diagrams are authoritative.</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Medium — affects all architecture narrative</w:t>
            </w:r>
          </w:p>
        </w:tc>
      </w:tr>
      <w:tr>
        <w:tc>
          <w:tcPr>
            <w:tcW w:type="dxa" w:w="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2</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lexchat-plugin listed as PRIMARY connector in architecture explorer but marked FUTURE in diagram pack</w:t>
            </w:r>
          </w:p>
        </w:tc>
        <w:tc>
          <w:tcPr>
            <w:tcW w:type="dxa" w:w="3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Canonical: lexchat-plugin status = FUTURE in all documents. It is an experimental surface, not a current connector.</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Low — repo inventory clarity</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3</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esheria-analytics described simultaneously as Esheria internal CRM tool and as feeding institution analytics — two different functions not distinguished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Canonical: esheria-analytics serves TWO distinct roles: (a) Esheria Internal Analytics — existing scope; (b) Analytics Event Pipeline — new scope feeding institution analytics. These must be logically separated at the data layer even if sharing infrastructure.</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High — analytics architecture clarity</w:t>
            </w:r>
          </w:p>
        </w:tc>
      </w:tr>
      <w:tr>
        <w:tc>
          <w:tcPr>
            <w:tcW w:type="dxa" w:w="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4</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Agent and Operator used interchangeably across both artifacts for AI workflow actors</w:t>
            </w:r>
          </w:p>
        </w:tc>
        <w:tc>
          <w:tcPr>
            <w:tcW w:type="dxa" w:w="3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Canonical: Use Operator as the platform term for AI agents within workflows (Ingestion Operator, Extraction Operator, etc.). Reserve Agent for generic AI context only.</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Medium — product language consistency</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5</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Connector Gateway placed inside Workflow Control Plane in one diagram view, and as a separate Layer 2 component in another</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Canonical: Connector Gateway lives in Layer 2 (Capability Connectors). It is architecturally distinct from the Workflow Engine in Layer 4. Both live inside the Platform Backend service but are separate concerns.</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Medium — architecture layer integrity</w:t>
            </w:r>
          </w:p>
        </w:tc>
      </w:tr>
      <w:tr>
        <w:tc>
          <w:tcPr>
            <w:tcW w:type="dxa" w:w="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6</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Internal service APIs listed with both /internal/* and /services/* prefixes across sections</w:t>
            </w:r>
          </w:p>
        </w:tc>
        <w:tc>
          <w:tcPr>
            <w:tcW w:type="dxa" w:w="3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Canonical: Internal service APIs use /internal/* prefix only. External platform APIs use /api/* prefix only. These are the authoritative prefixes for all documentation and implementation.</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High — API contract clarity</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7</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Matter object described as both a case and a business process instance in different sections</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Canonical: A Matter is a legal business context — it can represent a case, a contract process, a compliance review, or any bounded legal task. It is the primary organisational unit above Document.</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Low — object model semantics</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A.2  Confirmed Consistent — No Changes Required</w:t>
      </w:r>
    </w:p>
    <w:p>
      <w:pPr>
        <w:spacing w:before="60" w:after="100"/>
      </w:pPr>
      <w:r>
        <w:rPr>
          <w:rFonts w:ascii="Calibri" w:cs="Calibri" w:eastAsia="Calibri" w:hAnsi="Calibri"/>
          <w:color w:val="1A1A2E"/>
          <w:sz w:val="22"/>
          <w:szCs w:val="22"/>
        </w:rPr>
        <w:t xml:space="preserve">The following elements were verified as consistent across both source artifacts and require no changes: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Element</w:t>
            </w:r>
          </w:p>
        </w:tc>
        <w:tc>
          <w:tcPr>
            <w:tcW w:type="dxa" w:w="63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Verified Value</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Layer count</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5 (L1–L5)</w:t>
            </w:r>
          </w:p>
        </w:tc>
      </w:tr>
      <w:tr>
        <w:tc>
          <w:tcPr>
            <w:tcW w:type="dxa" w:w="3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Canonical objects</w:t>
            </w:r>
          </w:p>
        </w:tc>
        <w:tc>
          <w:tcPr>
            <w:tcW w:type="dxa" w:w="6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9 (Organization, User, Matter, Document, Clause, Risk, WorkflowRun, Action, Citation/Review)</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Frontend surfaces</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3 (Institution Workspace, Operator Console, Public/Sales)</w:t>
            </w:r>
          </w:p>
        </w:tc>
      </w:tr>
      <w:tr>
        <w:tc>
          <w:tcPr>
            <w:tcW w:type="dxa" w:w="3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Operator types</w:t>
            </w:r>
          </w:p>
        </w:tc>
        <w:tc>
          <w:tcPr>
            <w:tcW w:type="dxa" w:w="6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8 (Ingestion, Extraction, Compliance, Research, Drafting, Review, Routing, Analytics)</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Implementation phases</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5 (P0–P4)</w:t>
            </w:r>
          </w:p>
        </w:tc>
      </w:tr>
      <w:tr>
        <w:tc>
          <w:tcPr>
            <w:tcW w:type="dxa" w:w="3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Analytics worlds</w:t>
            </w:r>
          </w:p>
        </w:tc>
        <w:tc>
          <w:tcPr>
            <w:tcW w:type="dxa" w:w="6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2 (Esheria Internal, Institution-facing)</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Existing repos</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6 (5 primary + lexchat-plugin as future)</w:t>
            </w:r>
          </w:p>
        </w:tc>
      </w:tr>
      <w:tr>
        <w:tc>
          <w:tcPr>
            <w:tcW w:type="dxa" w:w="3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External API prefix</w:t>
            </w:r>
          </w:p>
        </w:tc>
        <w:tc>
          <w:tcPr>
            <w:tcW w:type="dxa" w:w="6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/api/*</w:t>
            </w:r>
          </w:p>
        </w:tc>
      </w:tr>
      <w:tr>
        <w:tc>
          <w:tcPr>
            <w:tcW w:type="dxa" w:w="3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Internal API prefix</w:t>
            </w:r>
          </w:p>
        </w:tc>
        <w:tc>
          <w:tcPr>
            <w:tcW w:type="dxa" w:w="6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/internal/*</w:t>
            </w:r>
          </w:p>
        </w:tc>
      </w:tr>
      <w:tr>
        <w:tc>
          <w:tcPr>
            <w:tcW w:type="dxa" w:w="3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MVP workflow</w:t>
            </w:r>
          </w:p>
        </w:tc>
        <w:tc>
          <w:tcPr>
            <w:tcW w:type="dxa" w:w="6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Contract Intake &amp; Review</w:t>
            </w:r>
          </w:p>
        </w:tc>
      </w:tr>
    </w:tbl>
    <w:p>
      <w:pPr>
        <w:spacing w:after="160"/>
      </w:pPr>
      <w:r>
        <w:t xml:space="preserve"/>
      </w:r>
    </w:p>
    <w:p>
      <w:pPr>
        <w:pBdr>
          <w:bottom w:val="single" w:color="CBD5E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80"/>
              <w:left w:type="dxa" w:w="120"/>
              <w:bottom w:type="dxa" w:w="180"/>
              <w:right w:type="dxa" w:w="80"/>
            </w:tcMar>
            <w:vAlign w:val="center"/>
          </w:tcPr>
          <w:p>
            <w:pPr>
              <w:jc w:val="center"/>
            </w:pPr>
            <w:r>
              <w:rPr>
                <w:rFonts w:ascii="Calibri" w:cs="Calibri" w:eastAsia="Calibri" w:hAnsi="Calibri"/>
                <w:b/>
                <w:bCs/>
                <w:color w:val="FFFFFF"/>
                <w:sz w:val="36"/>
                <w:szCs w:val="36"/>
              </w:rPr>
              <w:t xml:space="preserve">B</w:t>
            </w:r>
          </w:p>
        </w:tc>
        <w:tc>
          <w:tcPr>
            <w:tcW w:type="dxa" w:w="8760"/>
            <w:tcBorders>
              <w:top w:val="single" w:color="0A1628" w:sz="4"/>
              <w:left w:val="none" w:color="FFFFFF" w:sz="0"/>
              <w:bottom w:val="single" w:color="0A1628" w:sz="4"/>
              <w:right w:val="single" w:color="0A1628" w:sz="4"/>
            </w:tcBorders>
            <w:shd w:fill="0A1628" w:val="clear"/>
            <w:tcMar>
              <w:top w:type="dxa" w:w="80"/>
              <w:left w:type="dxa" w:w="200"/>
              <w:bottom w:type="dxa" w:w="80"/>
              <w:right w:type="dxa" w:w="120"/>
            </w:tcMar>
            <w:vAlign w:val="center"/>
          </w:tcPr>
          <w:p>
            <w:r>
              <w:rPr>
                <w:rFonts w:ascii="Calibri" w:cs="Calibri" w:eastAsia="Calibri" w:hAnsi="Calibri"/>
                <w:b/>
                <w:bCs/>
                <w:color w:val="FFFFFF"/>
                <w:sz w:val="28"/>
                <w:szCs w:val="28"/>
              </w:rPr>
              <w:t xml:space="preserve">Dashboard Mockup Briefs</w:t>
            </w:r>
          </w:p>
          <w:p>
            <w:r>
              <w:rPr>
                <w:rFonts w:ascii="Calibri" w:cs="Calibri" w:eastAsia="Calibri" w:hAnsi="Calibri"/>
                <w:color w:val="8A9BB0"/>
                <w:sz w:val="18"/>
                <w:szCs w:val="18"/>
              </w:rPr>
              <w:t xml:space="preserve">Screen-level UX architecture for all five major product surfaces</w:t>
            </w:r>
          </w:p>
        </w:tc>
      </w:tr>
    </w:tbl>
    <w:p>
      <w:pPr>
        <w:spacing w:after="0"/>
      </w:pPr>
      <w:r>
        <w:t xml:space="preserve"/>
      </w:r>
    </w:p>
    <w:p>
      <w:pPr>
        <w:spacing w:before="60" w:after="100"/>
      </w:pPr>
      <w:r>
        <w:rPr>
          <w:rFonts w:ascii="Calibri" w:cs="Calibri" w:eastAsia="Calibri" w:hAnsi="Calibri"/>
          <w:color w:val="1A1A2E"/>
          <w:sz w:val="22"/>
          <w:szCs w:val="22"/>
        </w:rPr>
        <w:t xml:space="preserve">The following mockup briefs define the screen architecture, module structure, key widgets, data requirements, and interaction patterns for each of the five major product surfaces. These briefs are inputs to the UI/UX design phase — they are not wireframes, but they contain sufficient specificity to begin detailed design work immediately.</w:t>
      </w:r>
    </w:p>
    <w:p>
      <w:pPr>
        <w:spacing w:after="160"/>
      </w:pPr>
      <w:r>
        <w:t xml:space="preserve"/>
      </w:r>
    </w:p>
    <w:p>
      <w:pPr>
        <w:pStyle w:val="Heading1"/>
        <w:pBdr>
          <w:bottom w:val="single" w:color="00A884" w:sz="8" w:space="4"/>
        </w:pBdr>
        <w:spacing w:before="400" w:after="160"/>
      </w:pPr>
      <w:r>
        <w:rPr>
          <w:rFonts w:ascii="Calibri" w:cs="Calibri" w:eastAsia="Calibri" w:hAnsi="Calibri"/>
          <w:b/>
          <w:bCs/>
          <w:color w:val="0A1628"/>
          <w:sz w:val="36"/>
          <w:szCs w:val="36"/>
        </w:rPr>
        <w:t xml:space="preserve">B1 — Institution Workspace</w:t>
      </w:r>
    </w:p>
    <w:p>
      <w:pPr>
        <w:spacing w:before="60" w:after="100"/>
      </w:pPr>
      <w:r>
        <w:rPr>
          <w:rFonts w:ascii="Calibri" w:cs="Calibri" w:eastAsia="Calibri" w:hAnsi="Calibri"/>
          <w:color w:val="1A1A2E"/>
          <w:sz w:val="22"/>
          <w:szCs w:val="22"/>
        </w:rPr>
        <w:t xml:space="preserve">The Institution Workspace is the primary B2B product surface. It is the environment that enterprise customers — legal teams, compliance functions, procurement departments — interact with daily. Each organisation gets a fully isolated workspace. Access within the workspace is controlled by role.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Surface type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Customer-facing B2B product</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Primary audience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Legal reviewers, compliance officers, procurement managers, legal ops leads, in-house counsel</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Access model</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Per-organisation, multi-user, role-gated modules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Auth</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JWT — org-scoped, role-bearing token. Separate login flow from Esheria Operator Console.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Design tone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Professional, high-information-density, trust-signalling. Infrastructure-grade, not consumer-app.</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Theme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Dark navy/slate with teal accent. Monospace or technical sans for data fields; clean body for prose.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Layout pattern</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Fixed top nav + fixed left sidebar (240px) + fluid main content area + optional right panel (collapsible, 380px)</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Module</w:t>
            </w:r>
          </w:p>
        </w:tc>
        <w:tc>
          <w:tcPr>
            <w:tcW w:type="dxa" w:w="2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Access Role</w:t>
            </w:r>
          </w:p>
        </w:tc>
        <w:tc>
          <w:tcPr>
            <w:tcW w:type="dxa" w:w="53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Key Capability</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Home Dashboard</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All roles</w:t>
            </w:r>
          </w:p>
        </w:tc>
        <w:tc>
          <w:tcPr>
            <w:tcW w:type="dxa" w:w="5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Overview of active matters, pending reviews, risk alerts, SLA status, recent activity</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Matters</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legal:reviewer, org:admin</w:t>
            </w:r>
          </w:p>
        </w:tc>
        <w:tc>
          <w:tcPr>
            <w:tcW w:type="dxa" w:w="5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Create, manage, and track legal business contexts — the primary organising unit</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Documents</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legal:reviewer, legal:reader</w:t>
            </w:r>
          </w:p>
        </w:tc>
        <w:tc>
          <w:tcPr>
            <w:tcW w:type="dxa" w:w="5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Upload, view, and manage all documents within accessible matters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Reviews</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legal:reviewer</w:t>
            </w:r>
          </w:p>
        </w:tc>
        <w:tc>
          <w:tcPr>
            <w:tcW w:type="dxa" w:w="5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Personal and team review queues; document review workspace with clause-level intelligence panel</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Drafting</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legal:reviewer</w:t>
            </w:r>
          </w:p>
        </w:tc>
        <w:tc>
          <w:tcPr>
            <w:tcW w:type="dxa" w:w="5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AI-assisted draft generation; redline comparison; clause-level language suggestions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Compliance</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compliance:officer, legal:reviewer</w:t>
            </w:r>
          </w:p>
        </w:tc>
        <w:tc>
          <w:tcPr>
            <w:tcW w:type="dxa" w:w="5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Policy sets; compliance run history; risk category breakdowns; regulation mapping</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Tasks &amp; Approvals</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All roles</w:t>
            </w:r>
          </w:p>
        </w:tc>
        <w:tc>
          <w:tcPr>
            <w:tcW w:type="dxa" w:w="5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Assigned tasks; pending approvals; escalation queue; SLA-tracked action items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Analytics</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All roles (own org data)</w:t>
            </w:r>
          </w:p>
        </w:tc>
        <w:tc>
          <w:tcPr>
            <w:tcW w:type="dxa" w:w="5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Document volume, turnaround times, risk trends, SLA compliance, reviewer performance</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Integrations</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org:admin</w:t>
            </w:r>
          </w:p>
        </w:tc>
        <w:tc>
          <w:tcPr>
            <w:tcW w:type="dxa" w:w="5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Connect external DMS, CRM, e-signature, legal research; manage integration health</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Settings</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org:admin</w:t>
            </w:r>
          </w:p>
        </w:tc>
        <w:tc>
          <w:tcPr>
            <w:tcW w:type="dxa" w:w="5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Users and roles; org profile; policy sets; billing; notification preferences</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Screen: Home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Layout</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3-column card grid in main content area. Right panel: collapsible AI assistant context.</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Widget 1 — Active Matters</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Feed of open matters sorted by SLA urgency. Columns: matter name, type, status badge, owner, days open, risk level indicator. Click → matter detail.</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Widget 2 — Review Queue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Documents awaiting reviewer action, sorted by SLA. Shows: doc name, matter, type, assigned date, SLA countdown. One-click access to review workspace.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Widget 3 — Risk Alerts</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High-severity Risk objects flagged and unacknowledged. Shows: clause excerpt, severity badge, risk category, matter. Click → document at clause.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Widget 4 — Recent Activity</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Timestamped action log — last 10 actions across the organisation. Shows: actor, action type, object name, timestamp.</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Widget 5 — SLA Tracker</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Matters approaching or breaching deadline. Linear progress bar turns amber at 30%, red at 10% time remaining.</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Widget 6 — Quick Actions</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Upload document, Create matter, Start review, Invite user, Generate report. Prominent CTA buttons.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KPI strip (top)</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4 stat cards: Documents Processed (vs last period), Average Turnaround, Open Risk Findings (H/M/L breakdown), SLA Compliance Rate (%).</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Screen: Document &amp; Review Workspace</w:t>
      </w:r>
    </w:p>
    <w:p>
      <w:pPr>
        <w:spacing w:before="60" w:after="100"/>
      </w:pPr>
      <w:r>
        <w:rPr>
          <w:rFonts w:ascii="Calibri" w:cs="Calibri" w:eastAsia="Calibri" w:hAnsi="Calibri"/>
          <w:color w:val="1A1A2E"/>
          <w:sz w:val="22"/>
          <w:szCs w:val="22"/>
        </w:rPr>
        <w:t xml:space="preserve">This is the highest-value screen — where reviewers spend the majority of their working time. It is a three-pane layout requiring careful attention to information hierarchy and interaction design.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Layout</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Three-pane: Left (280px document tree) + Centre (fluid document viewer) + Right (380px intelligence panel)</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Left pane — Document tree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Hierarchical view of document sections and extracted clauses. Clauses colour-coded by risk severity. Click clause → centres viewer and activates right panel for that clause.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Centre pane — Document viewer</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Rendered document text with inline clause highlighting. Colour system: red highlight = high risk, amber = medium, green = cited, blue = AI suggestion. Version switcher (v1, v2...) and redline toggle at top.</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Right pane — Findings tab</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List of Risk objects for the selected clause: severity badge, policy violated, regulation reference, suggested remediation. Accept / Modify / Dismiss actions per finding.</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Right pane — Drafting tab</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AI-generated replacement language for flagged clause. Accept / Modify / Reject buttons. Shows original vs suggested side by side. Confidence indicator.</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Right pane — Citations tab</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Supporting legal sources, precedents, statutes. Each citation: source name, excerpt, confidence score, link to source. Filterable by source type.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Right pane — History tab</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Prior reviewer actions on this document: actor, decision, timestamp, annotation. Full audit trail visible to authorised users.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Action bar (bottom, sticky)</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Primary: Accept Finding, Reject, Request Changes, Escalate. Secondary: Add Comment, Assign to Reviewer, Mark Complete. Status: workflow step indicator (Step 6 of 10, with progress bar).</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Annotation mode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Highlight any text in centre pane → annotation toolbar appears: Add note, Add risk flag, Link precedent, Request change. Annotations linked to Review object.</w:t>
            </w:r>
          </w:p>
        </w:tc>
      </w:tr>
    </w:tbl>
    <w:p>
      <w:pPr>
        <w:spacing w:after="160"/>
      </w:pPr>
      <w:r>
        <w:t xml:space="preserve"/>
      </w:r>
    </w:p>
    <w:p>
      <w:pPr>
        <w:pBdr>
          <w:bottom w:val="single" w:color="CBD5E0" w:sz="4" w:space="1"/>
        </w:pBdr>
        <w:spacing w:before="160" w:after="160"/>
      </w:pPr>
      <w:r>
        <w:t xml:space="preserve"/>
      </w:r>
    </w:p>
    <w:p>
      <w:pPr>
        <w:pStyle w:val="Heading1"/>
        <w:pBdr>
          <w:bottom w:val="single" w:color="00A884" w:sz="8" w:space="4"/>
        </w:pBdr>
        <w:spacing w:before="400" w:after="160"/>
      </w:pPr>
      <w:r>
        <w:rPr>
          <w:rFonts w:ascii="Calibri" w:cs="Calibri" w:eastAsia="Calibri" w:hAnsi="Calibri"/>
          <w:b/>
          <w:bCs/>
          <w:color w:val="0A1628"/>
          <w:sz w:val="36"/>
          <w:szCs w:val="36"/>
        </w:rPr>
        <w:t xml:space="preserve">B2 — Esheria Operator Console</w:t>
      </w:r>
    </w:p>
    <w:p>
      <w:pPr>
        <w:spacing w:before="60" w:after="100"/>
      </w:pPr>
      <w:r>
        <w:rPr>
          <w:rFonts w:ascii="Calibri" w:cs="Calibri" w:eastAsia="Calibri" w:hAnsi="Calibri"/>
          <w:color w:val="1A1A2E"/>
          <w:sz w:val="22"/>
          <w:szCs w:val="22"/>
        </w:rPr>
        <w:t xml:space="preserve">The Esheria Operator Console is the internal control plane — used exclusively by Esheria staff (ops, support, engineering, leadership). It is completely separate from the Institution Workspace in terms of auth, UI skin, and data scope. Operators can see across all tenant organisations.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Surface type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Internal control plane — Esheria staff only</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Primary audience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Esheria ops engineers, support agents, system administrators, leadership</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Access model</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Separate Esheria operator auth flow. Not accessible to customers under any circumstances.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Design tone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Industrial, high-density, ops-grade. Comparable to Datadog, PagerDuty, or AWS console.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Theme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Dark. Accent: rose/red for alerts, teal for healthy states, amber for warnings.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Critical requirement</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Every operator action creates an immutable audit record. No exceptions.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Layout pattern</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Fixed top nav with global status bar + left sidebar + main content area. No right panel — operators need maximum content width.</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Module</w:t>
            </w:r>
          </w:p>
        </w:tc>
        <w:tc>
          <w:tcPr>
            <w:tcW w:type="dxa" w:w="2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Purpose</w:t>
            </w:r>
          </w:p>
        </w:tc>
        <w:tc>
          <w:tcPr>
            <w:tcW w:type="dxa" w:w="45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Key Data Shown</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Tenant Operations</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Provision, manage, and monitor all customer organisations</w:t>
            </w:r>
          </w:p>
        </w:tc>
        <w:tc>
          <w:tcPr>
            <w:tcW w:type="dxa" w:w="4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Org list, plan, status, user count, last active, usage stats, feature flags</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 Monitoring</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Real-time view of all workflow runs across all tenants</w:t>
            </w:r>
          </w:p>
        </w:tc>
        <w:tc>
          <w:tcPr>
            <w:tcW w:type="dxa" w:w="4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Run status, step progress, SLA breach flags, stuck run detection, full step trace drill-down</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Service Health</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Health of all 6 capability services + platform backend</w:t>
            </w:r>
          </w:p>
        </w:tc>
        <w:tc>
          <w:tcPr>
            <w:tcW w:type="dxa" w:w="4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Uptime %, error rate, P50/P95/P99 latency, queue depth, last incident, request rate sparkline</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Incident Center</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Create, track, and resolve platform incidents</w:t>
            </w:r>
          </w:p>
        </w:tc>
        <w:tc>
          <w:tcPr>
            <w:tcW w:type="dxa" w:w="4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Severity, affected services, impacted tenants, timeline, resolution, post-mortem link</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Support Console</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Investigate and resolve customer issues with full audit trail</w:t>
            </w:r>
          </w:p>
        </w:tc>
        <w:tc>
          <w:tcPr>
            <w:tcW w:type="dxa" w:w="4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Org/user search, workflow run inspection, impersonation (audited), retry/override/escalate</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Usage &amp; Billing</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Platform-wide usage monitoring and billing management</w:t>
            </w:r>
          </w:p>
        </w:tc>
        <w:tc>
          <w:tcPr>
            <w:tcW w:type="dxa" w:w="4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API calls, docs processed, storage, per-org consumption, billing events, plan changes</w:t>
            </w:r>
          </w:p>
        </w:tc>
      </w:tr>
      <w:tr>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Global Analytics</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 internal analytics — CRM, growth, ops metrics</w:t>
            </w:r>
          </w:p>
        </w:tc>
        <w:tc>
          <w:tcPr>
            <w:tcW w:type="dxa" w:w="4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New orgs, DAU/MAU, workflow volumes, feature adoption, support ticket trends</w:t>
            </w:r>
          </w:p>
        </w:tc>
      </w:tr>
      <w:tr>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Policy &amp; Governance</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Platform-wide policy management and compliance controls</w:t>
            </w:r>
          </w:p>
        </w:tc>
        <w:tc>
          <w:tcPr>
            <w:tcW w:type="dxa" w:w="4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Feature flags, data retention settings, policy templates, audit log access, operator permissions</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Screen: Support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Search</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Global search by org name, user ID, email, document ID, workflow run ID. Results shown in unified context panel.</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Customer context panel</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Org name, plan, created date, contact details, previous tickets (count + link), active workflow runs.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Investigation tools</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Quick links: View org workspace, View workflow run, View full audit log. Error inspector: paste run_id to auto-load error trace and step history.</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Impersonation flow</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Click Impersonate → modal requires justification text (min 20 chars) → confirm → new browser tab opens institution workspace AS the user → persistent banner: OPERATOR VIEW — You are viewing as [user]. All interactions are logged. → Exit button terminates session and logs end time.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Force-advance flow</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Click Force Advance Step → modal shows step being skipped and next step → justification required → second confirmation: type CONFIRM → action logged with full context. Requires second operator confirmation for production.</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Retry flow</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Click Retry Failed Step → confirmation modal → retry published to queue → new Action record created with retry flag.</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Export</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Download full org audit log as CSV or JSON. Export action itself is logged.</w:t>
            </w:r>
          </w:p>
        </w:tc>
      </w:tr>
    </w:tbl>
    <w:p>
      <w:pPr>
        <w:spacing w:after="160"/>
      </w:pPr>
      <w:r>
        <w:t xml:space="preserve"/>
      </w:r>
    </w:p>
    <w:p>
      <w:pPr>
        <w:pBdr>
          <w:bottom w:val="single" w:color="CBD5E0" w:sz="4" w:space="1"/>
        </w:pBdr>
        <w:spacing w:before="160" w:after="160"/>
      </w:pPr>
      <w:r>
        <w:t xml:space="preserve"/>
      </w:r>
    </w:p>
    <w:p>
      <w:pPr>
        <w:pStyle w:val="Heading1"/>
        <w:pBdr>
          <w:bottom w:val="single" w:color="00A884" w:sz="8" w:space="4"/>
        </w:pBdr>
        <w:spacing w:before="400" w:after="160"/>
      </w:pPr>
      <w:r>
        <w:rPr>
          <w:rFonts w:ascii="Calibri" w:cs="Calibri" w:eastAsia="Calibri" w:hAnsi="Calibri"/>
          <w:b/>
          <w:bCs/>
          <w:color w:val="0A1628"/>
          <w:sz w:val="36"/>
          <w:szCs w:val="36"/>
        </w:rPr>
        <w:t xml:space="preserve">B3 — Workflow Monitoring View</w:t>
      </w:r>
    </w:p>
    <w:p>
      <w:pPr>
        <w:spacing w:before="60" w:after="100"/>
      </w:pPr>
      <w:r>
        <w:rPr>
          <w:rFonts w:ascii="Calibri" w:cs="Calibri" w:eastAsia="Calibri" w:hAnsi="Calibri"/>
          <w:color w:val="1A1A2E"/>
          <w:sz w:val="22"/>
          <w:szCs w:val="22"/>
        </w:rPr>
        <w:t xml:space="preserve">The Workflow Monitoring view is the operational heartbeat screen. It provides real-time visibility into every workflow run across every tenant. It is the first screen an on-call engineer checks during a degraded service incident.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Criticality</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HIGH — operational safety screen. Used during incidents and active triage.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Auto-refresh</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Every 30 seconds default, configurable per operator session.</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Design principle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Dense, scannable, real-time. Every pixel serves operational clarity. No decorative elements.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Status communication</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Status states must be visually unambiguous at a glance: colour + icon + text label, never colour alone.</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Status Indicator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3960"/>
      </w:tblGrid>
      <w:tr>
        <w:trPr>
          <w:tblHeader/>
        </w:trPr>
        <w:tc>
          <w:tcPr>
            <w:tcW w:type="dxa" w:w="1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Status</w:t>
            </w:r>
          </w:p>
        </w:tc>
        <w:tc>
          <w:tcPr>
            <w:tcW w:type="dxa" w:w="1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Visual</w:t>
            </w:r>
          </w:p>
        </w:tc>
        <w:tc>
          <w:tcPr>
            <w:tcW w:type="dxa" w:w="2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Meaning</w:t>
            </w:r>
          </w:p>
        </w:tc>
        <w:tc>
          <w:tcPr>
            <w:tcW w:type="dxa" w:w="39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Action Required</w:t>
            </w:r>
          </w:p>
        </w:tc>
      </w:tr>
      <w:tr>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RUNNING</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Animated teal pulse dot</w:t>
            </w:r>
          </w:p>
        </w:tc>
        <w:tc>
          <w:tcPr>
            <w:tcW w:type="dxa" w:w="2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 actively executing — all steps progressing normally</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None — monitor</w:t>
            </w:r>
          </w:p>
        </w:tc>
      </w:tr>
      <w:tr>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AWAITING</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Static blue dot</w:t>
            </w:r>
          </w:p>
        </w:tc>
        <w:tc>
          <w:tcPr>
            <w:tcW w:type="dxa" w:w="2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Paused waiting for human reviewer or approver input</w:t>
            </w:r>
          </w:p>
        </w:tc>
        <w:tc>
          <w:tcPr>
            <w:tcW w:type="dxa" w:w="3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None unless SLA approaching</w:t>
            </w:r>
          </w:p>
        </w:tc>
      </w:tr>
      <w:tr>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STUCK</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Static amber dot — triggered after 24h no progress</w:t>
            </w:r>
          </w:p>
        </w:tc>
        <w:tc>
          <w:tcPr>
            <w:tcW w:type="dxa" w:w="2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 has not advanced for more than 24 hours</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Investigate — check step trace, contact org if needed</w:t>
            </w:r>
          </w:p>
        </w:tc>
      </w:tr>
      <w:tr>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FAILED</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Static rose dot</w:t>
            </w:r>
          </w:p>
        </w:tc>
        <w:tc>
          <w:tcPr>
            <w:tcW w:type="dxa" w:w="2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Step failed after 3 automatic retries</w:t>
            </w:r>
          </w:p>
        </w:tc>
        <w:tc>
          <w:tcPr>
            <w:tcW w:type="dxa" w:w="3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Intervention required — inspect error, retry or escalate to engineering</w:t>
            </w:r>
          </w:p>
        </w:tc>
      </w:tr>
      <w:tr>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COMPLETED</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Muted grey dot</w:t>
            </w:r>
          </w:p>
        </w:tc>
        <w:tc>
          <w:tcPr>
            <w:tcW w:type="dxa" w:w="2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 run successfully closed</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None</w:t>
            </w:r>
          </w:p>
        </w:tc>
      </w:tr>
      <w:tr>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SLA BREACH</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Red badge overlay on any status</w:t>
            </w:r>
          </w:p>
        </w:tc>
        <w:tc>
          <w:tcPr>
            <w:tcW w:type="dxa" w:w="2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Matter deadline has passed or is within 10% remaining time</w:t>
            </w:r>
          </w:p>
        </w:tc>
        <w:tc>
          <w:tcPr>
            <w:tcW w:type="dxa" w:w="3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Escalation required — notify org admin</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Main Table — Column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rPr>
          <w:tblHeader/>
        </w:trPr>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Column</w:t>
            </w:r>
          </w:p>
        </w:tc>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Data Source</w:t>
            </w:r>
          </w:p>
        </w:tc>
        <w:tc>
          <w:tcPr>
            <w:tcW w:type="dxa" w:w="2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Format</w:t>
            </w:r>
          </w:p>
        </w:tc>
        <w:tc>
          <w:tcPr>
            <w:tcW w:type="dxa" w:w="31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Interactive</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run_id</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WorkflowRun.run_id</w:t>
            </w:r>
          </w:p>
        </w:tc>
        <w:tc>
          <w:tcPr>
            <w:tcW w:type="dxa" w:w="2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Short hash (first 8 chars) + copy button</w:t>
            </w:r>
          </w:p>
        </w:tc>
        <w:tc>
          <w:tcPr>
            <w:tcW w:type="dxa" w:w="3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Copy to clipboard</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Organisation</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WorkflowRun → Organization.name</w:t>
            </w:r>
          </w:p>
        </w:tc>
        <w:tc>
          <w:tcPr>
            <w:tcW w:type="dxa" w:w="2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Text + plan badge (trial/pro/enterprise)</w:t>
            </w:r>
          </w:p>
        </w:tc>
        <w:tc>
          <w:tcPr>
            <w:tcW w:type="dxa" w:w="31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Click → tenant detail</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 Type</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WorkflowRun.workflow_type</w:t>
            </w:r>
          </w:p>
        </w:tc>
        <w:tc>
          <w:tcPr>
            <w:tcW w:type="dxa" w:w="2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Pill badge with type label</w:t>
            </w:r>
          </w:p>
        </w:tc>
        <w:tc>
          <w:tcPr>
            <w:tcW w:type="dxa" w:w="3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Filter by this type</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Current Step</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WorkflowRun.current_step + step_index/total_steps</w:t>
            </w:r>
          </w:p>
        </w:tc>
        <w:tc>
          <w:tcPr>
            <w:tcW w:type="dxa" w:w="2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Step name + progress bar (step 4 of 10)</w:t>
            </w:r>
          </w:p>
        </w:tc>
        <w:tc>
          <w:tcPr>
            <w:tcW w:type="dxa" w:w="31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Status</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WorkflowRun.status</w:t>
            </w:r>
          </w:p>
        </w:tc>
        <w:tc>
          <w:tcPr>
            <w:tcW w:type="dxa" w:w="2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Coloured status dot + text label</w:t>
            </w:r>
          </w:p>
        </w:tc>
        <w:tc>
          <w:tcPr>
            <w:tcW w:type="dxa" w:w="3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Filter by status</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Started</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WorkflowRun.started_at</w:t>
            </w:r>
          </w:p>
        </w:tc>
        <w:tc>
          <w:tcPr>
            <w:tcW w:type="dxa" w:w="2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Relative time (e.g. 2h ago) + tooltip with absolute timestamp</w:t>
            </w:r>
          </w:p>
        </w:tc>
        <w:tc>
          <w:tcPr>
            <w:tcW w:type="dxa" w:w="31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Sort ascending/descending</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Elapsed</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Calculated from started_at</w:t>
            </w:r>
          </w:p>
        </w:tc>
        <w:tc>
          <w:tcPr>
            <w:tcW w:type="dxa" w:w="2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HH:MM:SS running timer for active runs</w:t>
            </w:r>
          </w:p>
        </w:tc>
        <w:tc>
          <w:tcPr>
            <w:tcW w:type="dxa" w:w="3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Sort</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SLA</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Calculated from Matter.deadline</w:t>
            </w:r>
          </w:p>
        </w:tc>
        <w:tc>
          <w:tcPr>
            <w:tcW w:type="dxa" w:w="2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Progress bar — green/amber/red based on % time remaining. BREACH label if overdue.</w:t>
            </w:r>
          </w:p>
        </w:tc>
        <w:tc>
          <w:tcPr>
            <w:tcW w:type="dxa" w:w="31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Sort — SLA breach</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Actions</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Per-row buttons</w:t>
            </w:r>
          </w:p>
        </w:tc>
        <w:tc>
          <w:tcPr>
            <w:tcW w:type="dxa" w:w="2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Inspect (always visible); Retry (if failed); Force-advance (if stuck, requires justification)</w:t>
            </w:r>
          </w:p>
        </w:tc>
        <w:tc>
          <w:tcPr>
            <w:tcW w:type="dxa" w:w="3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Inline action</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Run Detail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Trigger</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Click any row in the workflow runs table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Layout</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Right-side drawer, 560px wide. Does not navigate away from monitoring table.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Header section</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run_id, org name, workflow type, current status, started at, elapsed time, SLA deadline and % remaining.</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Step trace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Vertical timeline of all steps. Each step: step number, name, actor (operator type or human), status (completed / running / failed / pending), duration, expand button to see input/output summary and evidence IDs.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Error section (if failed)</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Error type, step where failure occurred, last 10 log lines, suggested remediation action.</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Manual actions</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Retry from step N (dropdown to select step), Skip step N (requires justification + CONFIRM text), Re-assign approval to different reviewer (user picker), Add comment to audit trail, Terminate run (confirmation required).</w:t>
            </w:r>
          </w:p>
        </w:tc>
      </w:tr>
    </w:tbl>
    <w:p>
      <w:pPr>
        <w:spacing w:after="160"/>
      </w:pPr>
      <w:r>
        <w:t xml:space="preserve"/>
      </w:r>
    </w:p>
    <w:p>
      <w:pPr>
        <w:pBdr>
          <w:bottom w:val="single" w:color="CBD5E0" w:sz="4" w:space="1"/>
        </w:pBdr>
        <w:spacing w:before="160" w:after="160"/>
      </w:pPr>
      <w:r>
        <w:t xml:space="preserve"/>
      </w:r>
    </w:p>
    <w:p>
      <w:pPr>
        <w:pStyle w:val="Heading1"/>
        <w:pBdr>
          <w:bottom w:val="single" w:color="00A884" w:sz="8" w:space="4"/>
        </w:pBdr>
        <w:spacing w:before="400" w:after="160"/>
      </w:pPr>
      <w:r>
        <w:rPr>
          <w:rFonts w:ascii="Calibri" w:cs="Calibri" w:eastAsia="Calibri" w:hAnsi="Calibri"/>
          <w:b/>
          <w:bCs/>
          <w:color w:val="0A1628"/>
          <w:sz w:val="36"/>
          <w:szCs w:val="36"/>
        </w:rPr>
        <w:t xml:space="preserve">B4 — Institution Analytics Dashboard</w:t>
      </w:r>
    </w:p>
    <w:p>
      <w:pPr>
        <w:spacing w:before="60" w:after="100"/>
      </w:pPr>
      <w:r>
        <w:rPr>
          <w:rFonts w:ascii="Calibri" w:cs="Calibri" w:eastAsia="Calibri" w:hAnsi="Calibri"/>
          <w:color w:val="1A1A2E"/>
          <w:sz w:val="22"/>
          <w:szCs w:val="22"/>
        </w:rPr>
        <w:t xml:space="preserve">The Institution Analytics dashboard gives a Head of Legal, Chief Compliance Officer, or Legal Operations Director operational intelligence over their organisation's legal workflow performance. This is the most strategically important product module for B2B retention — the better this dashboard, the harder the platform is to replace.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Strategic importance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HIGH — primary B2B stickiness driver. Proprietary data accumulates here. No competitor can replicate without workflow adoption.</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Design tone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Executive-grade. Clean, spacious, boardroom-ready. Export-first mindset for every chart and table.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Export requirement</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Every chart, table, and KPI card must support PNG, CSV, and PDF export. Compliance reports must be generated as signed PDFs.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Filter system</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Global filters (date range, matter type, department, jurisdiction) propagate to all charts and tables on the active screen.</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Benchmark system</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All metrics shown with period-over-period comparison (current vs previous period arrow + %). Optional org-defined target lines on charts.</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Dashboard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rPr>
          <w:tblHeader/>
        </w:trPr>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Screen</w:t>
            </w:r>
          </w:p>
        </w:tc>
        <w:tc>
          <w:tcPr>
            <w:tcW w:type="dxa" w:w="1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Audience</w:t>
            </w:r>
          </w:p>
        </w:tc>
        <w:tc>
          <w:tcPr>
            <w:tcW w:type="dxa" w:w="2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Key Metrics</w:t>
            </w:r>
          </w:p>
        </w:tc>
        <w:tc>
          <w:tcPr>
            <w:tcW w:type="dxa" w:w="31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Primary Chart Types</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Executive Overview</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Head of Legal, CCO, COO</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Documents processed, avg turnaround, open risk count by severity, SLA compliance rate</w:t>
            </w:r>
          </w:p>
        </w:tc>
        <w:tc>
          <w:tcPr>
            <w:tcW w:type="dxa" w:w="3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Line (volume trend), stacked bar (risk categories), donut (matter status), histogram (turnaround distribution)</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Risk Intelligence</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Compliance officer, legal reviewer</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Risk count by severity and category, unresolved risk trends, fastest-growing risk categories</w:t>
            </w:r>
          </w:p>
        </w:tc>
        <w:tc>
          <w:tcPr>
            <w:tcW w:type="dxa" w:w="31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Line (risk trend over time), horizontal bar (category breakdown), sortable risk table with clause excerpts</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Workflow Performance</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Legal ops lead</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SLA compliance by workflow type, avg duration per step, bottleneck identification, reviewer workload distribution</w:t>
            </w:r>
          </w:p>
        </w:tc>
        <w:tc>
          <w:tcPr>
            <w:tcW w:type="dxa" w:w="3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Bar (per-step duration), heatmap (reviewer workload by day), SLA breach log table</w:t>
            </w:r>
          </w:p>
        </w:tc>
      </w:tr>
      <w:tr>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Compliance Report</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CCO, board reporting</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Compliance pass rate, violations by clause type and policy rule, remediation tracking, trend over quarter</w:t>
            </w:r>
          </w:p>
        </w:tc>
        <w:tc>
          <w:tcPr>
            <w:tcW w:type="dxa" w:w="31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Scorecard view, stacked area (compliance trend), drill-down table by matter type</w:t>
            </w:r>
          </w:p>
        </w:tc>
      </w:tr>
      <w:tr>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Department View</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Org admin, Head of Legal</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Per-department volume, turnaround, risk rate, SLA compliance — with org-average benchmark</w:t>
            </w:r>
          </w:p>
        </w:tc>
        <w:tc>
          <w:tcPr>
            <w:tcW w:type="dxa" w:w="3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Comparative horizontal bar chart, per-department KPI cards, exportable summary table</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Compliance Report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Trigger</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Button: Generate Compliance Report (period selector: month, quarter, custom)</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Output format</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PDF with: cover page (org name, period, date), KPI summary, risk breakdown table, top violations, remediation status, reviewer performance, signature block for CCO</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Export naming</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[OrgName]-Compliance-Report-[YYYY-MM].pdf</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Frequency</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Ad-hoc (on demand) or scheduled (monthly, quarterly — to org admin email)</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Data scope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Scoped strictly to the requesting organisation. No cross-tenant data. Operator review of generated report content is prohibited.</w:t>
            </w:r>
          </w:p>
        </w:tc>
      </w:tr>
    </w:tbl>
    <w:p>
      <w:pPr>
        <w:spacing w:after="160"/>
      </w:pPr>
      <w:r>
        <w:t xml:space="preserve"/>
      </w:r>
    </w:p>
    <w:p>
      <w:pPr>
        <w:pBdr>
          <w:bottom w:val="single" w:color="CBD5E0" w:sz="4" w:space="1"/>
        </w:pBdr>
        <w:spacing w:before="160" w:after="160"/>
      </w:pPr>
      <w:r>
        <w:t xml:space="preserve"/>
      </w:r>
    </w:p>
    <w:p>
      <w:pPr>
        <w:pStyle w:val="Heading1"/>
        <w:pBdr>
          <w:bottom w:val="single" w:color="00A884" w:sz="8" w:space="4"/>
        </w:pBdr>
        <w:spacing w:before="400" w:after="160"/>
      </w:pPr>
      <w:r>
        <w:rPr>
          <w:rFonts w:ascii="Calibri" w:cs="Calibri" w:eastAsia="Calibri" w:hAnsi="Calibri"/>
          <w:b/>
          <w:bCs/>
          <w:color w:val="0A1628"/>
          <w:sz w:val="36"/>
          <w:szCs w:val="36"/>
        </w:rPr>
        <w:t xml:space="preserve">B5 — Support &amp; Incident Center</w:t>
      </w:r>
    </w:p>
    <w:p>
      <w:pPr>
        <w:spacing w:before="60" w:after="100"/>
      </w:pPr>
      <w:r>
        <w:rPr>
          <w:rFonts w:ascii="Calibri" w:cs="Calibri" w:eastAsia="Calibri" w:hAnsi="Calibri"/>
          <w:color w:val="1A1A2E"/>
          <w:sz w:val="22"/>
          <w:szCs w:val="22"/>
        </w:rPr>
        <w:t xml:space="preserve">The Support and Incident Center combines customer support tooling with platform incident management in a single internal view. It is used by support agents handling customer issues and by on-call engineers during production incidents.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Criticality</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HIGH — used during active incidents and customer escalations. Downtime of this view during an incident is unacceptable.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Audience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Esheria support agents, on-call engineers, customer success managers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Design principle</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Triage-first. Most urgent items always at the top. Keyboard-navigable — support agents work fast.</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Audit requirement</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Every action taken within this view creates an audit record — including reads of sensitive customer data.</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Incident Management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Active incident banner</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Full-width red banner at top of all operator console pages when a SEV1 or SEV2 incident is open. Shows: title, severity, duration, View Incident and Update Status buttons.</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Severity levels</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SEV1 (rose): Platform down or data integrity issue. SEV2 (amber): Major feature degraded. SEV3 (blue): Minor issue. RESOLVED (muted): Closed.</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Incident table columns</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ID, title, severity badge, affected services, affected org count, started time, duration, status, owner (Esheria engineer).</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Incident detail</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Title, description, severity, affected services, impact assessment (which orgs, how many workflows impacted), real-time timeline (every status update with author and timestamp), actions log (every intervention with justification), resolution section (root cause, fix, prevention note), post-mortem link.</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Impact assessment</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Auto-calculated: query all WorkflowRun records where status != completed AND current_step involves the affected service. Display impacted org names and run IDs.</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Audit Log &amp; 4-Eyes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Audit log search</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Search by: org_id/name, user_id/email, action_type, operator_id (Esheria staff), date range, outcome.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Logged action types</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impersonation.start, impersonation.end, workflow.force_advance, workflow.retry, workflow.terminate, org.suspend, org.activate, plan.change, credentials.reset, data.export, service.drain, service.restart, maintenance_mode.enable, maintenance_mode.disable.</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4-eyes requirement</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Emergency platform controls (maintenance mode, service drain, force-advance on production workflows) require a second operator confirmation. Confirmation request appears in the second operator's notification queue. Neither operator can approve their own action.</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Audit log export</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Export as CSV or JSON. Export action itself is logged with: requesting operator, timestamp, filter criteria applied, record count exported.</w:t>
            </w:r>
          </w:p>
        </w:tc>
      </w:tr>
      <w:tr>
        <w:tc>
          <w:tcPr>
            <w:tcW w:type="dxa" w:w="2400"/>
            <w:tcBorders>
              <w:top w:val="single" w:color="CBD5E0" w:sz="4"/>
              <w:left w:val="single" w:color="CBD5E0" w:sz="4"/>
              <w:bottom w:val="single" w:color="CBD5E0" w:sz="4"/>
              <w:right w:val="single" w:color="CBD5E0" w:sz="4"/>
            </w:tcBorders>
            <w:shd w:fill="F2F5F8" w:val="clear"/>
            <w:tcMar>
              <w:top w:type="dxa" w:w="80"/>
              <w:left w:type="dxa" w:w="140"/>
              <w:bottom w:type="dxa" w:w="80"/>
              <w:right w:type="dxa" w:w="80"/>
            </w:tcMar>
          </w:tcPr>
          <w:p>
            <w:r>
              <w:rPr>
                <w:rFonts w:ascii="Calibri" w:cs="Calibri" w:eastAsia="Calibri" w:hAnsi="Calibri"/>
                <w:b/>
                <w:bCs/>
                <w:color w:val="0A1628"/>
                <w:sz w:val="20"/>
                <w:szCs w:val="20"/>
              </w:rPr>
              <w:t xml:space="preserve">Retention</w:t>
            </w:r>
          </w:p>
        </w:tc>
        <w:tc>
          <w:tcPr>
            <w:tcW w:type="dxa" w:w="6960"/>
            <w:tcBorders>
              <w:top w:val="single" w:color="CBD5E0" w:sz="4"/>
              <w:left w:val="single" w:color="CBD5E0" w:sz="4"/>
              <w:bottom w:val="single" w:color="CBD5E0" w:sz="4"/>
              <w:right w:val="single" w:color="CBD5E0"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Audit log records are immutable and retained for minimum 7 years. No delete operation is permitted on audit records.</w:t>
            </w:r>
          </w:p>
        </w:tc>
      </w:tr>
    </w:tbl>
    <w:p>
      <w:pPr>
        <w:spacing w:after="160"/>
      </w:pPr>
      <w:r>
        <w:t xml:space="preserve"/>
      </w:r>
    </w:p>
    <w:p>
      <w:pPr>
        <w:pBdr>
          <w:bottom w:val="single" w:color="CBD5E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80"/>
              <w:left w:type="dxa" w:w="120"/>
              <w:bottom w:type="dxa" w:w="180"/>
              <w:right w:type="dxa" w:w="80"/>
            </w:tcMar>
            <w:vAlign w:val="center"/>
          </w:tcPr>
          <w:p>
            <w:pPr>
              <w:jc w:val="center"/>
            </w:pPr>
            <w:r>
              <w:rPr>
                <w:rFonts w:ascii="Calibri" w:cs="Calibri" w:eastAsia="Calibri" w:hAnsi="Calibri"/>
                <w:b/>
                <w:bCs/>
                <w:color w:val="FFFFFF"/>
                <w:sz w:val="36"/>
                <w:szCs w:val="36"/>
              </w:rPr>
              <w:t xml:space="preserve">C</w:t>
            </w:r>
          </w:p>
        </w:tc>
        <w:tc>
          <w:tcPr>
            <w:tcW w:type="dxa" w:w="8760"/>
            <w:tcBorders>
              <w:top w:val="single" w:color="0A1628" w:sz="4"/>
              <w:left w:val="none" w:color="FFFFFF" w:sz="0"/>
              <w:bottom w:val="single" w:color="0A1628" w:sz="4"/>
              <w:right w:val="single" w:color="0A1628" w:sz="4"/>
            </w:tcBorders>
            <w:shd w:fill="0A1628" w:val="clear"/>
            <w:tcMar>
              <w:top w:type="dxa" w:w="80"/>
              <w:left w:type="dxa" w:w="200"/>
              <w:bottom w:type="dxa" w:w="80"/>
              <w:right w:type="dxa" w:w="120"/>
            </w:tcMar>
            <w:vAlign w:val="center"/>
          </w:tcPr>
          <w:p>
            <w:r>
              <w:rPr>
                <w:rFonts w:ascii="Calibri" w:cs="Calibri" w:eastAsia="Calibri" w:hAnsi="Calibri"/>
                <w:b/>
                <w:bCs/>
                <w:color w:val="FFFFFF"/>
                <w:sz w:val="28"/>
                <w:szCs w:val="28"/>
              </w:rPr>
              <w:t xml:space="preserve">CEO Review Package — Artifact Index</w:t>
            </w:r>
          </w:p>
          <w:p>
            <w:r>
              <w:rPr>
                <w:rFonts w:ascii="Calibri" w:cs="Calibri" w:eastAsia="Calibri" w:hAnsi="Calibri"/>
                <w:color w:val="8A9BB0"/>
                <w:sz w:val="18"/>
                <w:szCs w:val="18"/>
              </w:rPr>
              <w:t xml:space="preserve">Complete manifest of all deliverables with usage guidance</w:t>
            </w:r>
          </w:p>
        </w:tc>
      </w:tr>
    </w:tbl>
    <w:p>
      <w:pPr>
        <w:spacing w:after="0"/>
      </w:pPr>
      <w:r>
        <w:t xml:space="preserve"/>
      </w:r>
    </w:p>
    <w:p>
      <w:pPr>
        <w:spacing w:before="60" w:after="100"/>
      </w:pPr>
      <w:r>
        <w:rPr>
          <w:rFonts w:ascii="Calibri" w:cs="Calibri" w:eastAsia="Calibri" w:hAnsi="Calibri"/>
          <w:color w:val="1A1A2E"/>
          <w:sz w:val="22"/>
          <w:szCs w:val="22"/>
        </w:rPr>
        <w:t xml:space="preserve">The following table is the complete index of deliverables prepared for the CEO review package. Files are organised by category and include usage instructions for both the executive presentation and the follow-up technical review.</w:t>
      </w:r>
    </w:p>
    <w:p>
      <w:pPr>
        <w:spacing w:after="160"/>
      </w:pPr>
      <w:r>
        <w:t xml:space="preserve"/>
      </w:r>
    </w:p>
    <w:p>
      <w:pPr>
        <w:pStyle w:val="Heading2"/>
        <w:spacing w:before="280" w:after="120"/>
      </w:pPr>
      <w:r>
        <w:rPr>
          <w:rFonts w:ascii="Calibri" w:cs="Calibri" w:eastAsia="Calibri" w:hAnsi="Calibri"/>
          <w:b/>
          <w:bCs/>
          <w:color w:val="1E3A5F"/>
          <w:sz w:val="28"/>
          <w:szCs w:val="28"/>
        </w:rPr>
        <w:t xml:space="preserve">C.1  Primary Presentation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0A884" w:sz="8"/>
              <w:left w:val="single" w:color="00A884" w:sz="8"/>
              <w:bottom w:val="single" w:color="00A884" w:sz="8"/>
              <w:right w:val="none" w:color="FFFFFF" w:sz="0"/>
            </w:tcBorders>
            <w:shd w:fill="00A884" w:val="clear"/>
            <w:tcMar>
              <w:top w:type="dxa" w:w="120"/>
              <w:left w:type="dxa" w:w="140"/>
              <w:bottom w:type="dxa" w:w="120"/>
              <w:right w:type="dxa" w:w="0"/>
            </w:tcMar>
            <w:vAlign w:val="center"/>
          </w:tcPr>
          <w:p>
            <w:r>
              <w:rPr>
                <w:sz w:val="1"/>
                <w:szCs w:val="1"/>
              </w:rPr>
              <w:t xml:space="preserve"/>
            </w:r>
          </w:p>
        </w:tc>
        <w:tc>
          <w:tcPr>
            <w:tcW w:type="dxa" w:w="9160"/>
            <w:tcBorders>
              <w:top w:val="single" w:color="00A884" w:sz="4"/>
              <w:left w:val="none" w:color="FFFFFF" w:sz="0"/>
              <w:bottom w:val="single" w:color="00A884" w:sz="4"/>
              <w:right w:val="single" w:color="00A884" w:sz="4"/>
            </w:tcBorders>
            <w:shd w:fill="E6F7F4" w:val="clear"/>
            <w:tcMar>
              <w:top w:type="dxa" w:w="120"/>
              <w:left w:type="dxa" w:w="200"/>
              <w:bottom w:type="dxa" w:w="120"/>
              <w:right w:type="dxa" w:w="160"/>
            </w:tcMar>
          </w:tcPr>
          <w:p>
            <w:pPr>
              <w:spacing w:before="0" w:after="60"/>
            </w:pPr>
            <w:r>
              <w:rPr>
                <w:rFonts w:ascii="Calibri" w:cs="Calibri" w:eastAsia="Calibri" w:hAnsi="Calibri"/>
                <w:b/>
                <w:bCs/>
                <w:color w:val="00A884"/>
                <w:spacing w:val="40"/>
                <w:sz w:val="18"/>
                <w:szCs w:val="18"/>
              </w:rPr>
              <w:t xml:space="preserve">RECOMMENDED OPENING FIVE</w:t>
            </w:r>
          </w:p>
          <w:p>
            <w:pPr>
              <w:spacing w:before="0" w:after="0"/>
            </w:pPr>
            <w:r>
              <w:rPr>
                <w:rFonts w:ascii="Calibri" w:cs="Calibri" w:eastAsia="Calibri" w:hAnsi="Calibri"/>
                <w:color w:val="1A1A2E"/>
                <w:sz w:val="22"/>
                <w:szCs w:val="22"/>
              </w:rPr>
              <w:t xml:space="preserve">Show these five artifacts first in the CEO presentation, in the order listed. They tell the complete platform story in under 35 minutes.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2800"/>
        <w:gridCol w:w="4200"/>
      </w:tblGrid>
      <w:tr>
        <w:trPr>
          <w:tblHeader/>
        </w:trPr>
        <w:tc>
          <w:tcPr>
            <w:tcW w:type="dxa" w:w="3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Artifact</w:t>
            </w:r>
          </w:p>
        </w:tc>
        <w:tc>
          <w:tcPr>
            <w:tcW w:type="dxa" w:w="2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File</w:t>
            </w:r>
          </w:p>
        </w:tc>
        <w:tc>
          <w:tcPr>
            <w:tcW w:type="dxa" w:w="4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Usage</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1</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Executive Proposal</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esheria-executive-proposal.docx</w:t>
            </w:r>
          </w:p>
        </w:tc>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Primary document for the CEO. Contains full strategic case, business value, architecture overview, MVP definition, roadmap, and the ask. Read in advance of the meeting.</w:t>
            </w:r>
          </w:p>
        </w:tc>
      </w:tr>
      <w:tr>
        <w:tc>
          <w:tcPr>
            <w:tcW w:type="dxa" w:w="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2</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Layered Architecture Diagram</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diagrams/svg/02-layered-architecture.svg</w:t>
            </w:r>
          </w:p>
        </w:tc>
        <w:tc>
          <w:tcPr>
            <w:tcW w:type="dxa" w:w="4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Hero slide for the presentation — show on Slide 5. The single most important diagram. Walk it layer by layer.</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3</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System Context Diagram</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diagrams/svg/01-system-context.svg</w:t>
            </w:r>
          </w:p>
        </w:tc>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Slide 4 — the one-picture overview. Walk left to right: actors → platform → services → external.</w:t>
            </w:r>
          </w:p>
        </w:tc>
      </w:tr>
      <w:tr>
        <w:tc>
          <w:tcPr>
            <w:tcW w:type="dxa" w:w="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4</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 Sequence Diagram</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diagrams/svg/03-workflow-sequence.svg</w:t>
            </w:r>
          </w:p>
        </w:tc>
        <w:tc>
          <w:tcPr>
            <w:tcW w:type="dxa" w:w="4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Slide 7 — makes the abstract concrete. Walk each step of the Contract Intake &amp; Review workflow.</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5</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Interactive Diagram Pack</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esheria-diagrams.jsx</w:t>
            </w:r>
          </w:p>
        </w:tc>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Live browser tab during the meeting. Navigate to any page on demand. Page 10 (Roadmap) closes the presentation.</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C.2  Technical Backup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47F1A" w:sz="8"/>
              <w:left w:val="single" w:color="C47F1A" w:sz="8"/>
              <w:bottom w:val="single" w:color="C47F1A" w:sz="8"/>
              <w:right w:val="none" w:color="FFFFFF" w:sz="0"/>
            </w:tcBorders>
            <w:shd w:fill="C47F1A" w:val="clear"/>
            <w:tcMar>
              <w:top w:type="dxa" w:w="120"/>
              <w:left w:type="dxa" w:w="140"/>
              <w:bottom w:type="dxa" w:w="120"/>
              <w:right w:type="dxa" w:w="0"/>
            </w:tcMar>
            <w:vAlign w:val="center"/>
          </w:tcPr>
          <w:p>
            <w:r>
              <w:rPr>
                <w:sz w:val="1"/>
                <w:szCs w:val="1"/>
              </w:rPr>
              <w:t xml:space="preserve"/>
            </w:r>
          </w:p>
        </w:tc>
        <w:tc>
          <w:tcPr>
            <w:tcW w:type="dxa" w:w="9160"/>
            <w:tcBorders>
              <w:top w:val="single" w:color="C47F1A" w:sz="4"/>
              <w:left w:val="none" w:color="FFFFFF" w:sz="0"/>
              <w:bottom w:val="single" w:color="C47F1A" w:sz="4"/>
              <w:right w:val="single" w:color="C47F1A" w:sz="4"/>
            </w:tcBorders>
            <w:shd w:fill="FDF3E0" w:val="clear"/>
            <w:tcMar>
              <w:top w:type="dxa" w:w="120"/>
              <w:left w:type="dxa" w:w="200"/>
              <w:bottom w:type="dxa" w:w="120"/>
              <w:right w:type="dxa" w:w="160"/>
            </w:tcMar>
          </w:tcPr>
          <w:p>
            <w:pPr>
              <w:spacing w:before="0" w:after="60"/>
            </w:pPr>
            <w:r>
              <w:rPr>
                <w:rFonts w:ascii="Calibri" w:cs="Calibri" w:eastAsia="Calibri" w:hAnsi="Calibri"/>
                <w:b/>
                <w:bCs/>
                <w:color w:val="C47F1A"/>
                <w:spacing w:val="40"/>
                <w:sz w:val="18"/>
                <w:szCs w:val="18"/>
              </w:rPr>
              <w:t xml:space="preserve">TECHNICAL BACKUP FIVE</w:t>
            </w:r>
          </w:p>
          <w:p>
            <w:pPr>
              <w:spacing w:before="0" w:after="0"/>
            </w:pPr>
            <w:r>
              <w:rPr>
                <w:rFonts w:ascii="Calibri" w:cs="Calibri" w:eastAsia="Calibri" w:hAnsi="Calibri"/>
                <w:color w:val="1A1A2E"/>
                <w:sz w:val="22"/>
                <w:szCs w:val="22"/>
              </w:rPr>
              <w:t xml:space="preserve">Keep these five artifacts ready for the follow-up technical review or if the CEO or technical stakeholders ask deeper questions during the meeting.</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2800"/>
        <w:gridCol w:w="4200"/>
      </w:tblGrid>
      <w:tr>
        <w:trPr>
          <w:tblHeader/>
        </w:trPr>
        <w:tc>
          <w:tcPr>
            <w:tcW w:type="dxa" w:w="3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w:t>
            </w:r>
          </w:p>
        </w:tc>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Artifact</w:t>
            </w:r>
          </w:p>
        </w:tc>
        <w:tc>
          <w:tcPr>
            <w:tcW w:type="dxa" w:w="2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File</w:t>
            </w:r>
          </w:p>
        </w:tc>
        <w:tc>
          <w:tcPr>
            <w:tcW w:type="dxa" w:w="4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Usage</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1</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Technical Architecture Blueprint</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esheria-technical-blueprint.docx</w:t>
            </w:r>
          </w:p>
        </w:tc>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Full engineering specification. Use for architecture review sessions with engineering leads or CTO. Contains all 8 technical sections.</w:t>
            </w:r>
          </w:p>
        </w:tc>
      </w:tr>
      <w:tr>
        <w:tc>
          <w:tcPr>
            <w:tcW w:type="dxa" w:w="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2</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Control vs Data Plane Diagram</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diagrams/svg/05-control-vs-data-plane.svg</w:t>
            </w:r>
          </w:p>
        </w:tc>
        <w:tc>
          <w:tcPr>
            <w:tcW w:type="dxa" w:w="4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Pull when asked: how is orchestration separated from execution? Signals architectural maturity.</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3</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Deployment Topology Diagram</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diagrams/svg/07-deployment-topology.svg</w:t>
            </w:r>
          </w:p>
        </w:tc>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Pull when asked: what does the infrastructure look like? How does tenant isolation work?</w:t>
            </w:r>
          </w:p>
        </w:tc>
      </w:tr>
      <w:tr>
        <w:tc>
          <w:tcPr>
            <w:tcW w:type="dxa" w:w="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4</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Data Model Diagram</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diagrams/svg/04-data-model.svg</w:t>
            </w:r>
          </w:p>
        </w:tc>
        <w:tc>
          <w:tcPr>
            <w:tcW w:type="dxa" w:w="4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Pull when asked: what does the schema look like? Shows canonical object relationships.</w:t>
            </w:r>
          </w:p>
        </w:tc>
      </w:tr>
      <w:tr>
        <w:tc>
          <w:tcPr>
            <w:tcW w:type="dxa" w:w="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5</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This Appendix Document</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esheria-product-design-appendix.docx</w:t>
            </w:r>
          </w:p>
        </w:tc>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Full screen specs, consistency report, and artifact index. Use for product/design/engineering alignment sessions.</w:t>
            </w:r>
          </w:p>
        </w:tc>
      </w:tr>
    </w:tbl>
    <w:p>
      <w:pPr>
        <w:spacing w:after="160"/>
      </w:pPr>
      <w:r>
        <w:t xml:space="preserve"/>
      </w:r>
    </w:p>
    <w:p>
      <w:pPr>
        <w:pStyle w:val="Heading2"/>
        <w:spacing w:before="280" w:after="120"/>
      </w:pPr>
      <w:r>
        <w:rPr>
          <w:rFonts w:ascii="Calibri" w:cs="Calibri" w:eastAsia="Calibri" w:hAnsi="Calibri"/>
          <w:b/>
          <w:bCs/>
          <w:color w:val="1E3A5F"/>
          <w:sz w:val="28"/>
          <w:szCs w:val="28"/>
        </w:rPr>
        <w:t xml:space="preserve">C.3  Complete 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400"/>
        <w:gridCol w:w="2560"/>
      </w:tblGrid>
      <w:tr>
        <w:trPr>
          <w:tblHeader/>
        </w:trPr>
        <w:tc>
          <w:tcPr>
            <w:tcW w:type="dxa" w:w="3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File</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Category</w:t>
            </w:r>
          </w:p>
        </w:tc>
        <w:tc>
          <w:tcPr>
            <w:tcW w:type="dxa" w:w="1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Format</w:t>
            </w:r>
          </w:p>
        </w:tc>
        <w:tc>
          <w:tcPr>
            <w:tcW w:type="dxa" w:w="25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r>
              <w:rPr>
                <w:rFonts w:ascii="Calibri" w:cs="Calibri" w:eastAsia="Calibri" w:hAnsi="Calibri"/>
                <w:b/>
                <w:bCs/>
                <w:color w:val="FFFFFF"/>
                <w:sz w:val="20"/>
                <w:szCs w:val="20"/>
              </w:rPr>
              <w:t xml:space="preserve">Status</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esheria-executive-proposal.docx</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Primary document</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DOCX</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esheria-technical-blueprint.docx</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Technical reference</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DOCX</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esheria-product-design-appendix.docx</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Product &amp; design reference</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DOCX</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esheria-architecture.jsx</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Interactive module explorer (9 tabs)</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React/JSX</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esheria-diagrams.jsx</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Interactive diagram pack (10 pages)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React/JSX</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diagrams/svg/01-system-context.svg</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System Context Diagram</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SVG</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diagrams/svg/02-layered-architecture.svg</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Layered Architecture Diagram</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SVG</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diagrams/svg/03-workflow-sequence.svg</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 Sequence Diagram</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SVG</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diagrams/svg/04-data-model.svg</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Canonical Data Model (ER)</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SVG</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diagrams/svg/05-control-vs-data-plane.svg</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Control vs Data Plane</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SVG</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diagrams/svg/06-service-integration.svg</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Service Integration Map</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SVG</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diagrams/svg/07-deployment-topology.svg</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Deployment Topology</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SVG</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diagrams/svg/08-dashboard-topology.svg</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Dashboard Topology</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SVG</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diagrams/png/01-08-*.png</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All 8 diagrams</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PNG (144dpi)</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diagrams/source/01-08-*.mmd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All 8 diagrams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Mermaid source</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FINAL</w:t>
            </w:r>
          </w:p>
        </w:tc>
      </w:tr>
      <w:tr>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review/consistency-report.md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Architecture review</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Markdown</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FINAL — superseded by Appendix Section A</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executive/executive-deck-outline.md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Presentation guide</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Markdown</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FINAL — superseded by Appendix Section C</w:t>
            </w:r>
          </w:p>
        </w:tc>
      </w:tr>
      <w:tr>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appendix/appendix-outline.md</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Technical reference</w:t>
            </w:r>
          </w:p>
        </w:tc>
        <w:tc>
          <w:tcPr>
            <w:tcW w:type="dxa" w:w="1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Markdown</w:t>
            </w:r>
          </w:p>
        </w:tc>
        <w:tc>
          <w:tcPr>
            <w:tcW w:type="dxa" w:w="25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FINAL — superseded by Technical Blueprint</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mockups/01-05-*.md</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Mockup briefs</w:t>
            </w:r>
          </w:p>
        </w:tc>
        <w:tc>
          <w:tcPr>
            <w:tcW w:type="dxa" w:w="1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Markdown</w:t>
            </w:r>
          </w:p>
        </w:tc>
        <w:tc>
          <w:tcPr>
            <w:tcW w:type="dxa" w:w="2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FINAL — superseded by Appendix Sections B1–B5</w:t>
            </w:r>
          </w:p>
        </w:tc>
      </w:tr>
    </w:tbl>
    <w:p>
      <w:pPr>
        <w:spacing w:after="160"/>
      </w:pPr>
      <w:r>
        <w:t xml:space="preserve"/>
      </w:r>
    </w:p>
    <w:p>
      <w:pPr>
        <w:pBdr>
          <w:bottom w:val="single" w:color="CBD5E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A884" w:sz="4"/>
              <w:left w:val="single" w:color="00A884" w:sz="4"/>
              <w:bottom w:val="single" w:color="00A884" w:sz="4"/>
              <w:right w:val="none" w:color="FFFFFF" w:sz="0"/>
            </w:tcBorders>
            <w:shd w:fill="00A884" w:val="clear"/>
            <w:tcMar>
              <w:top w:type="dxa" w:w="180"/>
              <w:left w:type="dxa" w:w="120"/>
              <w:bottom w:type="dxa" w:w="180"/>
              <w:right w:type="dxa" w:w="80"/>
            </w:tcMar>
            <w:vAlign w:val="center"/>
          </w:tcPr>
          <w:p>
            <w:pPr>
              <w:jc w:val="center"/>
            </w:pPr>
            <w:r>
              <w:rPr>
                <w:rFonts w:ascii="Calibri" w:cs="Calibri" w:eastAsia="Calibri" w:hAnsi="Calibri"/>
                <w:b/>
                <w:bCs/>
                <w:color w:val="FFFFFF"/>
                <w:sz w:val="36"/>
                <w:szCs w:val="36"/>
              </w:rPr>
              <w:t xml:space="preserve">D</w:t>
            </w:r>
          </w:p>
        </w:tc>
        <w:tc>
          <w:tcPr>
            <w:tcW w:type="dxa" w:w="8760"/>
            <w:tcBorders>
              <w:top w:val="single" w:color="0A1628" w:sz="4"/>
              <w:left w:val="none" w:color="FFFFFF" w:sz="0"/>
              <w:bottom w:val="single" w:color="0A1628" w:sz="4"/>
              <w:right w:val="single" w:color="0A1628" w:sz="4"/>
            </w:tcBorders>
            <w:shd w:fill="0A1628" w:val="clear"/>
            <w:tcMar>
              <w:top w:type="dxa" w:w="80"/>
              <w:left w:type="dxa" w:w="200"/>
              <w:bottom w:type="dxa" w:w="80"/>
              <w:right w:type="dxa" w:w="120"/>
            </w:tcMar>
            <w:vAlign w:val="center"/>
          </w:tcPr>
          <w:p>
            <w:r>
              <w:rPr>
                <w:rFonts w:ascii="Calibri" w:cs="Calibri" w:eastAsia="Calibri" w:hAnsi="Calibri"/>
                <w:b/>
                <w:bCs/>
                <w:color w:val="FFFFFF"/>
                <w:sz w:val="28"/>
                <w:szCs w:val="28"/>
              </w:rPr>
              <w:t xml:space="preserve">One-Page CEO Brief</w:t>
            </w:r>
          </w:p>
          <w:p>
            <w:r>
              <w:rPr>
                <w:rFonts w:ascii="Calibri" w:cs="Calibri" w:eastAsia="Calibri" w:hAnsi="Calibri"/>
                <w:color w:val="8A9BB0"/>
                <w:sz w:val="18"/>
                <w:szCs w:val="18"/>
              </w:rPr>
              <w:t xml:space="preserve">Single page summary for pre-read or leave-behind</w:t>
            </w:r>
          </w:p>
        </w:tc>
      </w:tr>
    </w:tbl>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A1628" w:sz="8"/>
              <w:left w:val="single" w:color="0A1628" w:sz="8"/>
              <w:bottom w:val="single" w:color="0A1628" w:sz="8"/>
              <w:right w:val="none" w:color="FFFFFF" w:sz="0"/>
            </w:tcBorders>
            <w:shd w:fill="0A1628" w:val="clear"/>
            <w:tcMar>
              <w:top w:type="dxa" w:w="120"/>
              <w:left w:type="dxa" w:w="140"/>
              <w:bottom w:type="dxa" w:w="120"/>
              <w:right w:type="dxa" w:w="0"/>
            </w:tcMar>
            <w:vAlign w:val="center"/>
          </w:tcPr>
          <w:p>
            <w:r>
              <w:rPr>
                <w:sz w:val="1"/>
                <w:szCs w:val="1"/>
              </w:rPr>
              <w:t xml:space="preserve"/>
            </w:r>
          </w:p>
        </w:tc>
        <w:tc>
          <w:tcPr>
            <w:tcW w:type="dxa" w:w="9160"/>
            <w:tcBorders>
              <w:top w:val="single" w:color="0A1628" w:sz="4"/>
              <w:left w:val="none" w:color="FFFFFF" w:sz="0"/>
              <w:bottom w:val="single" w:color="0A1628" w:sz="4"/>
              <w:right w:val="single" w:color="0A1628" w:sz="4"/>
            </w:tcBorders>
            <w:shd w:fill="F2F5F8" w:val="clear"/>
            <w:tcMar>
              <w:top w:type="dxa" w:w="120"/>
              <w:left w:type="dxa" w:w="200"/>
              <w:bottom w:type="dxa" w:w="120"/>
              <w:right w:type="dxa" w:w="160"/>
            </w:tcMar>
          </w:tcPr>
          <w:p>
            <w:pPr>
              <w:spacing w:before="0" w:after="60"/>
            </w:pPr>
            <w:r>
              <w:rPr>
                <w:rFonts w:ascii="Calibri" w:cs="Calibri" w:eastAsia="Calibri" w:hAnsi="Calibri"/>
                <w:b/>
                <w:bCs/>
                <w:color w:val="0A1628"/>
                <w:spacing w:val="40"/>
                <w:sz w:val="18"/>
                <w:szCs w:val="18"/>
              </w:rPr>
              <w:t xml:space="preserve">PRE-READ BRIEF</w:t>
            </w:r>
          </w:p>
          <w:p>
            <w:pPr>
              <w:spacing w:before="0" w:after="0"/>
            </w:pPr>
            <w:r>
              <w:rPr>
                <w:rFonts w:ascii="Calibri" w:cs="Calibri" w:eastAsia="Calibri" w:hAnsi="Calibri"/>
                <w:color w:val="1A1A2E"/>
                <w:sz w:val="22"/>
                <w:szCs w:val="22"/>
              </w:rPr>
              <w:t xml:space="preserve">Print or share this section as a standalone brief before the meeting. It gives the CEO everything they need to frame the conversation in two minutes.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none" w:color="FFFFFF" w:sz="0"/>
              <w:right w:val="single" w:color="0A1628" w:sz="4"/>
            </w:tcBorders>
            <w:shd w:fill="0A1628" w:val="clear"/>
            <w:tcMar>
              <w:top w:type="dxa" w:w="160"/>
              <w:left w:type="dxa" w:w="200"/>
              <w:bottom w:type="dxa" w:w="40"/>
              <w:right w:type="dxa" w:w="200"/>
            </w:tcMar>
          </w:tcPr>
          <w:p>
            <w:r>
              <w:rPr>
                <w:rFonts w:ascii="Calibri" w:cs="Calibri" w:eastAsia="Calibri" w:hAnsi="Calibri"/>
                <w:b/>
                <w:bCs/>
                <w:color w:val="00A884"/>
                <w:spacing w:val="60"/>
                <w:sz w:val="24"/>
                <w:szCs w:val="24"/>
              </w:rPr>
              <w:t xml:space="preserve">ESHERIA LEGAL WORKFLOW OS  —  THE ONE-PAGE BRIEF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4"/>
              <w:left w:val="single" w:color="0A1628" w:sz="4"/>
              <w:bottom w:val="single" w:color="CBD5E0" w:sz="4"/>
              <w:right w:val="single" w:color="CBD5E0" w:sz="4"/>
            </w:tcBorders>
            <w:shd w:fill="F2F5F8" w:val="clear"/>
            <w:tcMar>
              <w:top w:type="dxa" w:w="160"/>
              <w:left w:type="dxa" w:w="200"/>
              <w:bottom w:type="dxa" w:w="160"/>
              <w:right w:type="dxa" w:w="160"/>
            </w:tcMar>
          </w:tcPr>
          <w:p>
            <w:pPr>
              <w:spacing w:before="0" w:after="80"/>
            </w:pPr>
            <w:r>
              <w:rPr>
                <w:rFonts w:ascii="Calibri" w:cs="Calibri" w:eastAsia="Calibri" w:hAnsi="Calibri"/>
                <w:b/>
                <w:bCs/>
                <w:color w:val="0A1628"/>
                <w:spacing w:val="40"/>
                <w:sz w:val="20"/>
                <w:szCs w:val="20"/>
              </w:rPr>
              <w:t xml:space="preserve">WHAT WE HAVE</w:t>
            </w:r>
          </w:p>
          <w:p>
            <w:pPr>
              <w:spacing w:before="0" w:after="40"/>
            </w:pPr>
            <w:r>
              <w:rPr>
                <w:rFonts w:ascii="Calibri" w:cs="Calibri" w:eastAsia="Calibri" w:hAnsi="Calibri"/>
                <w:color w:val="1A1A2E"/>
                <w:sz w:val="20"/>
                <w:szCs w:val="20"/>
              </w:rPr>
              <w:t xml:space="preserve">• esheria-ocr — document ingestion</w:t>
            </w:r>
          </w:p>
          <w:p>
            <w:pPr>
              <w:spacing w:before="0" w:after="40"/>
            </w:pPr>
            <w:r>
              <w:rPr>
                <w:rFonts w:ascii="Calibri" w:cs="Calibri" w:eastAsia="Calibri" w:hAnsi="Calibri"/>
                <w:color w:val="1A1A2E"/>
                <w:sz w:val="20"/>
                <w:szCs w:val="20"/>
              </w:rPr>
              <w:t xml:space="preserve">• esheria-contract-engine — compliance analysis</w:t>
            </w:r>
          </w:p>
          <w:p>
            <w:pPr>
              <w:spacing w:before="0" w:after="40"/>
            </w:pPr>
            <w:r>
              <w:rPr>
                <w:rFonts w:ascii="Calibri" w:cs="Calibri" w:eastAsia="Calibri" w:hAnsi="Calibri"/>
                <w:color w:val="1A1A2E"/>
                <w:sz w:val="20"/>
                <w:szCs w:val="20"/>
              </w:rPr>
              <w:t xml:space="preserve">• esheria-ai — legal research and citations</w:t>
            </w:r>
          </w:p>
          <w:p>
            <w:pPr>
              <w:spacing w:before="0" w:after="40"/>
            </w:pPr>
            <w:r>
              <w:rPr>
                <w:rFonts w:ascii="Calibri" w:cs="Calibri" w:eastAsia="Calibri" w:hAnsi="Calibri"/>
                <w:color w:val="1A1A2E"/>
                <w:sz w:val="20"/>
                <w:szCs w:val="20"/>
              </w:rPr>
              <w:t xml:space="preserve">• lexdraft — AI-assisted drafting</w:t>
            </w:r>
          </w:p>
          <w:p>
            <w:pPr>
              <w:spacing w:before="0" w:after="40"/>
            </w:pPr>
            <w:r>
              <w:rPr>
                <w:rFonts w:ascii="Calibri" w:cs="Calibri" w:eastAsia="Calibri" w:hAnsi="Calibri"/>
                <w:color w:val="1A1A2E"/>
                <w:sz w:val="20"/>
                <w:szCs w:val="20"/>
              </w:rPr>
              <w:t xml:space="preserve">• esheria-analytics — analytics pipeline</w:t>
            </w:r>
          </w:p>
          <w:p>
            <w:pPr>
              <w:spacing w:after="0"/>
            </w:pPr>
            <w:r>
              <w:t xml:space="preserve"/>
            </w:r>
          </w:p>
          <w:p>
            <w:pPr>
              <w:spacing w:before="80" w:after="40"/>
            </w:pPr>
            <w:r>
              <w:rPr>
                <w:rFonts w:ascii="Calibri" w:cs="Calibri" w:eastAsia="Calibri" w:hAnsi="Calibri"/>
                <w:b/>
                <w:bCs/>
                <w:color w:val="A8304A"/>
                <w:sz w:val="20"/>
                <w:szCs w:val="20"/>
              </w:rPr>
              <w:t xml:space="preserve">Five strong capabilities. One missing layer.</w:t>
            </w:r>
          </w:p>
        </w:tc>
        <w:tc>
          <w:tcPr>
            <w:tcW w:type="dxa" w:w="4680"/>
            <w:tcBorders>
              <w:top w:val="single" w:color="CBD5E0" w:sz="4"/>
              <w:left w:val="single" w:color="CBD5E0" w:sz="4"/>
              <w:bottom w:val="single" w:color="CBD5E0" w:sz="4"/>
              <w:right w:val="single" w:color="0A1628" w:sz="4"/>
            </w:tcBorders>
            <w:shd w:fill="E6F7F4" w:val="clear"/>
            <w:tcMar>
              <w:top w:type="dxa" w:w="160"/>
              <w:left w:type="dxa" w:w="160"/>
              <w:bottom w:type="dxa" w:w="160"/>
              <w:right w:type="dxa" w:w="200"/>
            </w:tcMar>
          </w:tcPr>
          <w:p>
            <w:pPr>
              <w:spacing w:before="0" w:after="80"/>
            </w:pPr>
            <w:r>
              <w:rPr>
                <w:rFonts w:ascii="Calibri" w:cs="Calibri" w:eastAsia="Calibri" w:hAnsi="Calibri"/>
                <w:b/>
                <w:bCs/>
                <w:color w:val="00A884"/>
                <w:spacing w:val="40"/>
                <w:sz w:val="20"/>
                <w:szCs w:val="20"/>
              </w:rPr>
              <w:t xml:space="preserve">WHAT WE'RE BUILDING</w:t>
            </w:r>
          </w:p>
          <w:p>
            <w:pPr>
              <w:spacing w:before="0" w:after="60"/>
            </w:pPr>
            <w:r>
              <w:rPr>
                <w:rFonts w:ascii="Calibri" w:cs="Calibri" w:eastAsia="Calibri" w:hAnsi="Calibri"/>
                <w:color w:val="1A1A2E"/>
                <w:sz w:val="20"/>
                <w:szCs w:val="20"/>
              </w:rPr>
              <w:t xml:space="preserve">A programmable Legal Workflow OS — the orchestration layer that connects all five capabilities into enterprise-grade workflows with shared data, audit trails, human review, and institutional analytics.</w:t>
            </w:r>
          </w:p>
          <w:p>
            <w:pPr>
              <w:spacing w:after="0"/>
            </w:pPr>
            <w:r>
              <w:t xml:space="preserve"/>
            </w:r>
          </w:p>
          <w:p>
            <w:pPr>
              <w:spacing w:before="80" w:after="40"/>
            </w:pPr>
            <w:r>
              <w:rPr>
                <w:rFonts w:ascii="Calibri" w:cs="Calibri" w:eastAsia="Calibri" w:hAnsi="Calibri"/>
                <w:b/>
                <w:bCs/>
                <w:color w:val="00A884"/>
                <w:sz w:val="20"/>
                <w:szCs w:val="20"/>
              </w:rPr>
              <w:t xml:space="preserve">From features → to platform.</w:t>
            </w:r>
          </w:p>
        </w:tc>
      </w:tr>
      <w:tr>
        <w:tc>
          <w:tcPr>
            <w:tcW w:type="dxa" w:w="4680"/>
            <w:tcBorders>
              <w:top w:val="single" w:color="CBD5E0" w:sz="4"/>
              <w:left w:val="single" w:color="0A1628" w:sz="4"/>
              <w:bottom w:val="single" w:color="0A1628" w:sz="4"/>
              <w:right w:val="single" w:color="CBD5E0" w:sz="4"/>
            </w:tcBorders>
            <w:shd w:fill="FDF3E0" w:val="clear"/>
            <w:tcMar>
              <w:top w:type="dxa" w:w="160"/>
              <w:left w:type="dxa" w:w="200"/>
              <w:bottom w:type="dxa" w:w="160"/>
              <w:right w:type="dxa" w:w="160"/>
            </w:tcMar>
          </w:tcPr>
          <w:p>
            <w:pPr>
              <w:spacing w:before="0" w:after="80"/>
            </w:pPr>
            <w:r>
              <w:rPr>
                <w:rFonts w:ascii="Calibri" w:cs="Calibri" w:eastAsia="Calibri" w:hAnsi="Calibri"/>
                <w:b/>
                <w:bCs/>
                <w:color w:val="C47F1A"/>
                <w:spacing w:val="40"/>
                <w:sz w:val="20"/>
                <w:szCs w:val="20"/>
              </w:rPr>
              <w:t xml:space="preserve">THE MVP (Phase 2 — 8 weeks)</w:t>
            </w:r>
          </w:p>
          <w:p>
            <w:pPr>
              <w:spacing w:before="0" w:after="40"/>
            </w:pPr>
            <w:r>
              <w:rPr>
                <w:rFonts w:ascii="Calibri" w:cs="Calibri" w:eastAsia="Calibri" w:hAnsi="Calibri"/>
                <w:color w:val="1A1A2E"/>
                <w:sz w:val="20"/>
                <w:szCs w:val="20"/>
              </w:rPr>
              <w:t xml:space="preserve">Contract Intake &amp; Review workflow:</w:t>
            </w:r>
          </w:p>
          <w:p>
            <w:pPr>
              <w:spacing w:before="0" w:after="20"/>
            </w:pPr>
            <w:r>
              <w:rPr>
                <w:rFonts w:ascii="Calibri" w:cs="Calibri" w:eastAsia="Calibri" w:hAnsi="Calibri"/>
                <w:i/>
                <w:iCs/>
                <w:color w:val="1A1A2E"/>
                <w:sz w:val="19"/>
                <w:szCs w:val="19"/>
              </w:rPr>
              <w:t xml:space="preserve">Upload → OCR → Extract Clauses → Check Compliance → Attach Citations → Draft Suggestions → Human Review → Approve → Report</w:t>
            </w:r>
          </w:p>
          <w:p>
            <w:pPr>
              <w:spacing w:after="0"/>
            </w:pPr>
            <w:r>
              <w:t xml:space="preserve"/>
            </w:r>
          </w:p>
          <w:p>
            <w:pPr>
              <w:spacing w:before="80" w:after="40"/>
            </w:pPr>
            <w:r>
              <w:rPr>
                <w:rFonts w:ascii="Calibri" w:cs="Calibri" w:eastAsia="Calibri" w:hAnsi="Calibri"/>
                <w:b/>
                <w:bCs/>
                <w:color w:val="C47F1A"/>
                <w:sz w:val="20"/>
                <w:szCs w:val="20"/>
              </w:rPr>
              <w:t xml:space="preserve">One workflow. Eight services. One audit trail.</w:t>
            </w:r>
          </w:p>
        </w:tc>
        <w:tc>
          <w:tcPr>
            <w:tcW w:type="dxa" w:w="4680"/>
            <w:tcBorders>
              <w:top w:val="single" w:color="CBD5E0" w:sz="4"/>
              <w:left w:val="single" w:color="CBD5E0" w:sz="4"/>
              <w:bottom w:val="single" w:color="0A1628" w:sz="4"/>
              <w:right w:val="single" w:color="0A1628" w:sz="4"/>
            </w:tcBorders>
            <w:shd w:fill="F2F5F8" w:val="clear"/>
            <w:tcMar>
              <w:top w:type="dxa" w:w="160"/>
              <w:left w:type="dxa" w:w="160"/>
              <w:bottom w:type="dxa" w:w="160"/>
              <w:right w:type="dxa" w:w="200"/>
            </w:tcMar>
          </w:tcPr>
          <w:p>
            <w:pPr>
              <w:spacing w:before="0" w:after="80"/>
            </w:pPr>
            <w:r>
              <w:rPr>
                <w:rFonts w:ascii="Calibri" w:cs="Calibri" w:eastAsia="Calibri" w:hAnsi="Calibri"/>
                <w:b/>
                <w:bCs/>
                <w:color w:val="0A1628"/>
                <w:spacing w:val="40"/>
                <w:sz w:val="20"/>
                <w:szCs w:val="20"/>
              </w:rPr>
              <w:t xml:space="preserve">THE ASK</w:t>
            </w:r>
          </w:p>
          <w:p>
            <w:pPr>
              <w:spacing w:before="0" w:after="20"/>
            </w:pPr>
            <w:r>
              <w:rPr>
                <w:rFonts w:ascii="Calibri" w:cs="Calibri" w:eastAsia="Calibri" w:hAnsi="Calibri"/>
                <w:color w:val="1A1A2E"/>
                <w:sz w:val="20"/>
                <w:szCs w:val="20"/>
              </w:rPr>
              <w:t xml:space="preserve">1. Strategic alignment — confirm the platform direction</w:t>
            </w:r>
          </w:p>
          <w:p>
            <w:pPr>
              <w:spacing w:before="0" w:after="20"/>
            </w:pPr>
            <w:r>
              <w:rPr>
                <w:rFonts w:ascii="Calibri" w:cs="Calibri" w:eastAsia="Calibri" w:hAnsi="Calibri"/>
                <w:color w:val="1A1A2E"/>
                <w:sz w:val="20"/>
                <w:szCs w:val="20"/>
              </w:rPr>
              <w:t xml:space="preserve">2. MVP greenlight — approve Phase 0 → Phase 2 build</w:t>
            </w:r>
          </w:p>
          <w:p>
            <w:pPr>
              <w:spacing w:before="0" w:after="20"/>
            </w:pPr>
            <w:r>
              <w:rPr>
                <w:rFonts w:ascii="Calibri" w:cs="Calibri" w:eastAsia="Calibri" w:hAnsi="Calibri"/>
                <w:color w:val="1A1A2E"/>
                <w:sz w:val="20"/>
                <w:szCs w:val="20"/>
              </w:rPr>
              <w:t xml:space="preserve">3. Platform owner — name a lead to coordinate the build</w:t>
            </w:r>
          </w:p>
          <w:p>
            <w:pPr>
              <w:spacing w:before="0" w:after="60"/>
            </w:pPr>
            <w:r>
              <w:rPr>
                <w:rFonts w:ascii="Calibri" w:cs="Calibri" w:eastAsia="Calibri" w:hAnsi="Calibri"/>
                <w:color w:val="1A1A2E"/>
                <w:sz w:val="20"/>
                <w:szCs w:val="20"/>
              </w:rPr>
              <w:t xml:space="preserve">4. Pilot target — one B2B customer type as north star</w:t>
            </w:r>
          </w:p>
          <w:p>
            <w:pPr>
              <w:spacing w:after="0"/>
            </w:pPr>
            <w:r>
              <w:t xml:space="preserve"/>
            </w:r>
          </w:p>
          <w:p>
            <w:pPr>
              <w:spacing w:before="80" w:after="40"/>
            </w:pPr>
            <w:r>
              <w:rPr>
                <w:rFonts w:ascii="Calibri" w:cs="Calibri" w:eastAsia="Calibri" w:hAnsi="Calibri"/>
                <w:b/>
                <w:bCs/>
                <w:color w:val="0A1628"/>
                <w:sz w:val="20"/>
                <w:szCs w:val="20"/>
              </w:rPr>
              <w:t xml:space="preserve">18–27 weeks to first B2B pilot conversation.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tabs>
        <w:tab w:val="center" w:pos="4680"/>
        <w:tab w:val="right" w:pos="9360"/>
      </w:tabs>
      <w:spacing w:before="80"/>
    </w:pPr>
    <w:r>
      <w:rPr>
        <w:rFonts w:ascii="Calibri" w:cs="Calibri" w:eastAsia="Calibri" w:hAnsi="Calibri"/>
        <w:color w:val="8A9BB0"/>
        <w:sz w:val="16"/>
        <w:szCs w:val="16"/>
      </w:rPr>
      <w:t xml:space="preserve">Esheria Legal Workflow OS  ·  Product &amp; Design Appendix</w:t>
    </w:r>
    <w:r>
      <w:rPr>
        <w:sz w:val="16"/>
        <w:szCs w:val="16"/>
      </w:rPr>
      <w:t xml:space="preserve">	</w:t>
    </w:r>
    <w:r>
      <w:rPr>
        <w:rFonts w:ascii="Calibri" w:cs="Calibri" w:eastAsia="Calibri" w:hAnsi="Calibri"/>
        <w:color w:val="8A9BB0"/>
        <w:sz w:val="16"/>
        <w:szCs w:val="16"/>
      </w:rPr>
      <w:t xml:space="preserve">Vincent Nyamao  ·  2025</w:t>
    </w:r>
    <w:r>
      <w:rPr>
        <w:sz w:val="16"/>
        <w:szCs w:val="16"/>
      </w:rPr>
      <w:t xml:space="preserve">	</w:t>
    </w:r>
    <w:r>
      <w:rPr>
        <w:rFonts w:ascii="Calibri" w:cs="Calibri" w:eastAsia="Calibri" w:hAnsi="Calibri"/>
        <w:color w:val="8A9BB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1628" w:val="clear"/>
          <w:tcMar>
            <w:top w:type="dxa" w:w="80"/>
            <w:left w:type="dxa" w:w="180"/>
            <w:bottom w:type="dxa" w:w="80"/>
            <w:right w:type="dxa" w:w="80"/>
          </w:tcMar>
        </w:tcPr>
        <w:p>
          <w:r>
            <w:rPr>
              <w:rFonts w:ascii="Calibri" w:cs="Calibri" w:eastAsia="Calibri" w:hAnsi="Calibri"/>
              <w:b/>
              <w:bCs/>
              <w:color w:val="00A884"/>
              <w:spacing w:val="40"/>
              <w:sz w:val="18"/>
              <w:szCs w:val="18"/>
            </w:rPr>
            <w:t xml:space="preserve">ESHERIA  ·  PRODUCT &amp; DESIGN APPENDIX</w:t>
          </w:r>
        </w:p>
      </w:tc>
      <w:tc>
        <w:tcPr>
          <w:tcW w:type="dxa" w:w="4680"/>
          <w:tcBorders>
            <w:top w:val="none" w:color="FFFFFF" w:sz="0"/>
            <w:left w:val="none" w:color="FFFFFF" w:sz="0"/>
            <w:bottom w:val="none" w:color="FFFFFF" w:sz="0"/>
            <w:right w:val="none" w:color="FFFFFF" w:sz="0"/>
          </w:tcBorders>
          <w:shd w:fill="0A1628" w:val="clear"/>
          <w:tcMar>
            <w:top w:type="dxa" w:w="80"/>
            <w:left w:type="dxa" w:w="80"/>
            <w:bottom w:type="dxa" w:w="80"/>
            <w:right w:type="dxa" w:w="180"/>
          </w:tcMar>
        </w:tcPr>
        <w:p>
          <w:pPr>
            <w:jc w:val="right"/>
          </w:pPr>
          <w:r>
            <w:rPr>
              <w:rFonts w:ascii="Calibri" w:cs="Calibri" w:eastAsia="Calibri" w:hAnsi="Calibri"/>
              <w:color w:val="6B7E99"/>
              <w:spacing w:val="40"/>
              <w:sz w:val="16"/>
              <w:szCs w:val="16"/>
            </w:rPr>
            <w:t xml:space="preserve">CONFIDENTIAL  ·  INTERNAL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60" w:hanging="280"/>
      </w:pPr>
    </w:lvl>
    <w:lvl w:ilvl="1" w15:tentative="1">
      <w:start w:val="1"/>
      <w:numFmt w:val="bullet"/>
      <w:lvlText w:val="–"/>
      <w:lvlJc w:val="left"/>
      <w:pPr>
        <w:spacing w:before="20" w:after="20"/>
        <w:ind w:left="980" w:hanging="280"/>
      </w:pPr>
    </w:lvl>
  </w:abstractNum>
  <w:abstractNum w:abstractNumId="3" w15:restartNumberingAfterBreak="0">
    <w:multiLevelType w:val="hybridMultilevel"/>
    <w:lvl w:ilvl="0" w15:tentative="1">
      <w:start w:val="1"/>
      <w:numFmt w:val="decimal"/>
      <w:lvlText w:val="%1."/>
      <w:lvlJc w:val="left"/>
      <w:pPr>
        <w:spacing w:before="40" w:after="40"/>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0A1628"/>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1E3A5F"/>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2E3F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2026-03-07T15:31:24.488Z</dcterms:created>
  <dcterms:modified xsi:type="dcterms:W3CDTF">2026-03-07T15:31:24.490Z</dcterms:modified>
</cp:coreProperties>
</file>

<file path=docProps/custom.xml><?xml version="1.0" encoding="utf-8"?>
<Properties xmlns="http://schemas.openxmlformats.org/officeDocument/2006/custom-properties" xmlns:vt="http://schemas.openxmlformats.org/officeDocument/2006/docPropsVTypes"/>
</file>