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A1628" w:val="clear"/>
            <w:tcMar>
              <w:top w:type="dxa" w:w="1400"/>
              <w:left w:type="dxa" w:w="1440"/>
              <w:bottom w:type="dxa" w:w="0"/>
              <w:right w:type="dxa" w:w="1440"/>
            </w:tcMar>
          </w:tcPr>
          <w:p>
            <w:pPr>
              <w:spacing w:before="0" w:after="40"/>
            </w:pPr>
            <w:r>
              <w:rPr>
                <w:rFonts w:ascii="Calibri" w:cs="Calibri" w:eastAsia="Calibri" w:hAnsi="Calibri"/>
                <w:b/>
                <w:bCs/>
                <w:color w:val="FFFFFF"/>
                <w:spacing w:val="200"/>
                <w:sz w:val="72"/>
                <w:szCs w:val="72"/>
              </w:rPr>
              <w:t xml:space="preserve">ESHERIA</w:t>
            </w:r>
          </w:p>
          <w:p>
            <w:pPr>
              <w:spacing w:before="0" w:after="80"/>
            </w:pPr>
            <w:r>
              <w:rPr>
                <w:rFonts w:ascii="Calibri" w:cs="Calibri" w:eastAsia="Calibri" w:hAnsi="Calibri"/>
                <w:b/>
                <w:bCs/>
                <w:color w:val="00A884"/>
                <w:spacing w:val="80"/>
                <w:sz w:val="28"/>
                <w:szCs w:val="28"/>
              </w:rPr>
              <w:t xml:space="preserve">LEGAL WORKFLOW OPERATING SYSTEM</w:t>
            </w:r>
          </w:p>
          <w:p>
            <w:pPr>
              <w:pBdr>
                <w:bottom w:val="single" w:color="00A884" w:sz="4" w:space="8"/>
              </w:pBdr>
              <w:spacing w:before="0" w:after="40"/>
            </w:pPr>
            <w:r>
              <w:rPr>
                <w:sz w:val="22"/>
                <w:szCs w:val="22"/>
              </w:rPr>
              <w:t xml:space="preserve"/>
            </w:r>
          </w:p>
        </w:tc>
      </w:tr>
      <w:tr>
        <w:tc>
          <w:tcPr>
            <w:tcW w:type="dxa" w:w="12240"/>
            <w:tcBorders>
              <w:top w:val="none" w:color="FFFFFF" w:sz="0"/>
              <w:left w:val="none" w:color="FFFFFF" w:sz="0"/>
              <w:bottom w:val="none" w:color="FFFFFF" w:sz="0"/>
              <w:right w:val="none" w:color="FFFFFF" w:sz="0"/>
            </w:tcBorders>
            <w:shd w:fill="0A1628" w:val="clear"/>
            <w:tcMar>
              <w:top w:type="dxa" w:w="160"/>
              <w:left w:type="dxa" w:w="1440"/>
              <w:bottom w:type="dxa" w:w="0"/>
              <w:right w:type="dxa" w:w="1440"/>
            </w:tcMar>
          </w:tcPr>
          <w:p>
            <w:pPr>
              <w:spacing w:before="0" w:after="80"/>
            </w:pPr>
            <w:r>
              <w:rPr>
                <w:rFonts w:ascii="Calibri" w:cs="Calibri" w:eastAsia="Calibri" w:hAnsi="Calibri"/>
                <w:b/>
                <w:bCs/>
                <w:color w:val="F2F5F8"/>
                <w:sz w:val="40"/>
                <w:szCs w:val="40"/>
              </w:rPr>
              <w:t xml:space="preserve">Technical Architecture Blueprint</w:t>
            </w:r>
          </w:p>
          <w:p>
            <w:pPr>
              <w:spacing w:before="0" w:after="0"/>
            </w:pPr>
            <w:r>
              <w:rPr>
                <w:rFonts w:ascii="Calibri" w:cs="Calibri" w:eastAsia="Calibri" w:hAnsi="Calibri"/>
                <w:color w:val="8A9BB0"/>
                <w:sz w:val="24"/>
                <w:szCs w:val="24"/>
              </w:rPr>
              <w:t xml:space="preserve">Engineering Reference  ·  Senior Architecture Review</w:t>
            </w:r>
          </w:p>
        </w:tc>
      </w:tr>
      <w:tr>
        <w:tc>
          <w:tcPr>
            <w:tcW w:type="dxa" w:w="12240"/>
            <w:tcBorders>
              <w:top w:val="none" w:color="FFFFFF" w:sz="0"/>
              <w:left w:val="none" w:color="FFFFFF" w:sz="0"/>
              <w:bottom w:val="none" w:color="FFFFFF" w:sz="0"/>
              <w:right w:val="none" w:color="FFFFFF" w:sz="0"/>
            </w:tcBorders>
            <w:shd w:fill="081020" w:val="clear"/>
            <w:tcMar>
              <w:top w:type="dxa" w:w="800"/>
              <w:left w:type="dxa" w:w="1440"/>
              <w:bottom w:type="dxa" w:w="1200"/>
              <w:right w:type="dxa" w:w="1440"/>
            </w:tcMar>
          </w:tcPr>
          <w:p>
            <w:pPr>
              <w:spacing w:before="0" w:after="80"/>
            </w:pPr>
            <w:r>
              <w:rPr>
                <w:rFonts w:ascii="Calibri" w:cs="Calibri" w:eastAsia="Calibri" w:hAnsi="Calibri"/>
                <w:b/>
                <w:bCs/>
                <w:color w:val="00A884"/>
                <w:spacing w:val="40"/>
                <w:sz w:val="20"/>
                <w:szCs w:val="20"/>
              </w:rPr>
              <w:t xml:space="preserve">Document Scope</w:t>
            </w:r>
          </w:p>
          <w:p>
            <w:pPr>
              <w:spacing w:before="0" w:after="200"/>
            </w:pPr>
            <w:r>
              <w:rPr>
                <w:rFonts w:ascii="Calibri" w:cs="Calibri" w:eastAsia="Calibri" w:hAnsi="Calibri"/>
                <w:color w:val="A0B4C8"/>
                <w:sz w:val="22"/>
                <w:szCs w:val="22"/>
              </w:rPr>
              <w:t xml:space="preserve">This document provides the full engineering specification for the Esheria Legal Workflow OS: system architecture, deployment topology, API structure, canonical data model, tenancy model, service integration map, workflow orchestration design, and implementation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Attribute</w:t>
                  </w:r>
                </w:p>
              </w:tc>
              <w:tc>
                <w:tcPr>
                  <w:tcW w:type="dxa" w:w="69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Document Type</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Technical Architecture Blueprint</w:t>
                  </w:r>
                </w:p>
              </w:tc>
            </w:tr>
            <w:tr>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Prepared By</w:t>
                  </w:r>
                </w:p>
              </w:tc>
              <w:tc>
                <w:tcPr>
                  <w:tcW w:type="dxa" w:w="6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Vincent Nyamao</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Audience</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Engineering Leads · CTO · Technical Architects</w:t>
                  </w:r>
                </w:p>
              </w:tc>
            </w:tr>
            <w:tr>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Classification</w:t>
                  </w:r>
                </w:p>
              </w:tc>
              <w:tc>
                <w:tcPr>
                  <w:tcW w:type="dxa" w:w="6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CONFIDENTIAL — Technical Review</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Version</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1.0 — 2025</w:t>
                  </w:r>
                </w:p>
              </w:tc>
            </w:tr>
          </w:tbl>
          <w:p/>
        </w:tc>
      </w:tr>
    </w:tbl>
    <w:p>
      <w:r>
        <w:br w:type="page"/>
      </w:r>
    </w:p>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60"/>
              <w:left w:type="dxa" w:w="120"/>
              <w:bottom w:type="dxa" w:w="160"/>
              <w:right w:type="dxa" w:w="80"/>
            </w:tcMar>
            <w:vAlign w:val="center"/>
          </w:tcPr>
          <w:p>
            <w:pPr>
              <w:jc w:val="center"/>
            </w:pPr>
            <w:r>
              <w:rPr>
                <w:rFonts w:ascii="Calibri" w:cs="Calibri" w:eastAsia="Calibri" w:hAnsi="Calibri"/>
                <w:b/>
                <w:bCs/>
                <w:color w:val="FFFFFF"/>
                <w:sz w:val="36"/>
                <w:szCs w:val="36"/>
              </w:rPr>
              <w:t xml:space="preserve">01</w:t>
            </w:r>
          </w:p>
        </w:tc>
        <w:tc>
          <w:tcPr>
            <w:tcW w:type="dxa" w:w="8760"/>
            <w:tcBorders>
              <w:top w:val="single" w:color="0A1628" w:sz="4"/>
              <w:left w:val="none" w:color="FFFFFF" w:sz="0"/>
              <w:bottom w:val="single" w:color="0A1628" w:sz="4"/>
              <w:right w:val="single" w:color="0A1628" w:sz="4"/>
            </w:tcBorders>
            <w:shd w:fill="0A1628" w:val="clear"/>
            <w:tcMar>
              <w:top w:type="dxa" w:w="80"/>
              <w:left w:type="dxa" w:w="180"/>
              <w:bottom w:type="dxa" w:w="80"/>
              <w:right w:type="dxa" w:w="120"/>
            </w:tcMar>
            <w:vAlign w:val="center"/>
          </w:tcPr>
          <w:p>
            <w:r>
              <w:rPr>
                <w:rFonts w:ascii="Calibri" w:cs="Calibri" w:eastAsia="Calibri" w:hAnsi="Calibri"/>
                <w:b/>
                <w:bCs/>
                <w:color w:val="FFFFFF"/>
                <w:sz w:val="28"/>
                <w:szCs w:val="28"/>
              </w:rPr>
              <w:t xml:space="preserve">System Context</w:t>
            </w:r>
          </w:p>
          <w:p>
            <w:r>
              <w:rPr>
                <w:rFonts w:ascii="Calibri" w:cs="Calibri" w:eastAsia="Calibri" w:hAnsi="Calibri"/>
                <w:color w:val="8A9BB0"/>
                <w:sz w:val="18"/>
                <w:szCs w:val="18"/>
              </w:rPr>
              <w:t xml:space="preserve">Platform actors, boundaries, and external connections</w:t>
            </w:r>
          </w:p>
        </w:tc>
      </w:tr>
    </w:tbl>
    <w:p>
      <w:pPr>
        <w:spacing w:after="0"/>
      </w:pPr>
      <w:r>
        <w:t xml:space="preserve"/>
      </w:r>
    </w:p>
    <w:p>
      <w:pPr>
        <w:spacing w:before="60" w:after="100"/>
      </w:pPr>
      <w:r>
        <w:rPr>
          <w:rFonts w:ascii="Calibri" w:cs="Calibri" w:eastAsia="Calibri" w:hAnsi="Calibri"/>
          <w:color w:val="1A1A2E"/>
          <w:sz w:val="22"/>
          <w:szCs w:val="22"/>
        </w:rPr>
        <w:t xml:space="preserve">The Esheria Legal Workflow OS operates within a system context that includes three categories of external actors, five categories of connected capability services, and a set of external enterprise integrations. Understanding the system boundary is the foundation for all subsequent architectural decisions.</w:t>
      </w:r>
    </w:p>
    <w:p>
      <w:pPr>
        <w:spacing w:after="160"/>
      </w:pPr>
      <w:r>
        <w:t xml:space="preserve"/>
      </w:r>
    </w:p>
    <w:p>
      <w:pPr>
        <w:pStyle w:val="Heading2"/>
        <w:spacing w:before="280" w:after="120"/>
      </w:pPr>
      <w:r>
        <w:rPr>
          <w:rFonts w:ascii="Calibri" w:cs="Calibri" w:eastAsia="Calibri" w:hAnsi="Calibri"/>
          <w:b/>
          <w:bCs/>
          <w:color w:val="1E3A5F"/>
          <w:sz w:val="28"/>
          <w:szCs w:val="28"/>
        </w:rPr>
        <w:t xml:space="preserve">1.1  System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rPr>
          <w:tblHeader/>
        </w:trPr>
        <w:tc>
          <w:tcPr>
            <w:tcW w:type="dxa" w:w="1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Actor</w:t>
            </w:r>
          </w:p>
        </w:tc>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Access Surface</w:t>
            </w:r>
          </w:p>
        </w:tc>
        <w:tc>
          <w:tcPr>
            <w:tcW w:type="dxa" w:w="37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Data Scope</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Institution Users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External — Customer</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Institution Workspace frontend; /api/* gateway</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Scoped to own organisation — tenant-isolated</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Legal Reviewers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External — Customer (specialised)</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Review Workspace module within Institution surface</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Own org matters, documents, review queues</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Compliance Officers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External — Customer (specialised)</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Compliance module; analytics module</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Own org compliance data</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Esheria Operators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Internal — Esheria staff</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Operator Console; /api/operator/* gateway</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Cross-tenant visibility (audited)</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 Support Agents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Internal — Esheria staff</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Support Console with impersonation (audited)</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Cross-tenant read; targeted write with justification</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Public / Prospect Users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External — Unauthenticated or demo</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Public surface; demo environment</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Sandboxed demo data only</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API Consumers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External — Integration partners</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External /api/* with API key auth</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Scoped to sponsoring organisation</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1.2  Trust Boundaries</w:t>
      </w:r>
    </w:p>
    <w:p>
      <w:pPr>
        <w:spacing w:before="60" w:after="100"/>
      </w:pPr>
      <w:r>
        <w:rPr>
          <w:rFonts w:ascii="Calibri" w:cs="Calibri" w:eastAsia="Calibri" w:hAnsi="Calibri"/>
          <w:color w:val="1A1A2E"/>
          <w:sz w:val="22"/>
          <w:szCs w:val="22"/>
        </w:rPr>
        <w:t xml:space="preserve">The system operates with three distinct trust zones. Every request crossing a trust boundary must be authenticated and authorised before it reaches internal services.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80"/>
        <w:gridCol w:w="3080"/>
      </w:tblGrid>
      <w:tr>
        <w:trPr>
          <w:tblHeader/>
        </w:trPr>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Zone</w:t>
            </w:r>
          </w:p>
        </w:tc>
        <w:tc>
          <w:tcPr>
            <w:tcW w:type="dxa" w:w="468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c>
          <w:tcPr>
            <w:tcW w:type="dxa" w:w="308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Enforcement Point</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Public Zone</w:t>
            </w:r>
          </w:p>
        </w:tc>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Unauthenticated requests — only public/demo surface content accessible</w:t>
            </w:r>
          </w:p>
        </w:tc>
        <w:tc>
          <w:tcPr>
            <w:tcW w:type="dxa" w:w="30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API Gateway — pre-auth layer</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Authenticated Zone</w:t>
            </w:r>
          </w:p>
        </w:tc>
        <w:tc>
          <w:tcPr>
            <w:tcW w:type="dxa" w:w="46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Verified user with valid JWT — access scoped to own organisation</w:t>
            </w:r>
          </w:p>
        </w:tc>
        <w:tc>
          <w:tcPr>
            <w:tcW w:type="dxa" w:w="30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Auth Boundary middleware — JWT validation + tenant claim resolution</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Operator Zone</w:t>
            </w:r>
          </w:p>
        </w:tc>
        <w:tc>
          <w:tcPr>
            <w:tcW w:type="dxa" w:w="46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 staff with elevated access — full audit logging required</w:t>
            </w:r>
          </w:p>
        </w:tc>
        <w:tc>
          <w:tcPr>
            <w:tcW w:type="dxa" w:w="30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Separate operator auth flow — every action logged to immutable audit record</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1.3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Integration Category</w:t>
            </w:r>
          </w:p>
        </w:tc>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Examples</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Connection Type</w:t>
            </w:r>
          </w:p>
        </w:tc>
        <w:tc>
          <w:tcPr>
            <w:tcW w:type="dxa" w:w="27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Priority</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Document Management</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SharePoint, Google Drive, Dropbox, NetDocuments</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OAuth + webhook sync</w:t>
            </w:r>
          </w:p>
        </w:tc>
        <w:tc>
          <w:tcPr>
            <w:tcW w:type="dxa" w:w="2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P3 — Phase 3</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CRM / ERP</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Salesforce, SAP, Oracle, HubSpot</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REST API + field mapping</w:t>
            </w:r>
          </w:p>
        </w:tc>
        <w:tc>
          <w:tcPr>
            <w:tcW w:type="dxa" w:w="2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P4 — Phase 4</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E-Signature</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DocuSign, Adobe Sign, HelloSign</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API + callback webhook</w:t>
            </w:r>
          </w:p>
        </w:tc>
        <w:tc>
          <w:tcPr>
            <w:tcW w:type="dxa" w:w="2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P3 — Phase 3</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Legal Research</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LexisNexis, Westlaw, vLex, Casetext</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Secure API + citation linking</w:t>
            </w:r>
          </w:p>
        </w:tc>
        <w:tc>
          <w:tcPr>
            <w:tcW w:type="dxa" w:w="2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P2 — MVP (esheria-ai connector)</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Email / Calendar</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Gmail, Outlook, Exchange</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OAuth — notifications and approvals</w:t>
            </w:r>
          </w:p>
        </w:tc>
        <w:tc>
          <w:tcPr>
            <w:tcW w:type="dxa" w:w="2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P3 — Phase 3</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SSO / Identity</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Okta, Azure AD, Google Workspace</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SAML 2.0 / OIDC</w:t>
            </w:r>
          </w:p>
        </w:tc>
        <w:tc>
          <w:tcPr>
            <w:tcW w:type="dxa" w:w="2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P3 — Phase 3</w:t>
            </w:r>
          </w:p>
        </w:tc>
      </w:tr>
    </w:tbl>
    <w:p>
      <w:pPr>
        <w:spacing w:after="160"/>
      </w:pPr>
      <w:r>
        <w:t xml:space="preserve"/>
      </w:r>
    </w:p>
    <w:p>
      <w:pPr>
        <w:pBdr>
          <w:bottom w:val="single" w:color="CBD5E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60"/>
              <w:left w:type="dxa" w:w="120"/>
              <w:bottom w:type="dxa" w:w="160"/>
              <w:right w:type="dxa" w:w="80"/>
            </w:tcMar>
            <w:vAlign w:val="center"/>
          </w:tcPr>
          <w:p>
            <w:pPr>
              <w:jc w:val="center"/>
            </w:pPr>
            <w:r>
              <w:rPr>
                <w:rFonts w:ascii="Calibri" w:cs="Calibri" w:eastAsia="Calibri" w:hAnsi="Calibri"/>
                <w:b/>
                <w:bCs/>
                <w:color w:val="FFFFFF"/>
                <w:sz w:val="36"/>
                <w:szCs w:val="36"/>
              </w:rPr>
              <w:t xml:space="preserve">02</w:t>
            </w:r>
          </w:p>
        </w:tc>
        <w:tc>
          <w:tcPr>
            <w:tcW w:type="dxa" w:w="8760"/>
            <w:tcBorders>
              <w:top w:val="single" w:color="0A1628" w:sz="4"/>
              <w:left w:val="none" w:color="FFFFFF" w:sz="0"/>
              <w:bottom w:val="single" w:color="0A1628" w:sz="4"/>
              <w:right w:val="single" w:color="0A1628" w:sz="4"/>
            </w:tcBorders>
            <w:shd w:fill="0A1628" w:val="clear"/>
            <w:tcMar>
              <w:top w:type="dxa" w:w="80"/>
              <w:left w:type="dxa" w:w="180"/>
              <w:bottom w:type="dxa" w:w="80"/>
              <w:right w:type="dxa" w:w="120"/>
            </w:tcMar>
            <w:vAlign w:val="center"/>
          </w:tcPr>
          <w:p>
            <w:r>
              <w:rPr>
                <w:rFonts w:ascii="Calibri" w:cs="Calibri" w:eastAsia="Calibri" w:hAnsi="Calibri"/>
                <w:b/>
                <w:bCs/>
                <w:color w:val="FFFFFF"/>
                <w:sz w:val="28"/>
                <w:szCs w:val="28"/>
              </w:rPr>
              <w:t xml:space="preserve">Layered Architecture</w:t>
            </w:r>
          </w:p>
          <w:p>
            <w:r>
              <w:rPr>
                <w:rFonts w:ascii="Calibri" w:cs="Calibri" w:eastAsia="Calibri" w:hAnsi="Calibri"/>
                <w:color w:val="8A9BB0"/>
                <w:sz w:val="18"/>
                <w:szCs w:val="18"/>
              </w:rPr>
              <w:t xml:space="preserve">Five-layer stack from existing services to experience surfaces</w:t>
            </w:r>
          </w:p>
        </w:tc>
      </w:tr>
    </w:tbl>
    <w:p>
      <w:pPr>
        <w:spacing w:after="0"/>
      </w:pPr>
      <w:r>
        <w:t xml:space="preserve"/>
      </w:r>
    </w:p>
    <w:p>
      <w:pPr>
        <w:spacing w:before="60" w:after="100"/>
      </w:pPr>
      <w:r>
        <w:rPr>
          <w:rFonts w:ascii="Calibri" w:cs="Calibri" w:eastAsia="Calibri" w:hAnsi="Calibri"/>
          <w:color w:val="1A1A2E"/>
          <w:sz w:val="22"/>
          <w:szCs w:val="22"/>
        </w:rPr>
        <w:t xml:space="preserve">The platform is structured as five horizontal layers. The layered model ensures that no layer has direct dependency on non-adjacent layers, that existing services at Layer 1 can be consumed without modification, and that the experience layer at Layer 5 is fully decoupled from service implementation details.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3480"/>
        <w:gridCol w:w="3800"/>
      </w:tblGrid>
      <w:tr>
        <w:trPr>
          <w:tblHeader/>
        </w:trPr>
        <w:tc>
          <w:tcPr>
            <w:tcW w:type="dxa" w:w="48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Name</w:t>
            </w:r>
          </w:p>
        </w:tc>
        <w:tc>
          <w:tcPr>
            <w:tcW w:type="dxa" w:w="348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Responsibility</w:t>
            </w:r>
          </w:p>
        </w:tc>
        <w:tc>
          <w:tcPr>
            <w:tcW w:type="dxa" w:w="3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Key Design Constraint</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L5</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Experience</w:t>
            </w:r>
          </w:p>
        </w:tc>
        <w:tc>
          <w:tcPr>
            <w:tcW w:type="dxa" w:w="3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All user-facing frontend surfaces — institution workspace, operator console, public/sales surface</w:t>
            </w:r>
          </w:p>
        </w:tc>
        <w:tc>
          <w:tcPr>
            <w:tcW w:type="dxa" w:w="3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Only calls /api/* external gateway. Never calls internal services directly.</w:t>
            </w:r>
          </w:p>
        </w:tc>
      </w:tr>
      <w:tr>
        <w:tc>
          <w:tcPr>
            <w:tcW w:type="dxa" w:w="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L4</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 Control Plane</w:t>
            </w:r>
          </w:p>
        </w:tc>
        <w:tc>
          <w:tcPr>
            <w:tcW w:type="dxa" w:w="3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 orchestration, state machine execution, approval routing, escalation, audit log, policy enforcement</w:t>
            </w:r>
          </w:p>
        </w:tc>
        <w:tc>
          <w:tcPr>
            <w:tcW w:type="dxa" w:w="3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All workflow state persists to transactional DB. No in-memory-only state for running workflows.</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L3</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Canonical Object Model</w:t>
            </w:r>
          </w:p>
        </w:tc>
        <w:tc>
          <w:tcPr>
            <w:tcW w:type="dxa" w:w="3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Shared legal business object definitions and persistence — the single source of truth for all entities</w:t>
            </w:r>
          </w:p>
        </w:tc>
        <w:tc>
          <w:tcPr>
            <w:tcW w:type="dxa" w:w="3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Object schema is versioned and treated as immutable within a major version. All services must operate on canonical objects.</w:t>
            </w:r>
          </w:p>
        </w:tc>
      </w:tr>
      <w:tr>
        <w:tc>
          <w:tcPr>
            <w:tcW w:type="dxa" w:w="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L2</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Capability Connectors</w:t>
            </w:r>
          </w:p>
        </w:tc>
        <w:tc>
          <w:tcPr>
            <w:tcW w:type="dxa" w:w="3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Thin adapter modules normalising access to all capability services. The Connector Gateway routes all internal service calls.</w:t>
            </w:r>
          </w:p>
        </w:tc>
        <w:tc>
          <w:tcPr>
            <w:tcW w:type="dxa" w:w="3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Connectors handle auth, error normalisation, retry logic, and protocol translation. No business logic in connectors.</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L1</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Existing Services</w:t>
            </w:r>
          </w:p>
        </w:tc>
        <w:tc>
          <w:tcPr>
            <w:tcW w:type="dxa" w:w="3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Current Esheria capability repos — consumed as internal services without modification</w:t>
            </w:r>
          </w:p>
        </w:tc>
        <w:tc>
          <w:tcPr>
            <w:tcW w:type="dxa" w:w="3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Services must expose stable /internal/* API endpoints. No service has direct DB access to another service's schema.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47F1A" w:sz="8"/>
              <w:left w:val="single" w:color="C47F1A" w:sz="8"/>
              <w:bottom w:val="single" w:color="C47F1A" w:sz="8"/>
              <w:right w:val="none" w:color="FFFFFF" w:sz="0"/>
            </w:tcBorders>
            <w:shd w:fill="C47F1A" w:val="clear"/>
            <w:tcMar>
              <w:top w:type="dxa" w:w="120"/>
              <w:left w:type="dxa" w:w="140"/>
              <w:bottom w:type="dxa" w:w="120"/>
              <w:right w:type="dxa" w:w="0"/>
            </w:tcMar>
            <w:vAlign w:val="center"/>
          </w:tcPr>
          <w:p>
            <w:r>
              <w:rPr>
                <w:sz w:val="1"/>
                <w:szCs w:val="1"/>
              </w:rPr>
              <w:t xml:space="preserve"/>
            </w:r>
          </w:p>
        </w:tc>
        <w:tc>
          <w:tcPr>
            <w:tcW w:type="dxa" w:w="9160"/>
            <w:tcBorders>
              <w:top w:val="single" w:color="C47F1A" w:sz="4"/>
              <w:left w:val="none" w:color="FFFFFF" w:sz="0"/>
              <w:bottom w:val="single" w:color="C47F1A" w:sz="4"/>
              <w:right w:val="single" w:color="C47F1A" w:sz="4"/>
            </w:tcBorders>
            <w:shd w:fill="FDF3E0" w:val="clear"/>
            <w:tcMar>
              <w:top w:type="dxa" w:w="120"/>
              <w:left w:type="dxa" w:w="200"/>
              <w:bottom w:type="dxa" w:w="120"/>
              <w:right w:type="dxa" w:w="160"/>
            </w:tcMar>
          </w:tcPr>
          <w:p>
            <w:pPr>
              <w:spacing w:before="0" w:after="60"/>
            </w:pPr>
            <w:r>
              <w:rPr>
                <w:rFonts w:ascii="Calibri" w:cs="Calibri" w:eastAsia="Calibri" w:hAnsi="Calibri"/>
                <w:b/>
                <w:bCs/>
                <w:color w:val="C47F1A"/>
                <w:spacing w:val="40"/>
                <w:sz w:val="18"/>
                <w:szCs w:val="18"/>
              </w:rPr>
              <w:t xml:space="preserve">CRITICAL ARCHITECTURAL DECISION</w:t>
            </w:r>
          </w:p>
          <w:p>
            <w:pPr>
              <w:spacing w:before="0" w:after="0"/>
            </w:pPr>
            <w:r>
              <w:rPr>
                <w:rFonts w:ascii="Calibri" w:cs="Calibri" w:eastAsia="Calibri" w:hAnsi="Calibri"/>
                <w:color w:val="1A1A2E"/>
                <w:sz w:val="22"/>
                <w:szCs w:val="22"/>
              </w:rPr>
              <w:t xml:space="preserve">The most architecturally significant decision in this system is the definition of Layer 3 — the Canonical Object Model. Once all services, agents, and frontends operate on the same object definitions, the platform emerges from the architecture. If this layer is skipped or deferred, services remain isolated regardless of how many connectors are built.</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2.1  Layer Interaction Rules</w:t>
      </w:r>
    </w:p>
    <w:p>
      <w:pPr>
        <w:pStyle w:val="ListParagraph"/>
        <w:numPr>
          <w:ilvl w:val="0"/>
          <w:numId w:val="2"/>
        </w:numPr>
        <w:spacing w:before="40" w:after="60"/>
      </w:pPr>
      <w:r>
        <w:rPr>
          <w:rFonts w:ascii="Calibri" w:cs="Calibri" w:eastAsia="Calibri" w:hAnsi="Calibri"/>
          <w:color w:val="1A1A2E"/>
          <w:sz w:val="22"/>
          <w:szCs w:val="22"/>
        </w:rPr>
        <w:t xml:space="preserve">L5 (Experience) → L4 (Control Plane): via /api/* external gateway only</w:t>
      </w:r>
    </w:p>
    <w:p>
      <w:pPr>
        <w:pStyle w:val="ListParagraph"/>
        <w:numPr>
          <w:ilvl w:val="0"/>
          <w:numId w:val="2"/>
        </w:numPr>
        <w:spacing w:before="40" w:after="60"/>
      </w:pPr>
      <w:r>
        <w:rPr>
          <w:rFonts w:ascii="Calibri" w:cs="Calibri" w:eastAsia="Calibri" w:hAnsi="Calibri"/>
          <w:color w:val="1A1A2E"/>
          <w:sz w:val="22"/>
          <w:szCs w:val="22"/>
        </w:rPr>
        <w:t xml:space="preserve">L4 (Control Plane) → L3 (Object Model): direct persistence operations on canonical schema</w:t>
      </w:r>
    </w:p>
    <w:p>
      <w:pPr>
        <w:pStyle w:val="ListParagraph"/>
        <w:numPr>
          <w:ilvl w:val="0"/>
          <w:numId w:val="2"/>
        </w:numPr>
        <w:spacing w:before="40" w:after="60"/>
      </w:pPr>
      <w:r>
        <w:rPr>
          <w:rFonts w:ascii="Calibri" w:cs="Calibri" w:eastAsia="Calibri" w:hAnsi="Calibri"/>
          <w:color w:val="1A1A2E"/>
          <w:sz w:val="22"/>
          <w:szCs w:val="22"/>
        </w:rPr>
        <w:t xml:space="preserve">L4 (Control Plane) → L2 (Connectors): via Connector Gateway internal routing</w:t>
      </w:r>
    </w:p>
    <w:p>
      <w:pPr>
        <w:pStyle w:val="ListParagraph"/>
        <w:numPr>
          <w:ilvl w:val="0"/>
          <w:numId w:val="2"/>
        </w:numPr>
        <w:spacing w:before="40" w:after="60"/>
      </w:pPr>
      <w:r>
        <w:rPr>
          <w:rFonts w:ascii="Calibri" w:cs="Calibri" w:eastAsia="Calibri" w:hAnsi="Calibri"/>
          <w:color w:val="1A1A2E"/>
          <w:sz w:val="22"/>
          <w:szCs w:val="22"/>
        </w:rPr>
        <w:t xml:space="preserve">L2 (Connectors) → L1 (Services): via /internal/* service APIs with connector-managed auth</w:t>
      </w:r>
    </w:p>
    <w:p>
      <w:pPr>
        <w:pStyle w:val="ListParagraph"/>
        <w:numPr>
          <w:ilvl w:val="0"/>
          <w:numId w:val="2"/>
        </w:numPr>
        <w:spacing w:before="40" w:after="60"/>
      </w:pPr>
      <w:r>
        <w:rPr>
          <w:rFonts w:ascii="Calibri" w:cs="Calibri" w:eastAsia="Calibri" w:hAnsi="Calibri"/>
          <w:color w:val="1A1A2E"/>
          <w:sz w:val="22"/>
          <w:szCs w:val="22"/>
        </w:rPr>
        <w:t xml:space="preserve">No cross-layer skipping: L5 must not call L2 or L1 directly</w:t>
      </w:r>
    </w:p>
    <w:p>
      <w:pPr>
        <w:pStyle w:val="ListParagraph"/>
        <w:numPr>
          <w:ilvl w:val="0"/>
          <w:numId w:val="2"/>
        </w:numPr>
        <w:spacing w:before="40" w:after="60"/>
      </w:pPr>
      <w:r>
        <w:rPr>
          <w:rFonts w:ascii="Calibri" w:cs="Calibri" w:eastAsia="Calibri" w:hAnsi="Calibri"/>
          <w:color w:val="1A1A2E"/>
          <w:sz w:val="22"/>
          <w:szCs w:val="22"/>
        </w:rPr>
        <w:t xml:space="preserve">No reverse dependency: L1 services do not call L4 or L5</w:t>
      </w:r>
    </w:p>
    <w:p>
      <w:pPr>
        <w:spacing w:after="160"/>
      </w:pPr>
      <w:r>
        <w:t xml:space="preserve"/>
      </w:r>
    </w:p>
    <w:p>
      <w:pPr>
        <w:pBdr>
          <w:bottom w:val="single" w:color="CBD5E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60"/>
              <w:left w:type="dxa" w:w="120"/>
              <w:bottom w:type="dxa" w:w="160"/>
              <w:right w:type="dxa" w:w="80"/>
            </w:tcMar>
            <w:vAlign w:val="center"/>
          </w:tcPr>
          <w:p>
            <w:pPr>
              <w:jc w:val="center"/>
            </w:pPr>
            <w:r>
              <w:rPr>
                <w:rFonts w:ascii="Calibri" w:cs="Calibri" w:eastAsia="Calibri" w:hAnsi="Calibri"/>
                <w:b/>
                <w:bCs/>
                <w:color w:val="FFFFFF"/>
                <w:sz w:val="36"/>
                <w:szCs w:val="36"/>
              </w:rPr>
              <w:t xml:space="preserve">03</w:t>
            </w:r>
          </w:p>
        </w:tc>
        <w:tc>
          <w:tcPr>
            <w:tcW w:type="dxa" w:w="8760"/>
            <w:tcBorders>
              <w:top w:val="single" w:color="0A1628" w:sz="4"/>
              <w:left w:val="none" w:color="FFFFFF" w:sz="0"/>
              <w:bottom w:val="single" w:color="0A1628" w:sz="4"/>
              <w:right w:val="single" w:color="0A1628" w:sz="4"/>
            </w:tcBorders>
            <w:shd w:fill="0A1628" w:val="clear"/>
            <w:tcMar>
              <w:top w:type="dxa" w:w="80"/>
              <w:left w:type="dxa" w:w="180"/>
              <w:bottom w:type="dxa" w:w="80"/>
              <w:right w:type="dxa" w:w="120"/>
            </w:tcMar>
            <w:vAlign w:val="center"/>
          </w:tcPr>
          <w:p>
            <w:r>
              <w:rPr>
                <w:rFonts w:ascii="Calibri" w:cs="Calibri" w:eastAsia="Calibri" w:hAnsi="Calibri"/>
                <w:b/>
                <w:bCs/>
                <w:color w:val="FFFFFF"/>
                <w:sz w:val="28"/>
                <w:szCs w:val="28"/>
              </w:rPr>
              <w:t xml:space="preserve">Canonical Object Model</w:t>
            </w:r>
          </w:p>
          <w:p>
            <w:r>
              <w:rPr>
                <w:rFonts w:ascii="Calibri" w:cs="Calibri" w:eastAsia="Calibri" w:hAnsi="Calibri"/>
                <w:color w:val="8A9BB0"/>
                <w:sz w:val="18"/>
                <w:szCs w:val="18"/>
              </w:rPr>
              <w:t xml:space="preserve">Shared legal business objects — the platform's data contract</w:t>
            </w:r>
          </w:p>
        </w:tc>
      </w:tr>
    </w:tbl>
    <w:p>
      <w:pPr>
        <w:spacing w:after="0"/>
      </w:pPr>
      <w:r>
        <w:t xml:space="preserve"/>
      </w:r>
    </w:p>
    <w:p>
      <w:pPr>
        <w:spacing w:before="60" w:after="100"/>
      </w:pPr>
      <w:r>
        <w:rPr>
          <w:rFonts w:ascii="Calibri" w:cs="Calibri" w:eastAsia="Calibri" w:hAnsi="Calibri"/>
          <w:color w:val="1A1A2E"/>
          <w:sz w:val="22"/>
          <w:szCs w:val="22"/>
        </w:rPr>
        <w:t xml:space="preserve">The Canonical Object Model defines nine core business objects that form the shared language of the platform. Every service, every agent/operator, every frontend module, and every API endpoint operates on these objects. The schema is the primary engineering contract — changes to it propagate across the entire system and must be versioned accordingly.</w:t>
      </w:r>
    </w:p>
    <w:p>
      <w:pPr>
        <w:spacing w:after="160"/>
      </w:pPr>
      <w:r>
        <w:t xml:space="preserve"/>
      </w:r>
    </w:p>
    <w:p>
      <w:pPr>
        <w:pStyle w:val="Heading2"/>
        <w:spacing w:before="280" w:after="120"/>
      </w:pPr>
      <w:r>
        <w:rPr>
          <w:rFonts w:ascii="Calibri" w:cs="Calibri" w:eastAsia="Calibri" w:hAnsi="Calibri"/>
          <w:b/>
          <w:bCs/>
          <w:color w:val="1E3A5F"/>
          <w:sz w:val="28"/>
          <w:szCs w:val="28"/>
        </w:rPr>
        <w:t xml:space="preserve">3.1  Core Entity Definitions</w:t>
      </w:r>
    </w:p>
    <w:p>
      <w:pPr>
        <w:pStyle w:val="Heading3"/>
        <w:spacing w:before="200" w:after="80"/>
      </w:pPr>
      <w:r>
        <w:rPr>
          <w:rFonts w:ascii="Calibri" w:cs="Calibri" w:eastAsia="Calibri" w:hAnsi="Calibri"/>
          <w:b/>
          <w:bCs/>
          <w:color w:val="2E3F55"/>
          <w:sz w:val="24"/>
          <w:szCs w:val="24"/>
        </w:rPr>
        <w:t xml:space="preserve">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rPr>
          <w:tblHeader/>
        </w:trPr>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Constraint</w:t>
            </w:r>
          </w:p>
        </w:tc>
        <w:tc>
          <w:tcPr>
            <w:tcW w:type="dxa" w:w="37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org_id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PK, 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Immutable primary identifier</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name</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VARCHAR(255)</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Legal name of the organisation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sector</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Industry classification (legal, financial, procurement, insurance, public)</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policy_set_id</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FK → PolicySet</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Linked default policy rule set for compliance checking</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jurisdiction_profile</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JSONB</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Array of applicable jurisdictions for regulatory mapping</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subscription_status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active | suspended | trial | cancelled</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created_at</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TIMESTAMPTZ</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Record creation timestamp</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updated_at</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TIMESTAMPTZ</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Last modification timestamp</w:t>
            </w:r>
          </w:p>
        </w:tc>
      </w:tr>
    </w:tbl>
    <w:p>
      <w:pPr>
        <w:spacing w:after="160"/>
      </w:pPr>
      <w:r>
        <w:t xml:space="preserve"/>
      </w:r>
    </w:p>
    <w:p>
      <w:pPr>
        <w:pStyle w:val="Heading3"/>
        <w:spacing w:before="200" w:after="80"/>
      </w:pPr>
      <w:r>
        <w:rPr>
          <w:rFonts w:ascii="Calibri" w:cs="Calibri" w:eastAsia="Calibri" w:hAnsi="Calibri"/>
          <w:b/>
          <w:bCs/>
          <w:color w:val="2E3F55"/>
          <w:sz w:val="24"/>
          <w:szCs w:val="24"/>
        </w:rPr>
        <w:t xml:space="preserve">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Constraint</w:t>
            </w:r>
          </w:p>
        </w:tc>
        <w:tc>
          <w:tcPr>
            <w:tcW w:type="dxa" w:w="35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matter_id</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PK, 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Immutable primary identifier</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org_id</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FK → Organization, NOT NULL</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Owning organisation — enforces tenant isolation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matter_type</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contract_review | compliance_check | drafting | regulatory | general</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status</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draft | active | in_review | pending_approval | approved | escalated | closed</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owner_user_id</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FK → User, 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Assigned matter owner within organisation</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deadline</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TIMESTAMPTZ</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Optional SLA deadline — triggers SLA tracking if set</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created_at</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TIMESTAMPTZ</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metadata</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JSONB</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Extensible field for matter-type-specific attributes</w:t>
            </w:r>
          </w:p>
        </w:tc>
      </w:tr>
    </w:tbl>
    <w:p>
      <w:pPr>
        <w:spacing w:after="160"/>
      </w:pPr>
      <w:r>
        <w:t xml:space="preserve"/>
      </w:r>
    </w:p>
    <w:p>
      <w:pPr>
        <w:pStyle w:val="Heading3"/>
        <w:spacing w:before="200" w:after="80"/>
      </w:pPr>
      <w:r>
        <w:rPr>
          <w:rFonts w:ascii="Calibri" w:cs="Calibri" w:eastAsia="Calibri" w:hAnsi="Calibri"/>
          <w:b/>
          <w:bCs/>
          <w:color w:val="2E3F55"/>
          <w:sz w:val="24"/>
          <w:szCs w:val="24"/>
        </w:rPr>
        <w:t xml:space="preserve">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rPr>
          <w:tblHeader/>
        </w:trPr>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Constraint</w:t>
            </w:r>
          </w:p>
        </w:tc>
        <w:tc>
          <w:tcPr>
            <w:tcW w:type="dxa" w:w="37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doc_id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PK, 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matter_id</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FK → Matter, 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Parent matter — all documents must belong to a matter</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org_id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FK → Organization, 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Tenant isolation enforcement</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source_type</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upload | generated | imported | external</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file_url</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TEXT</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Signed object storage URL</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ocr_status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pending | processing | complete | failed</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classification</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VARCHAR(255)</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Detected document type (contract, policy, memo, regulation, etc.)</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current_version</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INTEGER</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 DEFAULT 1</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Version counter — increments on each revision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parsed_at</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TIMESTAMPTZ</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Timestamp when extraction completed</w:t>
            </w:r>
          </w:p>
        </w:tc>
      </w:tr>
    </w:tbl>
    <w:p>
      <w:pPr>
        <w:spacing w:after="160"/>
      </w:pPr>
      <w:r>
        <w:t xml:space="preserve"/>
      </w:r>
    </w:p>
    <w:p>
      <w:pPr>
        <w:pStyle w:val="Heading3"/>
        <w:spacing w:before="200" w:after="80"/>
      </w:pPr>
      <w:r>
        <w:rPr>
          <w:rFonts w:ascii="Calibri" w:cs="Calibri" w:eastAsia="Calibri" w:hAnsi="Calibri"/>
          <w:b/>
          <w:bCs/>
          <w:color w:val="2E3F55"/>
          <w:sz w:val="24"/>
          <w:szCs w:val="24"/>
        </w:rPr>
        <w:t xml:space="preserve">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rPr>
          <w:tblHeader/>
        </w:trPr>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Constraint</w:t>
            </w:r>
          </w:p>
        </w:tc>
        <w:tc>
          <w:tcPr>
            <w:tcW w:type="dxa" w:w="37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clause_id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PK, 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doc_id</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FK → Document, 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Parent document</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clause_type</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liability | payment | termination | IP | confidentiality | indemnity | governing_law | other</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clause_text</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TEXT</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Full extracted clause text</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clause_position</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JSONB</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Position metadata for in-document highlighting</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risk_ids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Array of linked Risk object IDs</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precedent_ids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Array of linked Citation IDs used as precedents</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extracted_at</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TIMESTAMPTZ</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When extraction operator created this record</w:t>
            </w:r>
          </w:p>
        </w:tc>
      </w:tr>
    </w:tbl>
    <w:p>
      <w:pPr>
        <w:spacing w:after="160"/>
      </w:pPr>
      <w:r>
        <w:t xml:space="preserve"/>
      </w:r>
    </w:p>
    <w:p>
      <w:pPr>
        <w:pStyle w:val="Heading3"/>
        <w:spacing w:before="200" w:after="80"/>
      </w:pPr>
      <w:r>
        <w:rPr>
          <w:rFonts w:ascii="Calibri" w:cs="Calibri" w:eastAsia="Calibri" w:hAnsi="Calibri"/>
          <w:b/>
          <w:bCs/>
          <w:color w:val="2E3F55"/>
          <w:sz w:val="24"/>
          <w:szCs w:val="24"/>
        </w:rPr>
        <w:t xml:space="preserve">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rPr>
          <w:tblHeader/>
        </w:trPr>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Constraint</w:t>
            </w:r>
          </w:p>
        </w:tc>
        <w:tc>
          <w:tcPr>
            <w:tcW w:type="dxa" w:w="37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risk_id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PK, 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clause_id</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FK → Clause, 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Clause that generated this risk</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severity</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critical | high | medium | low | informational</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risk_category</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missing_clause | deviating_language | regulatory_breach | policy_violation | ambiguous_term</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policy_violated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TEXT</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Specific policy rule violated</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regulation_ref</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TEXT</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Regulatory reference (statute, article, or section)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suggested_remediation</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TEXT</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AI-generated remediation text</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status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open | acknowledged | resolved | escalated | accepted_risk</w:t>
            </w:r>
          </w:p>
        </w:tc>
      </w:tr>
    </w:tbl>
    <w:p>
      <w:pPr>
        <w:spacing w:after="160"/>
      </w:pPr>
      <w:r>
        <w:t xml:space="preserve"/>
      </w:r>
    </w:p>
    <w:p>
      <w:pPr>
        <w:pStyle w:val="Heading3"/>
        <w:spacing w:before="200" w:after="80"/>
      </w:pPr>
      <w:r>
        <w:rPr>
          <w:rFonts w:ascii="Calibri" w:cs="Calibri" w:eastAsia="Calibri" w:hAnsi="Calibri"/>
          <w:b/>
          <w:bCs/>
          <w:color w:val="2E3F55"/>
          <w:sz w:val="24"/>
          <w:szCs w:val="24"/>
        </w:rPr>
        <w:t xml:space="preserve">WorkflowRun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rPr>
          <w:tblHeader/>
        </w:trPr>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Constraint</w:t>
            </w:r>
          </w:p>
        </w:tc>
        <w:tc>
          <w:tcPr>
            <w:tcW w:type="dxa" w:w="35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run_id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PK, 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matter_id</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FK → Matter, NOT NULL</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org_id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FK → Organization, 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Tenant isolation</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workflow_type</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contract_intake_review | compliance_review | drafting | regulatory_triage | other</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workflow_version</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VARCHAR(20)</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Version of workflow template executed</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current_step</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VARCHAR(100)</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Human-readable step name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current_step_index</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INTEGER</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Numeric step index for progress calculation</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total_steps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INTEGER</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Total steps in workflow definition</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status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running | awaiting_review | awaiting_approval | stuck | failed | completed | terminated</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triggered_by</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FK → User, NOT NULL</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User who initiated the run</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started_at</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TIMESTAMPTZ</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completed_at</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TIMESTAMPTZ</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failure_reason</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TEXT</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Error message if status = failed</w:t>
            </w:r>
          </w:p>
        </w:tc>
      </w:tr>
    </w:tbl>
    <w:p>
      <w:pPr>
        <w:spacing w:after="160"/>
      </w:pPr>
      <w:r>
        <w:t xml:space="preserve"/>
      </w:r>
    </w:p>
    <w:p>
      <w:pPr>
        <w:pStyle w:val="Heading3"/>
        <w:spacing w:before="200" w:after="80"/>
      </w:pPr>
      <w:r>
        <w:rPr>
          <w:rFonts w:ascii="Calibri" w:cs="Calibri" w:eastAsia="Calibri" w:hAnsi="Calibri"/>
          <w:b/>
          <w:bCs/>
          <w:color w:val="2E3F55"/>
          <w:sz w:val="24"/>
          <w:szCs w:val="24"/>
        </w:rPr>
        <w:t xml:space="preserve">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rPr>
          <w:tblHeader/>
        </w:trPr>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Constraint</w:t>
            </w:r>
          </w:p>
        </w:tc>
        <w:tc>
          <w:tcPr>
            <w:tcW w:type="dxa" w:w="35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action_id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PK, 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run_id</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FK → WorkflowRun, NOT NULL</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actor_id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User ID or Operator type identifier</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actor_type</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ENUM</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human | ingestion_operator | extraction_operator | compliance_operator | research_operator | drafting_operator | review_operator | routing_operator | analytics_operator</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action_type</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VARCHAR(100)</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Descriptive action name (ocr.process, extract.clauses, etc.)</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input</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JSONB</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Operator input payload (sanitised — no PII in raw form)</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output</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JSONB</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Operator output payload</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evidence_ids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UUID[]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Linked Citation/Evidence IDs</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duration_ms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INTEGER</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NULLABLE</w:t>
            </w:r>
          </w:p>
        </w:tc>
        <w:tc>
          <w:tcPr>
            <w:tcW w:type="dxa" w:w="3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Execution duration in milliseconds</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created_at</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TIMESTAMPTZ</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NULL</w:t>
            </w:r>
          </w:p>
        </w:tc>
        <w:tc>
          <w:tcPr>
            <w:tcW w:type="dxa" w:w="3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
            </w:r>
          </w:p>
        </w:tc>
      </w:tr>
    </w:tbl>
    <w:p>
      <w:pPr>
        <w:spacing w:after="160"/>
      </w:pPr>
      <w:r>
        <w:t xml:space="preserve"/>
      </w:r>
    </w:p>
    <w:p>
      <w:pPr>
        <w:pBdr>
          <w:bottom w:val="single" w:color="CBD5E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60"/>
              <w:left w:type="dxa" w:w="120"/>
              <w:bottom w:type="dxa" w:w="160"/>
              <w:right w:type="dxa" w:w="80"/>
            </w:tcMar>
            <w:vAlign w:val="center"/>
          </w:tcPr>
          <w:p>
            <w:pPr>
              <w:jc w:val="center"/>
            </w:pPr>
            <w:r>
              <w:rPr>
                <w:rFonts w:ascii="Calibri" w:cs="Calibri" w:eastAsia="Calibri" w:hAnsi="Calibri"/>
                <w:b/>
                <w:bCs/>
                <w:color w:val="FFFFFF"/>
                <w:sz w:val="36"/>
                <w:szCs w:val="36"/>
              </w:rPr>
              <w:t xml:space="preserve">04</w:t>
            </w:r>
          </w:p>
        </w:tc>
        <w:tc>
          <w:tcPr>
            <w:tcW w:type="dxa" w:w="8760"/>
            <w:tcBorders>
              <w:top w:val="single" w:color="0A1628" w:sz="4"/>
              <w:left w:val="none" w:color="FFFFFF" w:sz="0"/>
              <w:bottom w:val="single" w:color="0A1628" w:sz="4"/>
              <w:right w:val="single" w:color="0A1628" w:sz="4"/>
            </w:tcBorders>
            <w:shd w:fill="0A1628" w:val="clear"/>
            <w:tcMar>
              <w:top w:type="dxa" w:w="80"/>
              <w:left w:type="dxa" w:w="180"/>
              <w:bottom w:type="dxa" w:w="80"/>
              <w:right w:type="dxa" w:w="120"/>
            </w:tcMar>
            <w:vAlign w:val="center"/>
          </w:tcPr>
          <w:p>
            <w:r>
              <w:rPr>
                <w:rFonts w:ascii="Calibri" w:cs="Calibri" w:eastAsia="Calibri" w:hAnsi="Calibri"/>
                <w:b/>
                <w:bCs/>
                <w:color w:val="FFFFFF"/>
                <w:sz w:val="28"/>
                <w:szCs w:val="28"/>
              </w:rPr>
              <w:t xml:space="preserve">Workflow Orchestration</w:t>
            </w:r>
          </w:p>
          <w:p>
            <w:r>
              <w:rPr>
                <w:rFonts w:ascii="Calibri" w:cs="Calibri" w:eastAsia="Calibri" w:hAnsi="Calibri"/>
                <w:color w:val="8A9BB0"/>
                <w:sz w:val="18"/>
                <w:szCs w:val="18"/>
              </w:rPr>
              <w:t xml:space="preserve">State machine design, execution model, and operator coordination</w:t>
            </w:r>
          </w:p>
        </w:tc>
      </w:tr>
    </w:tbl>
    <w:p>
      <w:pPr>
        <w:spacing w:after="0"/>
      </w:pPr>
      <w:r>
        <w:t xml:space="preserve"/>
      </w:r>
    </w:p>
    <w:p>
      <w:pPr>
        <w:spacing w:before="60" w:after="100"/>
      </w:pPr>
      <w:r>
        <w:rPr>
          <w:rFonts w:ascii="Calibri" w:cs="Calibri" w:eastAsia="Calibri" w:hAnsi="Calibri"/>
          <w:color w:val="1A1A2E"/>
          <w:sz w:val="22"/>
          <w:szCs w:val="22"/>
        </w:rPr>
        <w:t xml:space="preserve">The Workflow Engine is the core of the control plane. It manages the lifecycle of every WorkflowRun — from creation through each step transition to completion or failure. It coordinates operator execution, handles human-in-loop pauses, enforces SLA tracking, and routes approval and escalation requests.</w:t>
      </w:r>
    </w:p>
    <w:p>
      <w:pPr>
        <w:spacing w:after="160"/>
      </w:pPr>
      <w:r>
        <w:t xml:space="preserve"/>
      </w:r>
    </w:p>
    <w:p>
      <w:pPr>
        <w:pStyle w:val="Heading2"/>
        <w:spacing w:before="280" w:after="120"/>
      </w:pPr>
      <w:r>
        <w:rPr>
          <w:rFonts w:ascii="Calibri" w:cs="Calibri" w:eastAsia="Calibri" w:hAnsi="Calibri"/>
          <w:b/>
          <w:bCs/>
          <w:color w:val="1E3A5F"/>
          <w:sz w:val="28"/>
          <w:szCs w:val="28"/>
        </w:rPr>
        <w:t xml:space="preserve">4.1  Workflow Execution Model</w:t>
      </w:r>
    </w:p>
    <w:p>
      <w:pPr>
        <w:spacing w:before="60" w:after="100"/>
      </w:pPr>
      <w:r>
        <w:rPr>
          <w:rFonts w:ascii="Calibri" w:cs="Calibri" w:eastAsia="Calibri" w:hAnsi="Calibri"/>
          <w:color w:val="1A1A2E"/>
          <w:sz w:val="22"/>
          <w:szCs w:val="22"/>
        </w:rPr>
        <w:t xml:space="preserve">The recommended execution model for the MVP is an event-driven queue-plus-worker pattern, with step state persisted to the transactional database after each transition. This approach is simpler to debug than a full distributed workflow engine (like Temporal), more reliable than in-memory orchestration, and sufficient for the MVP scale.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3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Responsibility</w:t>
            </w:r>
          </w:p>
        </w:tc>
        <w:tc>
          <w:tcPr>
            <w:tcW w:type="dxa" w:w="37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Implementation Recommendation</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 Engine (API layer)</w:t>
            </w:r>
          </w:p>
        </w:tc>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Accepts workflow trigger requests; creates WorkflowRun record; publishes first step event to queue</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Platform backend service — synchronous API request</w:t>
            </w:r>
          </w:p>
        </w:tc>
      </w:tr>
      <w:tr>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Message Queue</w:t>
            </w:r>
          </w:p>
        </w:tc>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Receives step execution events; delivers to available workers; handles retry on failure</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Redis Streams (MVP) → Kafka (scale)</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Step Workers</w:t>
            </w:r>
          </w:p>
        </w:tc>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Poll queue; execute operator logic; persist Action record; publish next step event</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Node.js worker processes — one worker type per operator category</w:t>
            </w:r>
          </w:p>
        </w:tc>
      </w:tr>
      <w:tr>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State Machine Definition</w:t>
            </w:r>
          </w:p>
        </w:tc>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JSON/YAML definition of step sequence, transition conditions, and human-in-loop pause points</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Stored in DB as WorkflowTemplate records — versioned</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Human-in-Loop Pause</w:t>
            </w:r>
          </w:p>
        </w:tc>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WorkflowRun status → awaiting_review; no queue event published until reviewer submits decision</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Platform backend polls for human decisions; resumes on review submission</w:t>
            </w:r>
          </w:p>
        </w:tc>
      </w:tr>
      <w:tr>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SLA Monitor</w:t>
            </w:r>
          </w:p>
        </w:tc>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Background process checking WorkflowRun deadlines; fires escalation events when SLA approaches</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Cron job — runs every 5 minutes; updates SLA status field</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4.2  WorkflowRun State Machine</w:t>
      </w:r>
    </w:p>
    <w:p>
      <w:pPr>
        <w:spacing w:before="60" w:after="100"/>
      </w:pPr>
      <w:r>
        <w:rPr>
          <w:rFonts w:ascii="Calibri" w:cs="Calibri" w:eastAsia="Calibri" w:hAnsi="Calibri"/>
          <w:color w:val="1A1A2E"/>
          <w:sz w:val="22"/>
          <w:szCs w:val="22"/>
        </w:rPr>
        <w:t xml:space="preserve">A WorkflowRun transitions through the following states. All transitions are logged to the Audit Service.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From State</w:t>
            </w:r>
          </w:p>
        </w:tc>
        <w:tc>
          <w:tcPr>
            <w:tcW w:type="dxa" w:w="2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Event</w:t>
            </w:r>
          </w:p>
        </w:tc>
        <w:tc>
          <w:tcPr>
            <w:tcW w:type="dxa" w:w="1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To State</w:t>
            </w:r>
          </w:p>
        </w:tc>
        <w:tc>
          <w:tcPr>
            <w:tcW w:type="dxa" w:w="29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Side Effect</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User triggers workflow</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running</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WorkflowRun record created; first step event published</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running</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Operator step completes</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running</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Action record written; step index incremented; next event published</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running</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Human review step reached</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awaiting_review</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Queue publication paused; reviewer notified</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awaiting_review</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Reviewer submits decision</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running</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Decision recorded on Review object; workflow resumes</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awaiting_review</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Reviewer escalates</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awaiting_approval</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Escalation created; approver notified; SLA timer started</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awaiting_approval</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Approver approves</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running</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Approval recorded; workflow resumes</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awaiting_approval</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SLA breach</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stuck</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Breach event fired; Esheria operator notified; workflow paused</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running</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Operator step fails (3 retries)</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failed</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Failure recorded with error context; Esheria notified</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running</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All steps complete</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completed</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WorkflowRun closed; analytics event emitted; matter status updated</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any</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Esheria operator terminates</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terminated</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Termination recorded with justification; analytics updated</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4.3  The Eight Workflow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2960"/>
      </w:tblGrid>
      <w:tr>
        <w:trPr>
          <w:tblHeader/>
        </w:trPr>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Operator</w:t>
            </w:r>
          </w:p>
        </w:tc>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Trigger</w:t>
            </w:r>
          </w:p>
        </w:tc>
        <w:tc>
          <w:tcPr>
            <w:tcW w:type="dxa" w:w="3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Actions</w:t>
            </w:r>
          </w:p>
        </w:tc>
        <w:tc>
          <w:tcPr>
            <w:tcW w:type="dxa" w:w="29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Output Objects</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Ingestion Operator</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Document upload event</w:t>
            </w:r>
          </w:p>
        </w:tc>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Trigger /internal/ocr/process; validate parsed output; classify document type; create DocumentVersion</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DocumentVersion; updated Document.ocr_status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Extraction Operator</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OCR complete event</w:t>
            </w:r>
          </w:p>
        </w:tc>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 /internal/contracts/analyze-clauses; extract parties, dates, obligations; create Clause objects</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Clause[] attached to Document</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Compliance Operator</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Extraction complete event</w:t>
            </w:r>
          </w:p>
        </w:tc>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 /internal/contracts/check-compliance; apply policy rules; map to regulations; score severity</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Risk[] attached to Clauses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Research Operator</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 complete event</w:t>
            </w:r>
          </w:p>
        </w:tc>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 /internal/research/query; retrieve precedents; attach citations to risks and clauses</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Citation[] linked to Actions and Clauses</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Drafting Operator</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Research complete event</w:t>
            </w:r>
          </w:p>
        </w:tc>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 /internal/drafting/generate; generate fallback language per flagged clause; produce redlines</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Draft suggestions attached to Clauses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Review Operator</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Drafting complete event</w:t>
            </w:r>
          </w:p>
        </w:tc>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Compile Risk[], Citation[], Draft suggestions into structured Review briefing; score overall risk</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Review record prepared for human</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Routing Operator</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Review decision event</w:t>
            </w:r>
          </w:p>
        </w:tc>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Determine approval requirement; assign to approver; set SLA timer; escalate if criteria met</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Approval record; notifications dispatched</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Analytics Operator</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 terminal events</w:t>
            </w:r>
          </w:p>
        </w:tc>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 /internal/analytics/events; emit metrics; update institution dashboard data; log throughput</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Institution analytics updated</w:t>
            </w:r>
          </w:p>
        </w:tc>
      </w:tr>
    </w:tbl>
    <w:p>
      <w:pPr>
        <w:spacing w:after="160"/>
      </w:pPr>
      <w:r>
        <w:t xml:space="preserve"/>
      </w:r>
    </w:p>
    <w:p>
      <w:pPr>
        <w:pBdr>
          <w:bottom w:val="single" w:color="CBD5E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60"/>
              <w:left w:type="dxa" w:w="120"/>
              <w:bottom w:type="dxa" w:w="160"/>
              <w:right w:type="dxa" w:w="80"/>
            </w:tcMar>
            <w:vAlign w:val="center"/>
          </w:tcPr>
          <w:p>
            <w:pPr>
              <w:jc w:val="center"/>
            </w:pPr>
            <w:r>
              <w:rPr>
                <w:rFonts w:ascii="Calibri" w:cs="Calibri" w:eastAsia="Calibri" w:hAnsi="Calibri"/>
                <w:b/>
                <w:bCs/>
                <w:color w:val="FFFFFF"/>
                <w:sz w:val="36"/>
                <w:szCs w:val="36"/>
              </w:rPr>
              <w:t xml:space="preserve">05</w:t>
            </w:r>
          </w:p>
        </w:tc>
        <w:tc>
          <w:tcPr>
            <w:tcW w:type="dxa" w:w="8760"/>
            <w:tcBorders>
              <w:top w:val="single" w:color="0A1628" w:sz="4"/>
              <w:left w:val="none" w:color="FFFFFF" w:sz="0"/>
              <w:bottom w:val="single" w:color="0A1628" w:sz="4"/>
              <w:right w:val="single" w:color="0A1628" w:sz="4"/>
            </w:tcBorders>
            <w:shd w:fill="0A1628" w:val="clear"/>
            <w:tcMar>
              <w:top w:type="dxa" w:w="80"/>
              <w:left w:type="dxa" w:w="180"/>
              <w:bottom w:type="dxa" w:w="80"/>
              <w:right w:type="dxa" w:w="120"/>
            </w:tcMar>
            <w:vAlign w:val="center"/>
          </w:tcPr>
          <w:p>
            <w:r>
              <w:rPr>
                <w:rFonts w:ascii="Calibri" w:cs="Calibri" w:eastAsia="Calibri" w:hAnsi="Calibri"/>
                <w:b/>
                <w:bCs/>
                <w:color w:val="FFFFFF"/>
                <w:sz w:val="28"/>
                <w:szCs w:val="28"/>
              </w:rPr>
              <w:t xml:space="preserve">API Architecture</w:t>
            </w:r>
          </w:p>
          <w:p>
            <w:r>
              <w:rPr>
                <w:rFonts w:ascii="Calibri" w:cs="Calibri" w:eastAsia="Calibri" w:hAnsi="Calibri"/>
                <w:color w:val="8A9BB0"/>
                <w:sz w:val="18"/>
                <w:szCs w:val="18"/>
              </w:rPr>
              <w:t xml:space="preserve">External platform APIs and internal service endpoints</w:t>
            </w:r>
          </w:p>
        </w:tc>
      </w:tr>
    </w:tbl>
    <w:p>
      <w:pPr>
        <w:spacing w:after="0"/>
      </w:pPr>
      <w:r>
        <w:t xml:space="preserve"/>
      </w:r>
    </w:p>
    <w:p>
      <w:pPr>
        <w:spacing w:before="60" w:after="100"/>
      </w:pPr>
      <w:r>
        <w:rPr>
          <w:rFonts w:ascii="Calibri" w:cs="Calibri" w:eastAsia="Calibri" w:hAnsi="Calibri"/>
          <w:color w:val="1A1A2E"/>
          <w:sz w:val="22"/>
          <w:szCs w:val="22"/>
        </w:rPr>
        <w:t xml:space="preserve">The platform exposes two categories of API surface: the External Platform API (consumed by frontends and integration partners) and the Internal Service API (consumed only by the Connector Gateway when calling capability services). These two surfaces must remain strictly separated. Frontends must never call internal service APIs directly.</w:t>
      </w:r>
    </w:p>
    <w:p>
      <w:pPr>
        <w:spacing w:after="160"/>
      </w:pPr>
      <w:r>
        <w:t xml:space="preserve"/>
      </w:r>
    </w:p>
    <w:p>
      <w:pPr>
        <w:pStyle w:val="Heading2"/>
        <w:spacing w:before="280" w:after="120"/>
      </w:pPr>
      <w:r>
        <w:rPr>
          <w:rFonts w:ascii="Calibri" w:cs="Calibri" w:eastAsia="Calibri" w:hAnsi="Calibri"/>
          <w:b/>
          <w:bCs/>
          <w:color w:val="1E3A5F"/>
          <w:sz w:val="28"/>
          <w:szCs w:val="28"/>
        </w:rPr>
        <w:t xml:space="preserve">5.1  External Platform API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760"/>
        <w:gridCol w:w="2400"/>
      </w:tblGrid>
      <w:tr>
        <w:trPr>
          <w:tblHeader/>
        </w:trPr>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Domain</w:t>
            </w:r>
          </w:p>
        </w:tc>
        <w:tc>
          <w:tcPr>
            <w:tcW w:type="dxa" w:w="1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Base Path</w:t>
            </w:r>
          </w:p>
        </w:tc>
        <w:tc>
          <w:tcPr>
            <w:tcW w:type="dxa" w:w="37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Key Endpoints</w:t>
            </w:r>
          </w:p>
        </w:tc>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Auth Requirement</w:t>
            </w:r>
          </w:p>
        </w:tc>
      </w:tr>
      <w:tr>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Auth &amp; Identity</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/api/auth/*</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 /login, /logout, /invite, /refresh, /reset-password; GET /me</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Public for login; JWT required for all others</w:t>
            </w:r>
          </w:p>
        </w:tc>
      </w:tr>
      <w:tr>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Organisations</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/api/orgs/*</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 /orgs; GET /orgs/:id; PATCH /orgs/:id; POST /orgs/:id/users; GET /orgs/:id/users; PATCH /users/:id/roles</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JWT + org:admin role</w:t>
            </w:r>
          </w:p>
        </w:tc>
      </w:tr>
      <w:tr>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Matters</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/api/matters/*</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 GET /, GET /:id, PATCH /:id, DELETE /:id; GET /:id/documents; GET /:id/workflow-runs</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JWT + matter read/write permission</w:t>
            </w:r>
          </w:p>
        </w:tc>
      </w:tr>
      <w:tr>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Documents</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/api/documents/*</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 /upload; GET /:id; POST /:id/ocr; POST /:id/extract; GET /:id/clauses; GET /:id/risks; GET /:id/citations; GET /:id/versions</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JWT + document permission</w:t>
            </w:r>
          </w:p>
        </w:tc>
      </w:tr>
      <w:tr>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 Runs</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/api/workflow-runs/*</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GET /templates; POST / (create run); GET /:id; POST /:id/actions; POST /:id/approve; POST /:id/escalate; POST /:id/terminate</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JWT + workflow execute permission</w:t>
            </w:r>
          </w:p>
        </w:tc>
      </w:tr>
      <w:tr>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Reviews</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/api/reviews/*</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GET / (queue); GET /:id; POST /:id/decision; POST /:id/comment; GET /:id/findings</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JWT + reviewer role</w:t>
            </w:r>
          </w:p>
        </w:tc>
      </w:tr>
      <w:tr>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Tasks</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/api/tasks/*</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GET /; GET /:id; PATCH /:id (update); POST /:id/assign; POST /:id/complete</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JWT + task permission</w:t>
            </w:r>
          </w:p>
        </w:tc>
      </w:tr>
      <w:tr>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Analytics</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/api/analytics/*</w:t>
            </w:r>
          </w:p>
        </w:tc>
        <w:tc>
          <w:tcPr>
            <w:tcW w:type="dxa" w:w="3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GET /overview; GET /throughput; GET /risks; GET /sla; GET /trends; GET /export</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JWT + analytics read permission</w:t>
            </w:r>
          </w:p>
        </w:tc>
      </w:tr>
      <w:tr>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Integrations</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/api/integrations/*</w:t>
            </w:r>
          </w:p>
        </w:tc>
        <w:tc>
          <w:tcPr>
            <w:tcW w:type="dxa" w:w="3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GET /; POST /:type/connect; DELETE /:id; GET /:id/status; POST /:id/sync</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JWT + org:admin role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0A884" w:sz="8"/>
              <w:left w:val="single" w:color="00A884" w:sz="8"/>
              <w:bottom w:val="single" w:color="00A884" w:sz="8"/>
              <w:right w:val="none" w:color="FFFFFF" w:sz="0"/>
            </w:tcBorders>
            <w:shd w:fill="00A884" w:val="clear"/>
            <w:tcMar>
              <w:top w:type="dxa" w:w="120"/>
              <w:left w:type="dxa" w:w="140"/>
              <w:bottom w:type="dxa" w:w="120"/>
              <w:right w:type="dxa" w:w="0"/>
            </w:tcMar>
            <w:vAlign w:val="center"/>
          </w:tcPr>
          <w:p>
            <w:r>
              <w:rPr>
                <w:sz w:val="1"/>
                <w:szCs w:val="1"/>
              </w:rPr>
              <w:t xml:space="preserve"/>
            </w:r>
          </w:p>
        </w:tc>
        <w:tc>
          <w:tcPr>
            <w:tcW w:type="dxa" w:w="9160"/>
            <w:tcBorders>
              <w:top w:val="single" w:color="00A884" w:sz="4"/>
              <w:left w:val="none" w:color="FFFFFF" w:sz="0"/>
              <w:bottom w:val="single" w:color="00A884" w:sz="4"/>
              <w:right w:val="single" w:color="00A884" w:sz="4"/>
            </w:tcBorders>
            <w:shd w:fill="E6F7F4" w:val="clear"/>
            <w:tcMar>
              <w:top w:type="dxa" w:w="120"/>
              <w:left w:type="dxa" w:w="200"/>
              <w:bottom w:type="dxa" w:w="120"/>
              <w:right w:type="dxa" w:w="160"/>
            </w:tcMar>
          </w:tcPr>
          <w:p>
            <w:pPr>
              <w:spacing w:before="0" w:after="60"/>
            </w:pPr>
            <w:r>
              <w:rPr>
                <w:rFonts w:ascii="Calibri" w:cs="Calibri" w:eastAsia="Calibri" w:hAnsi="Calibri"/>
                <w:b/>
                <w:bCs/>
                <w:color w:val="00A884"/>
                <w:spacing w:val="40"/>
                <w:sz w:val="18"/>
                <w:szCs w:val="18"/>
              </w:rPr>
              <w:t xml:space="preserve">API VERSIONING PRINCIPLE</w:t>
            </w:r>
          </w:p>
          <w:p>
            <w:pPr>
              <w:spacing w:before="0" w:after="0"/>
            </w:pPr>
            <w:r>
              <w:rPr>
                <w:rFonts w:ascii="Calibri" w:cs="Calibri" w:eastAsia="Calibri" w:hAnsi="Calibri"/>
                <w:color w:val="1A1A2E"/>
                <w:sz w:val="22"/>
                <w:szCs w:val="22"/>
              </w:rPr>
              <w:t xml:space="preserve">Design principle: the external API must be stable and versioned. Breaking changes require a version bump (/api/v2/*). Internal service APIs are not versioned in the same way — they are managed as internal implementation details by the Connector Gateway.</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5.2  Internal Service API — /internal/*</w:t>
      </w:r>
    </w:p>
    <w:p>
      <w:pPr>
        <w:spacing w:before="60" w:after="100"/>
      </w:pPr>
      <w:r>
        <w:rPr>
          <w:rFonts w:ascii="Calibri" w:cs="Calibri" w:eastAsia="Calibri" w:hAnsi="Calibri"/>
          <w:color w:val="1A1A2E"/>
          <w:sz w:val="22"/>
          <w:szCs w:val="22"/>
        </w:rPr>
        <w:t xml:space="preserve">Internal APIs are called only by the Connector Gateway. They are not exposed externally. Each existing repo must expose these endpoints for the MVP connector to function.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800"/>
        <w:gridCol w:w="2800"/>
        <w:gridCol w:w="1760"/>
      </w:tblGrid>
      <w:tr>
        <w:trPr>
          <w:tblHeader/>
        </w:trPr>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Service</w:t>
            </w:r>
          </w:p>
        </w:tc>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Endpoint</w:t>
            </w:r>
          </w:p>
        </w:tc>
        <w:tc>
          <w:tcPr>
            <w:tcW w:type="dxa" w:w="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Method</w:t>
            </w:r>
          </w:p>
        </w:tc>
        <w:tc>
          <w:tcPr>
            <w:tcW w:type="dxa" w:w="2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17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Required for MVP</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esheria-ocr</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 /internal/ocr/process</w:t>
            </w:r>
          </w:p>
        </w:tc>
        <w:tc>
          <w:tcPr>
            <w:tcW w:type="dxa" w:w="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Submit document for OCR processing; returns job ID</w:t>
            </w:r>
          </w:p>
        </w:tc>
        <w:tc>
          <w:tcPr>
            <w:tcW w:type="dxa" w:w="1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YES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esheria-ocr</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GET /internal/ocr/jobs/:id</w:t>
            </w:r>
          </w:p>
        </w:tc>
        <w:tc>
          <w:tcPr>
            <w:tcW w:type="dxa" w:w="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GET</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Poll OCR job status and retrieve parsed text</w:t>
            </w:r>
          </w:p>
        </w:tc>
        <w:tc>
          <w:tcPr>
            <w:tcW w:type="dxa" w:w="1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YES</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esheria-contract-engine</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 /internal/contracts/analyze-clauses</w:t>
            </w:r>
          </w:p>
        </w:tc>
        <w:tc>
          <w:tcPr>
            <w:tcW w:type="dxa" w:w="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Extract and classify clauses from parsed document text</w:t>
            </w:r>
          </w:p>
        </w:tc>
        <w:tc>
          <w:tcPr>
            <w:tcW w:type="dxa" w:w="1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YES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esheria-contract-engine</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 /internal/contracts/check-compliance</w:t>
            </w:r>
          </w:p>
        </w:tc>
        <w:tc>
          <w:tcPr>
            <w:tcW w:type="dxa" w:w="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Check extracted clauses against policy rules and regulation set</w:t>
            </w:r>
          </w:p>
        </w:tc>
        <w:tc>
          <w:tcPr>
            <w:tcW w:type="dxa" w:w="1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YES</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esheria-ai</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 /internal/research/query</w:t>
            </w:r>
          </w:p>
        </w:tc>
        <w:tc>
          <w:tcPr>
            <w:tcW w:type="dxa" w:w="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Query for relevant legal research, precedents, and citations</w:t>
            </w:r>
          </w:p>
        </w:tc>
        <w:tc>
          <w:tcPr>
            <w:tcW w:type="dxa" w:w="1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YES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esheria-ai</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 /internal/research/citations</w:t>
            </w:r>
          </w:p>
        </w:tc>
        <w:tc>
          <w:tcPr>
            <w:tcW w:type="dxa" w:w="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Generate structured citations linked to specific risk findings</w:t>
            </w:r>
          </w:p>
        </w:tc>
        <w:tc>
          <w:tcPr>
            <w:tcW w:type="dxa" w:w="1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YES</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lexdraft</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 /internal/drafting/generate</w:t>
            </w:r>
          </w:p>
        </w:tc>
        <w:tc>
          <w:tcPr>
            <w:tcW w:type="dxa" w:w="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Generate replacement language for flagged clauses</w:t>
            </w:r>
          </w:p>
        </w:tc>
        <w:tc>
          <w:tcPr>
            <w:tcW w:type="dxa" w:w="1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YES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lexdraft</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 /internal/drafting/redline</w:t>
            </w:r>
          </w:p>
        </w:tc>
        <w:tc>
          <w:tcPr>
            <w:tcW w:type="dxa" w:w="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Produce redline comparison between original and suggested text</w:t>
            </w:r>
          </w:p>
        </w:tc>
        <w:tc>
          <w:tcPr>
            <w:tcW w:type="dxa" w:w="1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MVP+</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esheria-analytics</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 /internal/analytics/events</w:t>
            </w:r>
          </w:p>
        </w:tc>
        <w:tc>
          <w:tcPr>
            <w:tcW w:type="dxa" w:w="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POST</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Ingest workflow events for institution analytics pipeline</w:t>
            </w:r>
          </w:p>
        </w:tc>
        <w:tc>
          <w:tcPr>
            <w:tcW w:type="dxa" w:w="1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YES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esheria-analytics</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GET /internal/analytics/metrics</w:t>
            </w:r>
          </w:p>
        </w:tc>
        <w:tc>
          <w:tcPr>
            <w:tcW w:type="dxa" w:w="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GET</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Retrieve aggregated metrics for institution dashboard</w:t>
            </w:r>
          </w:p>
        </w:tc>
        <w:tc>
          <w:tcPr>
            <w:tcW w:type="dxa" w:w="1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YES</w:t>
            </w:r>
          </w:p>
        </w:tc>
      </w:tr>
    </w:tbl>
    <w:p>
      <w:pPr>
        <w:spacing w:after="160"/>
      </w:pPr>
      <w:r>
        <w:t xml:space="preserve"/>
      </w:r>
    </w:p>
    <w:p>
      <w:pPr>
        <w:pBdr>
          <w:bottom w:val="single" w:color="CBD5E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60"/>
              <w:left w:type="dxa" w:w="120"/>
              <w:bottom w:type="dxa" w:w="160"/>
              <w:right w:type="dxa" w:w="80"/>
            </w:tcMar>
            <w:vAlign w:val="center"/>
          </w:tcPr>
          <w:p>
            <w:pPr>
              <w:jc w:val="center"/>
            </w:pPr>
            <w:r>
              <w:rPr>
                <w:rFonts w:ascii="Calibri" w:cs="Calibri" w:eastAsia="Calibri" w:hAnsi="Calibri"/>
                <w:b/>
                <w:bCs/>
                <w:color w:val="FFFFFF"/>
                <w:sz w:val="36"/>
                <w:szCs w:val="36"/>
              </w:rPr>
              <w:t xml:space="preserve">06</w:t>
            </w:r>
          </w:p>
        </w:tc>
        <w:tc>
          <w:tcPr>
            <w:tcW w:type="dxa" w:w="8760"/>
            <w:tcBorders>
              <w:top w:val="single" w:color="0A1628" w:sz="4"/>
              <w:left w:val="none" w:color="FFFFFF" w:sz="0"/>
              <w:bottom w:val="single" w:color="0A1628" w:sz="4"/>
              <w:right w:val="single" w:color="0A1628" w:sz="4"/>
            </w:tcBorders>
            <w:shd w:fill="0A1628" w:val="clear"/>
            <w:tcMar>
              <w:top w:type="dxa" w:w="80"/>
              <w:left w:type="dxa" w:w="180"/>
              <w:bottom w:type="dxa" w:w="80"/>
              <w:right w:type="dxa" w:w="120"/>
            </w:tcMar>
            <w:vAlign w:val="center"/>
          </w:tcPr>
          <w:p>
            <w:r>
              <w:rPr>
                <w:rFonts w:ascii="Calibri" w:cs="Calibri" w:eastAsia="Calibri" w:hAnsi="Calibri"/>
                <w:b/>
                <w:bCs/>
                <w:color w:val="FFFFFF"/>
                <w:sz w:val="28"/>
                <w:szCs w:val="28"/>
              </w:rPr>
              <w:t xml:space="preserve">Tenancy &amp; Auth Model</w:t>
            </w:r>
          </w:p>
          <w:p>
            <w:r>
              <w:rPr>
                <w:rFonts w:ascii="Calibri" w:cs="Calibri" w:eastAsia="Calibri" w:hAnsi="Calibri"/>
                <w:color w:val="8A9BB0"/>
                <w:sz w:val="18"/>
                <w:szCs w:val="18"/>
              </w:rPr>
              <w:t xml:space="preserve">Multi-tenant isolation, JWT design, and role model</w:t>
            </w:r>
          </w:p>
        </w:tc>
      </w:tr>
    </w:tbl>
    <w:p>
      <w:pPr>
        <w:spacing w:after="0"/>
      </w:pPr>
      <w:r>
        <w:t xml:space="preserve"/>
      </w:r>
    </w:p>
    <w:p>
      <w:pPr>
        <w:spacing w:before="60" w:after="100"/>
      </w:pPr>
      <w:r>
        <w:rPr>
          <w:rFonts w:ascii="Calibri" w:cs="Calibri" w:eastAsia="Calibri" w:hAnsi="Calibri"/>
          <w:color w:val="1A1A2E"/>
          <w:sz w:val="22"/>
          <w:szCs w:val="22"/>
        </w:rPr>
        <w:t xml:space="preserve">The platform is multi-tenant from the ground up. Every data record is scoped to an organisation. Tenant isolation is enforced at three layers: the API gateway (JWT claims), the application layer (middleware validation), and the database layer (row-level scoping). All three must be implemented — a single layer is not sufficient.</w:t>
      </w:r>
    </w:p>
    <w:p>
      <w:pPr>
        <w:spacing w:after="160"/>
      </w:pPr>
      <w:r>
        <w:t xml:space="preserve"/>
      </w:r>
    </w:p>
    <w:p>
      <w:pPr>
        <w:pStyle w:val="Heading2"/>
        <w:spacing w:before="280" w:after="120"/>
      </w:pPr>
      <w:r>
        <w:rPr>
          <w:rFonts w:ascii="Calibri" w:cs="Calibri" w:eastAsia="Calibri" w:hAnsi="Calibri"/>
          <w:b/>
          <w:bCs/>
          <w:color w:val="1E3A5F"/>
          <w:sz w:val="28"/>
          <w:szCs w:val="28"/>
        </w:rPr>
        <w:t xml:space="preserve">6.1  JWT Token Structure</w:t>
      </w:r>
    </w:p>
    <w:p>
      <w:pPr>
        <w:spacing w:before="60" w:after="100"/>
      </w:pPr>
      <w:r>
        <w:rPr>
          <w:rFonts w:ascii="Calibri" w:cs="Calibri" w:eastAsia="Calibri" w:hAnsi="Calibri"/>
          <w:color w:val="1A1A2E"/>
          <w:sz w:val="22"/>
          <w:szCs w:val="22"/>
        </w:rPr>
        <w:t xml:space="preserve">Every authenticated request carries a JWT with the following claims. The platform validates all claims at the Auth Boundary before routing to any service.</w:t>
      </w:r>
    </w:p>
    <w:p>
      <w:pPr>
        <w:spacing w:after="0"/>
      </w:pPr>
      <w:r>
        <w:t xml:space="preserve"/>
      </w:r>
    </w:p>
    <w:p>
      <w:pPr>
        <w:shd w:fill="F0F4F8" w:val="clear"/>
        <w:spacing w:before="40" w:after="40"/>
        <w:ind w:left="360"/>
      </w:pPr>
      <w:r>
        <w:rPr>
          <w:rFonts w:ascii="Courier New" w:cs="Courier New" w:eastAsia="Courier New" w:hAnsi="Courier New"/>
          <w:color w:val="1A3A5C"/>
          <w:sz w:val="18"/>
          <w:szCs w:val="18"/>
        </w:rPr>
        <w:t xml:space="preserve">{ "sub": "&lt;user_id&gt;",</w:t>
      </w:r>
    </w:p>
    <w:p>
      <w:pPr>
        <w:shd w:fill="F0F4F8" w:val="clear"/>
        <w:spacing w:before="40" w:after="40"/>
        <w:ind w:left="360"/>
      </w:pPr>
      <w:r>
        <w:rPr>
          <w:rFonts w:ascii="Courier New" w:cs="Courier New" w:eastAsia="Courier New" w:hAnsi="Courier New"/>
          <w:color w:val="1A3A5C"/>
          <w:sz w:val="18"/>
          <w:szCs w:val="18"/>
        </w:rPr>
        <w:t xml:space="preserve">  "org_id": "&lt;organisation_id&gt;",</w:t>
      </w:r>
    </w:p>
    <w:p>
      <w:pPr>
        <w:shd w:fill="F0F4F8" w:val="clear"/>
        <w:spacing w:before="40" w:after="40"/>
        <w:ind w:left="360"/>
      </w:pPr>
      <w:r>
        <w:rPr>
          <w:rFonts w:ascii="Courier New" w:cs="Courier New" w:eastAsia="Courier New" w:hAnsi="Courier New"/>
          <w:color w:val="1A3A5C"/>
          <w:sz w:val="18"/>
          <w:szCs w:val="18"/>
        </w:rPr>
        <w:t xml:space="preserve">  "role": "legal:reviewer",</w:t>
      </w:r>
    </w:p>
    <w:p>
      <w:pPr>
        <w:shd w:fill="F0F4F8" w:val="clear"/>
        <w:spacing w:before="40" w:after="40"/>
        <w:ind w:left="360"/>
      </w:pPr>
      <w:r>
        <w:rPr>
          <w:rFonts w:ascii="Courier New" w:cs="Courier New" w:eastAsia="Courier New" w:hAnsi="Courier New"/>
          <w:color w:val="1A3A5C"/>
          <w:sz w:val="18"/>
          <w:szCs w:val="18"/>
        </w:rPr>
        <w:t xml:space="preserve">  "permissions": ["matter:read", "document:read", "review:write"],</w:t>
      </w:r>
    </w:p>
    <w:p>
      <w:pPr>
        <w:shd w:fill="F0F4F8" w:val="clear"/>
        <w:spacing w:before="40" w:after="40"/>
        <w:ind w:left="360"/>
      </w:pPr>
      <w:r>
        <w:rPr>
          <w:rFonts w:ascii="Courier New" w:cs="Courier New" w:eastAsia="Courier New" w:hAnsi="Courier New"/>
          <w:color w:val="1A3A5C"/>
          <w:sz w:val="18"/>
          <w:szCs w:val="18"/>
        </w:rPr>
        <w:t xml:space="preserve">  "org_plan": "enterprise",</w:t>
      </w:r>
    </w:p>
    <w:p>
      <w:pPr>
        <w:shd w:fill="F0F4F8" w:val="clear"/>
        <w:spacing w:before="40" w:after="40"/>
        <w:ind w:left="360"/>
      </w:pPr>
      <w:r>
        <w:rPr>
          <w:rFonts w:ascii="Courier New" w:cs="Courier New" w:eastAsia="Courier New" w:hAnsi="Courier New"/>
          <w:color w:val="1A3A5C"/>
          <w:sz w:val="18"/>
          <w:szCs w:val="18"/>
        </w:rPr>
        <w:t xml:space="preserve">  "iat": 1700000000,</w:t>
      </w:r>
    </w:p>
    <w:p>
      <w:pPr>
        <w:shd w:fill="F0F4F8" w:val="clear"/>
        <w:spacing w:before="40" w:after="40"/>
        <w:ind w:left="360"/>
      </w:pPr>
      <w:r>
        <w:rPr>
          <w:rFonts w:ascii="Courier New" w:cs="Courier New" w:eastAsia="Courier New" w:hAnsi="Courier New"/>
          <w:color w:val="1A3A5C"/>
          <w:sz w:val="18"/>
          <w:szCs w:val="18"/>
        </w:rPr>
        <w:t xml:space="preserve">  "exp": 1700003600,</w:t>
      </w:r>
    </w:p>
    <w:p>
      <w:pPr>
        <w:shd w:fill="F0F4F8" w:val="clear"/>
        <w:spacing w:before="40" w:after="40"/>
        <w:ind w:left="360"/>
      </w:pPr>
      <w:r>
        <w:rPr>
          <w:rFonts w:ascii="Courier New" w:cs="Courier New" w:eastAsia="Courier New" w:hAnsi="Courier New"/>
          <w:color w:val="1A3A5C"/>
          <w:sz w:val="18"/>
          <w:szCs w:val="18"/>
        </w:rPr>
        <w:t xml:space="preserve">  "jti": "&lt;unique token ID for revocation&gt;" }</w:t>
      </w:r>
    </w:p>
    <w:p>
      <w:pPr>
        <w:spacing w:after="160"/>
      </w:pPr>
      <w:r>
        <w:t xml:space="preserve"/>
      </w:r>
    </w:p>
    <w:p>
      <w:pPr>
        <w:pStyle w:val="Heading2"/>
        <w:spacing w:before="280" w:after="120"/>
      </w:pPr>
      <w:r>
        <w:rPr>
          <w:rFonts w:ascii="Calibri" w:cs="Calibri" w:eastAsia="Calibri" w:hAnsi="Calibri"/>
          <w:b/>
          <w:bCs/>
          <w:color w:val="1E3A5F"/>
          <w:sz w:val="28"/>
          <w:szCs w:val="28"/>
        </w:rPr>
        <w:t xml:space="preserve">6.2  Role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Role ID</w:t>
            </w:r>
          </w:p>
        </w:tc>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Display Name</w:t>
            </w:r>
          </w:p>
        </w:tc>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Scope</w:t>
            </w:r>
          </w:p>
        </w:tc>
        <w:tc>
          <w:tcPr>
            <w:tcW w:type="dxa" w:w="41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Key Permissions</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org:admin</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Organisation Administrator</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Own org</w:t>
            </w:r>
          </w:p>
        </w:tc>
        <w:tc>
          <w:tcPr>
            <w:tcW w:type="dxa" w:w="4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Full org management; user invite/remove; plan; integrations; settings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legal:reviewer</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Legal Reviewer</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Own org</w:t>
            </w:r>
          </w:p>
        </w:tc>
        <w:tc>
          <w:tcPr>
            <w:tcW w:type="dxa" w:w="4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Matter read/write; document read; review write; clause annotate; decision record</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legal:reader</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Legal Reader</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Own org</w:t>
            </w:r>
          </w:p>
        </w:tc>
        <w:tc>
          <w:tcPr>
            <w:tcW w:type="dxa" w:w="4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Matter read; document read; review read; no write operations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compliance:officer</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 Officer</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Own org</w:t>
            </w:r>
          </w:p>
        </w:tc>
        <w:tc>
          <w:tcPr>
            <w:tcW w:type="dxa" w:w="4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 module full access; analytics; risk management; policy view</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esheria:operator</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Platform Operator (Esheria)</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Cross-tenant (audited)</w:t>
            </w:r>
          </w:p>
        </w:tc>
        <w:tc>
          <w:tcPr>
            <w:tcW w:type="dxa" w:w="4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Tenant provisioning; workflow ops; service management; billing; global analytics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esheria:support</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Support Agent (Esheria)</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Cross-tenant, targeted (audited)</w:t>
            </w:r>
          </w:p>
        </w:tc>
        <w:tc>
          <w:tcPr>
            <w:tcW w:type="dxa" w:w="4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Read access to any org; impersonation with justification; log access; retry/override with justification</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6.3  Data Isolation</w:t>
      </w:r>
    </w:p>
    <w:p>
      <w:pPr>
        <w:pStyle w:val="ListParagraph"/>
        <w:numPr>
          <w:ilvl w:val="0"/>
          <w:numId w:val="2"/>
        </w:numPr>
        <w:spacing w:before="40" w:after="60"/>
      </w:pPr>
      <w:r>
        <w:rPr>
          <w:rFonts w:ascii="Calibri" w:cs="Calibri" w:eastAsia="Calibri" w:hAnsi="Calibri"/>
          <w:color w:val="1A1A2E"/>
          <w:sz w:val="22"/>
          <w:szCs w:val="22"/>
        </w:rPr>
        <w:t xml:space="preserve">Every database table that stores organisation-owned data carries an org_id column</w:t>
      </w:r>
    </w:p>
    <w:p>
      <w:pPr>
        <w:pStyle w:val="ListParagraph"/>
        <w:numPr>
          <w:ilvl w:val="0"/>
          <w:numId w:val="2"/>
        </w:numPr>
        <w:spacing w:before="40" w:after="60"/>
      </w:pPr>
      <w:r>
        <w:rPr>
          <w:rFonts w:ascii="Calibri" w:cs="Calibri" w:eastAsia="Calibri" w:hAnsi="Calibri"/>
          <w:color w:val="1A1A2E"/>
          <w:sz w:val="22"/>
          <w:szCs w:val="22"/>
        </w:rPr>
        <w:t xml:space="preserve">Application middleware validates that the JWT org_id matches the org_id of every requested resource — rejecting mismatches before they reach the data layer</w:t>
      </w:r>
    </w:p>
    <w:p>
      <w:pPr>
        <w:pStyle w:val="ListParagraph"/>
        <w:numPr>
          <w:ilvl w:val="0"/>
          <w:numId w:val="2"/>
        </w:numPr>
        <w:spacing w:before="40" w:after="60"/>
      </w:pPr>
      <w:r>
        <w:rPr>
          <w:rFonts w:ascii="Calibri" w:cs="Calibri" w:eastAsia="Calibri" w:hAnsi="Calibri"/>
          <w:color w:val="1A1A2E"/>
          <w:sz w:val="22"/>
          <w:szCs w:val="22"/>
        </w:rPr>
        <w:t xml:space="preserve">PostgreSQL row-level security policies enforce org_id scoping as a database-layer backstop</w:t>
      </w:r>
    </w:p>
    <w:p>
      <w:pPr>
        <w:pStyle w:val="ListParagraph"/>
        <w:numPr>
          <w:ilvl w:val="0"/>
          <w:numId w:val="2"/>
        </w:numPr>
        <w:spacing w:before="40" w:after="60"/>
      </w:pPr>
      <w:r>
        <w:rPr>
          <w:rFonts w:ascii="Calibri" w:cs="Calibri" w:eastAsia="Calibri" w:hAnsi="Calibri"/>
          <w:color w:val="1A1A2E"/>
          <w:sz w:val="22"/>
          <w:szCs w:val="22"/>
        </w:rPr>
        <w:t xml:space="preserve">Esheria Operator queries bypass org_id scoping but are logged to the immutable audit table with the operator's user_id, target org_id, query context, and timestamp</w:t>
      </w:r>
    </w:p>
    <w:p>
      <w:pPr>
        <w:pStyle w:val="ListParagraph"/>
        <w:numPr>
          <w:ilvl w:val="0"/>
          <w:numId w:val="2"/>
        </w:numPr>
        <w:spacing w:before="40" w:after="60"/>
      </w:pPr>
      <w:r>
        <w:rPr>
          <w:rFonts w:ascii="Calibri" w:cs="Calibri" w:eastAsia="Calibri" w:hAnsi="Calibri"/>
          <w:color w:val="1A1A2E"/>
          <w:sz w:val="22"/>
          <w:szCs w:val="22"/>
        </w:rPr>
        <w:t xml:space="preserve">No service shares a database schema with another service — each service has its own schema boundary</w:t>
      </w:r>
    </w:p>
    <w:p>
      <w:pPr>
        <w:spacing w:after="160"/>
      </w:pPr>
      <w:r>
        <w:t xml:space="preserve"/>
      </w:r>
    </w:p>
    <w:p>
      <w:pPr>
        <w:pBdr>
          <w:bottom w:val="single" w:color="CBD5E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60"/>
              <w:left w:type="dxa" w:w="120"/>
              <w:bottom w:type="dxa" w:w="160"/>
              <w:right w:type="dxa" w:w="80"/>
            </w:tcMar>
            <w:vAlign w:val="center"/>
          </w:tcPr>
          <w:p>
            <w:pPr>
              <w:jc w:val="center"/>
            </w:pPr>
            <w:r>
              <w:rPr>
                <w:rFonts w:ascii="Calibri" w:cs="Calibri" w:eastAsia="Calibri" w:hAnsi="Calibri"/>
                <w:b/>
                <w:bCs/>
                <w:color w:val="FFFFFF"/>
                <w:sz w:val="36"/>
                <w:szCs w:val="36"/>
              </w:rPr>
              <w:t xml:space="preserve">07</w:t>
            </w:r>
          </w:p>
        </w:tc>
        <w:tc>
          <w:tcPr>
            <w:tcW w:type="dxa" w:w="8760"/>
            <w:tcBorders>
              <w:top w:val="single" w:color="0A1628" w:sz="4"/>
              <w:left w:val="none" w:color="FFFFFF" w:sz="0"/>
              <w:bottom w:val="single" w:color="0A1628" w:sz="4"/>
              <w:right w:val="single" w:color="0A1628" w:sz="4"/>
            </w:tcBorders>
            <w:shd w:fill="0A1628" w:val="clear"/>
            <w:tcMar>
              <w:top w:type="dxa" w:w="80"/>
              <w:left w:type="dxa" w:w="180"/>
              <w:bottom w:type="dxa" w:w="80"/>
              <w:right w:type="dxa" w:w="120"/>
            </w:tcMar>
            <w:vAlign w:val="center"/>
          </w:tcPr>
          <w:p>
            <w:r>
              <w:rPr>
                <w:rFonts w:ascii="Calibri" w:cs="Calibri" w:eastAsia="Calibri" w:hAnsi="Calibri"/>
                <w:b/>
                <w:bCs/>
                <w:color w:val="FFFFFF"/>
                <w:sz w:val="28"/>
                <w:szCs w:val="28"/>
              </w:rPr>
              <w:t xml:space="preserve">Deployment Topology</w:t>
            </w:r>
          </w:p>
          <w:p>
            <w:r>
              <w:rPr>
                <w:rFonts w:ascii="Calibri" w:cs="Calibri" w:eastAsia="Calibri" w:hAnsi="Calibri"/>
                <w:color w:val="8A9BB0"/>
                <w:sz w:val="18"/>
                <w:szCs w:val="18"/>
              </w:rPr>
              <w:t xml:space="preserve">Infrastructure stack, service boundaries, and data stores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2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Recommended Implementation</w:t>
            </w:r>
          </w:p>
        </w:tc>
        <w:tc>
          <w:tcPr>
            <w:tcW w:type="dxa" w:w="25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Scaling Model</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API Gateway / Ingress</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TLS termination; routing; rate limiting; request logging</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NGINX or cloud provider ALB; reverse proxy to platform backend</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Horizontal — scale gateway instances</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Auth Boundary</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JWT validation; tenant resolution; role claim extraction</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Middleware in platform backend — runs before every route handler</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Stateless — scales with backend</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Platform Backend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Core platform logic: workflow orchestration, object CRUD, review service, audit service, connector gateway</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Node.js/TypeScript monolith at MVP, decomposable later; deployed as container</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Horizontal — stateless instances behind load balancer</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Message Queue</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Async step execution events; retry handling; dead-letter queue</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Redis Streams (MVP); Kafka (production scale)</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Scale consumers horizontally per queue</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Step Workers</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Operator execution; service calls; Action record persistence</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Worker containers per operator type — pulled from queue</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Scale worker count per queue depth</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Transactional DB</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All canonical object data; workflow state; audit records</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PostgreSQL 15+ with row-level security; primary + read replica</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Read replica for analytics queries; vertical scaling at MVP</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Object Storage</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Document files; generated outputs; export files</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S3-compatible (AWS S3, Google GCS, or self-hosted MinIO)</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Managed service — no scaling concern at MVP</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Search / Retrieval</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Clause and citation search; document content indexing</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Elasticsearch or PostgreSQL full-text search (MVP)</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Scale separately from transactional DB</w:t>
            </w:r>
          </w:p>
        </w:tc>
      </w:tr>
      <w:tr>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Analytics / Events Store</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 event aggregation; institution analytics data</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ClickHouse (recommended) or BigQuery; separate from transactional DB</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Append-only write model — scale reads with replicas</w:t>
            </w:r>
          </w:p>
        </w:tc>
      </w:tr>
      <w:tr>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Observability Stack</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Logs, metrics, traces</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Structured JSON logs → aggregator (Datadog, Grafana, CloudWatch)</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Managed service preferred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E3A5F" w:sz="8"/>
              <w:left w:val="single" w:color="1E3A5F" w:sz="8"/>
              <w:bottom w:val="single" w:color="1E3A5F" w:sz="8"/>
              <w:right w:val="none" w:color="FFFFFF" w:sz="0"/>
            </w:tcBorders>
            <w:shd w:fill="1E3A5F" w:val="clear"/>
            <w:tcMar>
              <w:top w:type="dxa" w:w="120"/>
              <w:left w:type="dxa" w:w="140"/>
              <w:bottom w:type="dxa" w:w="120"/>
              <w:right w:type="dxa" w:w="0"/>
            </w:tcMar>
            <w:vAlign w:val="center"/>
          </w:tcPr>
          <w:p>
            <w:r>
              <w:rPr>
                <w:sz w:val="1"/>
                <w:szCs w:val="1"/>
              </w:rPr>
              <w:t xml:space="preserve"/>
            </w:r>
          </w:p>
        </w:tc>
        <w:tc>
          <w:tcPr>
            <w:tcW w:type="dxa" w:w="9160"/>
            <w:tcBorders>
              <w:top w:val="single" w:color="1E3A5F" w:sz="4"/>
              <w:left w:val="none" w:color="FFFFFF" w:sz="0"/>
              <w:bottom w:val="single" w:color="1E3A5F" w:sz="4"/>
              <w:right w:val="single" w:color="1E3A5F" w:sz="4"/>
            </w:tcBorders>
            <w:shd w:fill="F2F5F8" w:val="clear"/>
            <w:tcMar>
              <w:top w:type="dxa" w:w="120"/>
              <w:left w:type="dxa" w:w="200"/>
              <w:bottom w:type="dxa" w:w="120"/>
              <w:right w:type="dxa" w:w="160"/>
            </w:tcMar>
          </w:tcPr>
          <w:p>
            <w:pPr>
              <w:spacing w:before="0" w:after="60"/>
            </w:pPr>
            <w:r>
              <w:rPr>
                <w:rFonts w:ascii="Calibri" w:cs="Calibri" w:eastAsia="Calibri" w:hAnsi="Calibri"/>
                <w:b/>
                <w:bCs/>
                <w:color w:val="1E3A5F"/>
                <w:spacing w:val="40"/>
                <w:sz w:val="18"/>
                <w:szCs w:val="18"/>
              </w:rPr>
              <w:t xml:space="preserve">MVP DEPLOYMENT GUIDANCE</w:t>
            </w:r>
          </w:p>
          <w:p>
            <w:pPr>
              <w:spacing w:before="0" w:after="0"/>
            </w:pPr>
            <w:r>
              <w:rPr>
                <w:rFonts w:ascii="Calibri" w:cs="Calibri" w:eastAsia="Calibri" w:hAnsi="Calibri"/>
                <w:color w:val="1A1A2E"/>
                <w:sz w:val="22"/>
                <w:szCs w:val="22"/>
              </w:rPr>
              <w:t xml:space="preserve">MVP recommendation: deploy the platform backend as a single containerised Node.js service. Do not decompose into microservices at MVP — the added operational complexity is not justified by the scale. Design the internal module boundaries cleanly so decomposition is possible later without a full rewrite.</w:t>
            </w:r>
          </w:p>
        </w:tc>
      </w:tr>
    </w:tbl>
    <w:p>
      <w:pPr>
        <w:spacing w:after="160"/>
      </w:pPr>
      <w:r>
        <w:t xml:space="preserve"/>
      </w:r>
    </w:p>
    <w:p>
      <w:pPr>
        <w:pBdr>
          <w:bottom w:val="single" w:color="CBD5E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60"/>
              <w:left w:type="dxa" w:w="120"/>
              <w:bottom w:type="dxa" w:w="160"/>
              <w:right w:type="dxa" w:w="80"/>
            </w:tcMar>
            <w:vAlign w:val="center"/>
          </w:tcPr>
          <w:p>
            <w:pPr>
              <w:jc w:val="center"/>
            </w:pPr>
            <w:r>
              <w:rPr>
                <w:rFonts w:ascii="Calibri" w:cs="Calibri" w:eastAsia="Calibri" w:hAnsi="Calibri"/>
                <w:b/>
                <w:bCs/>
                <w:color w:val="FFFFFF"/>
                <w:sz w:val="36"/>
                <w:szCs w:val="36"/>
              </w:rPr>
              <w:t xml:space="preserve">08</w:t>
            </w:r>
          </w:p>
        </w:tc>
        <w:tc>
          <w:tcPr>
            <w:tcW w:type="dxa" w:w="8760"/>
            <w:tcBorders>
              <w:top w:val="single" w:color="0A1628" w:sz="4"/>
              <w:left w:val="none" w:color="FFFFFF" w:sz="0"/>
              <w:bottom w:val="single" w:color="0A1628" w:sz="4"/>
              <w:right w:val="single" w:color="0A1628" w:sz="4"/>
            </w:tcBorders>
            <w:shd w:fill="0A1628" w:val="clear"/>
            <w:tcMar>
              <w:top w:type="dxa" w:w="80"/>
              <w:left w:type="dxa" w:w="180"/>
              <w:bottom w:type="dxa" w:w="80"/>
              <w:right w:type="dxa" w:w="120"/>
            </w:tcMar>
            <w:vAlign w:val="center"/>
          </w:tcPr>
          <w:p>
            <w:r>
              <w:rPr>
                <w:rFonts w:ascii="Calibri" w:cs="Calibri" w:eastAsia="Calibri" w:hAnsi="Calibri"/>
                <w:b/>
                <w:bCs/>
                <w:color w:val="FFFFFF"/>
                <w:sz w:val="28"/>
                <w:szCs w:val="28"/>
              </w:rPr>
              <w:t xml:space="preserve">Implementation Guidance</w:t>
            </w:r>
          </w:p>
          <w:p>
            <w:r>
              <w:rPr>
                <w:rFonts w:ascii="Calibri" w:cs="Calibri" w:eastAsia="Calibri" w:hAnsi="Calibri"/>
                <w:color w:val="8A9BB0"/>
                <w:sz w:val="18"/>
                <w:szCs w:val="18"/>
              </w:rPr>
              <w:t xml:space="preserve">Phase 2 MVP build priorities and what NOT to build</w:t>
            </w:r>
          </w:p>
        </w:tc>
      </w:tr>
    </w:tbl>
    <w:p>
      <w:pPr>
        <w:spacing w:after="0"/>
      </w:pPr>
      <w:r>
        <w:t xml:space="preserve"/>
      </w:r>
    </w:p>
    <w:p>
      <w:pPr>
        <w:pStyle w:val="Heading2"/>
        <w:spacing w:before="280" w:after="120"/>
      </w:pPr>
      <w:r>
        <w:rPr>
          <w:rFonts w:ascii="Calibri" w:cs="Calibri" w:eastAsia="Calibri" w:hAnsi="Calibri"/>
          <w:b/>
          <w:bCs/>
          <w:color w:val="1E3A5F"/>
          <w:sz w:val="28"/>
          <w:szCs w:val="28"/>
        </w:rPr>
        <w:t xml:space="preserve">8.1  MVP Build Priority Order</w:t>
      </w:r>
    </w:p>
    <w:p>
      <w:pPr>
        <w:pStyle w:val="ListParagraph"/>
        <w:numPr>
          <w:ilvl w:val="0"/>
          <w:numId w:val="3"/>
        </w:numPr>
        <w:spacing w:before="40" w:after="60"/>
      </w:pPr>
      <w:r>
        <w:rPr>
          <w:rFonts w:ascii="Calibri" w:cs="Calibri" w:eastAsia="Calibri" w:hAnsi="Calibri"/>
          <w:color w:val="1A1A2E"/>
          <w:sz w:val="22"/>
          <w:szCs w:val="22"/>
        </w:rPr>
        <w:t xml:space="preserve">Canonical object schema — define and migrate all 9 entity tables. This is the foundation for everything else.</w:t>
      </w:r>
    </w:p>
    <w:p>
      <w:pPr>
        <w:pStyle w:val="ListParagraph"/>
        <w:numPr>
          <w:ilvl w:val="0"/>
          <w:numId w:val="3"/>
        </w:numPr>
        <w:spacing w:before="40" w:after="60"/>
      </w:pPr>
      <w:r>
        <w:rPr>
          <w:rFonts w:ascii="Calibri" w:cs="Calibri" w:eastAsia="Calibri" w:hAnsi="Calibri"/>
          <w:color w:val="1A1A2E"/>
          <w:sz w:val="22"/>
          <w:szCs w:val="22"/>
        </w:rPr>
        <w:t xml:space="preserve">Auth &amp; tenancy — JWT auth, org isolation middleware, role model. Without this, no multi-tenant feature is safe to build.</w:t>
      </w:r>
    </w:p>
    <w:p>
      <w:pPr>
        <w:pStyle w:val="ListParagraph"/>
        <w:numPr>
          <w:ilvl w:val="0"/>
          <w:numId w:val="3"/>
        </w:numPr>
        <w:spacing w:before="40" w:after="60"/>
      </w:pPr>
      <w:r>
        <w:rPr>
          <w:rFonts w:ascii="Calibri" w:cs="Calibri" w:eastAsia="Calibri" w:hAnsi="Calibri"/>
          <w:color w:val="1A1A2E"/>
          <w:sz w:val="22"/>
          <w:szCs w:val="22"/>
        </w:rPr>
        <w:t xml:space="preserve">Document ingestion pipeline — OCR connector + Extraction Operator. This is the workflow entry point.</w:t>
      </w:r>
    </w:p>
    <w:p>
      <w:pPr>
        <w:pStyle w:val="ListParagraph"/>
        <w:numPr>
          <w:ilvl w:val="0"/>
          <w:numId w:val="3"/>
        </w:numPr>
        <w:spacing w:before="40" w:after="60"/>
      </w:pPr>
      <w:r>
        <w:rPr>
          <w:rFonts w:ascii="Calibri" w:cs="Calibri" w:eastAsia="Calibri" w:hAnsi="Calibri"/>
          <w:color w:val="1A1A2E"/>
          <w:sz w:val="22"/>
          <w:szCs w:val="22"/>
        </w:rPr>
        <w:t xml:space="preserve">Compliance connector + Risk objects — connects contract-engine service; produces Risk records.</w:t>
      </w:r>
    </w:p>
    <w:p>
      <w:pPr>
        <w:pStyle w:val="ListParagraph"/>
        <w:numPr>
          <w:ilvl w:val="0"/>
          <w:numId w:val="3"/>
        </w:numPr>
        <w:spacing w:before="40" w:after="60"/>
      </w:pPr>
      <w:r>
        <w:rPr>
          <w:rFonts w:ascii="Calibri" w:cs="Calibri" w:eastAsia="Calibri" w:hAnsi="Calibri"/>
          <w:color w:val="1A1A2E"/>
          <w:sz w:val="22"/>
          <w:szCs w:val="22"/>
        </w:rPr>
        <w:t xml:space="preserve">Research connector + Citation objects — connects esheria-ai; attaches evidence to findings.</w:t>
      </w:r>
    </w:p>
    <w:p>
      <w:pPr>
        <w:pStyle w:val="ListParagraph"/>
        <w:numPr>
          <w:ilvl w:val="0"/>
          <w:numId w:val="3"/>
        </w:numPr>
        <w:spacing w:before="40" w:after="60"/>
      </w:pPr>
      <w:r>
        <w:rPr>
          <w:rFonts w:ascii="Calibri" w:cs="Calibri" w:eastAsia="Calibri" w:hAnsi="Calibri"/>
          <w:color w:val="1A1A2E"/>
          <w:sz w:val="22"/>
          <w:szCs w:val="22"/>
        </w:rPr>
        <w:t xml:space="preserve">Workflow Engine + state machine — orchestrates the above operators in sequence; persists WorkflowRun and Action records.</w:t>
      </w:r>
    </w:p>
    <w:p>
      <w:pPr>
        <w:pStyle w:val="ListParagraph"/>
        <w:numPr>
          <w:ilvl w:val="0"/>
          <w:numId w:val="3"/>
        </w:numPr>
        <w:spacing w:before="40" w:after="60"/>
      </w:pPr>
      <w:r>
        <w:rPr>
          <w:rFonts w:ascii="Calibri" w:cs="Calibri" w:eastAsia="Calibri" w:hAnsi="Calibri"/>
          <w:color w:val="1A1A2E"/>
          <w:sz w:val="22"/>
          <w:szCs w:val="22"/>
        </w:rPr>
        <w:t xml:space="preserve">Review Workspace UI — the human-in-loop screen; connects to Review object; accepts reviewer decision.</w:t>
      </w:r>
    </w:p>
    <w:p>
      <w:pPr>
        <w:pStyle w:val="ListParagraph"/>
        <w:numPr>
          <w:ilvl w:val="0"/>
          <w:numId w:val="3"/>
        </w:numPr>
        <w:spacing w:before="40" w:after="60"/>
      </w:pPr>
      <w:r>
        <w:rPr>
          <w:rFonts w:ascii="Calibri" w:cs="Calibri" w:eastAsia="Calibri" w:hAnsi="Calibri"/>
          <w:color w:val="1A1A2E"/>
          <w:sz w:val="22"/>
          <w:szCs w:val="22"/>
        </w:rPr>
        <w:t xml:space="preserve">Audit log — immutable Action log; required before any production use.</w:t>
      </w:r>
    </w:p>
    <w:p>
      <w:pPr>
        <w:pStyle w:val="ListParagraph"/>
        <w:numPr>
          <w:ilvl w:val="0"/>
          <w:numId w:val="3"/>
        </w:numPr>
        <w:spacing w:before="40" w:after="60"/>
      </w:pPr>
      <w:r>
        <w:rPr>
          <w:rFonts w:ascii="Calibri" w:cs="Calibri" w:eastAsia="Calibri" w:hAnsi="Calibri"/>
          <w:color w:val="1A1A2E"/>
          <w:sz w:val="22"/>
          <w:szCs w:val="22"/>
        </w:rPr>
        <w:t xml:space="preserve">Drafting connector — connects lexdraft; produces draft suggestions (can be deferred to post-MVP if needed).</w:t>
      </w:r>
    </w:p>
    <w:p>
      <w:pPr>
        <w:pStyle w:val="ListParagraph"/>
        <w:numPr>
          <w:ilvl w:val="0"/>
          <w:numId w:val="3"/>
        </w:numPr>
        <w:spacing w:before="40" w:after="60"/>
      </w:pPr>
      <w:r>
        <w:rPr>
          <w:rFonts w:ascii="Calibri" w:cs="Calibri" w:eastAsia="Calibri" w:hAnsi="Calibri"/>
          <w:color w:val="1A1A2E"/>
          <w:sz w:val="22"/>
          <w:szCs w:val="22"/>
        </w:rPr>
        <w:t xml:space="preserve">Basic institution analytics — workflow events → simple dashboard; can be minimal at MVP.</w:t>
      </w:r>
    </w:p>
    <w:p>
      <w:pPr>
        <w:spacing w:after="160"/>
      </w:pPr>
      <w:r>
        <w:t xml:space="preserve"/>
      </w:r>
    </w:p>
    <w:p>
      <w:pPr>
        <w:pStyle w:val="Heading2"/>
        <w:spacing w:before="280" w:after="120"/>
      </w:pPr>
      <w:r>
        <w:rPr>
          <w:rFonts w:ascii="Calibri" w:cs="Calibri" w:eastAsia="Calibri" w:hAnsi="Calibri"/>
          <w:b/>
          <w:bCs/>
          <w:color w:val="1E3A5F"/>
          <w:sz w:val="28"/>
          <w:szCs w:val="28"/>
        </w:rPr>
        <w:t xml:space="preserve">8.2  Explicitly Out of Scope for Phase 2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Deferred Feature</w:t>
            </w:r>
          </w:p>
        </w:tc>
        <w:tc>
          <w:tcPr>
            <w:tcW w:type="dxa" w:w="3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Reason</w:t>
            </w:r>
          </w:p>
        </w:tc>
        <w:tc>
          <w:tcPr>
            <w:tcW w:type="dxa" w:w="29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Target Phase</w:t>
            </w:r>
          </w:p>
        </w:tc>
      </w:tr>
      <w:tr>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Enterprise SSO (SAML/OIDC)</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High implementation cost; email+password auth sufficient for MVP pilot</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P3</w:t>
            </w:r>
          </w:p>
        </w:tc>
      </w:tr>
      <w:tr>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External DMS integration</w:t>
            </w:r>
          </w:p>
        </w:tc>
        <w:tc>
          <w:tcPr>
            <w:tcW w:type="dxa" w:w="3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Complex per-system OAuth flows; not required to prove workflow thesis</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P3</w:t>
            </w:r>
          </w:p>
        </w:tc>
      </w:tr>
      <w:tr>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Full analytics platform</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MVP needs read-only dashboards; full analytics engine deferred</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P3–P4</w:t>
            </w:r>
          </w:p>
        </w:tc>
      </w:tr>
      <w:tr>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Auth unification across existing repos</w:t>
            </w:r>
          </w:p>
        </w:tc>
        <w:tc>
          <w:tcPr>
            <w:tcW w:type="dxa" w:w="3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Each repo keeps its own internal auth; gateway handles external auth</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P3</w:t>
            </w:r>
          </w:p>
        </w:tc>
      </w:tr>
      <w:tr>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More than one workflow type</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One proven workflow is sufficient to validate the platform thesis</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P3+</w:t>
            </w:r>
          </w:p>
        </w:tc>
      </w:tr>
      <w:tr>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Bi-directional CRM/ERP sync</w:t>
            </w:r>
          </w:p>
        </w:tc>
        <w:tc>
          <w:tcPr>
            <w:tcW w:type="dxa" w:w="3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Integration complexity; not required for first pilot</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P4</w:t>
            </w:r>
          </w:p>
        </w:tc>
      </w:tr>
      <w:tr>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Mobile-native frontend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Web-first is sufficient for enterprise use cases at MVP</w:t>
            </w:r>
          </w:p>
        </w:tc>
        <w:tc>
          <w:tcPr>
            <w:tcW w:type="dxa" w:w="2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P4+</w:t>
            </w:r>
          </w:p>
        </w:tc>
      </w:tr>
      <w:tr>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Complete operator library (all 8)</w:t>
            </w:r>
          </w:p>
        </w:tc>
        <w:tc>
          <w:tcPr>
            <w:tcW w:type="dxa" w:w="3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MVP can use 5–6 operators; Routing and Analytics can be simplified</w:t>
            </w:r>
          </w:p>
        </w:tc>
        <w:tc>
          <w:tcPr>
            <w:tcW w:type="dxa" w:w="2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P2/P3 boundary</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8.3  The Most Important Technical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A8304A" w:sz="8"/>
              <w:left w:val="single" w:color="A8304A" w:sz="8"/>
              <w:bottom w:val="single" w:color="A8304A" w:sz="8"/>
              <w:right w:val="none" w:color="FFFFFF" w:sz="0"/>
            </w:tcBorders>
            <w:shd w:fill="A8304A" w:val="clear"/>
            <w:tcMar>
              <w:top w:type="dxa" w:w="120"/>
              <w:left w:type="dxa" w:w="140"/>
              <w:bottom w:type="dxa" w:w="120"/>
              <w:right w:type="dxa" w:w="0"/>
            </w:tcMar>
            <w:vAlign w:val="center"/>
          </w:tcPr>
          <w:p>
            <w:r>
              <w:rPr>
                <w:sz w:val="1"/>
                <w:szCs w:val="1"/>
              </w:rPr>
              <w:t xml:space="preserve"/>
            </w:r>
          </w:p>
        </w:tc>
        <w:tc>
          <w:tcPr>
            <w:tcW w:type="dxa" w:w="9160"/>
            <w:tcBorders>
              <w:top w:val="single" w:color="A8304A" w:sz="4"/>
              <w:left w:val="none" w:color="FFFFFF" w:sz="0"/>
              <w:bottom w:val="single" w:color="A8304A" w:sz="4"/>
              <w:right w:val="single" w:color="A8304A" w:sz="4"/>
            </w:tcBorders>
            <w:shd w:fill="FCEAEE" w:val="clear"/>
            <w:tcMar>
              <w:top w:type="dxa" w:w="120"/>
              <w:left w:type="dxa" w:w="200"/>
              <w:bottom w:type="dxa" w:w="120"/>
              <w:right w:type="dxa" w:w="160"/>
            </w:tcMar>
          </w:tcPr>
          <w:p>
            <w:pPr>
              <w:spacing w:before="0" w:after="60"/>
            </w:pPr>
            <w:r>
              <w:rPr>
                <w:rFonts w:ascii="Calibri" w:cs="Calibri" w:eastAsia="Calibri" w:hAnsi="Calibri"/>
                <w:b/>
                <w:bCs/>
                <w:color w:val="A8304A"/>
                <w:spacing w:val="40"/>
                <w:sz w:val="18"/>
                <w:szCs w:val="18"/>
              </w:rPr>
              <w:t xml:space="preserve">NON-NEGOTIABLE ENGINEERING PRINCIPLE</w:t>
            </w:r>
          </w:p>
          <w:p>
            <w:pPr>
              <w:spacing w:before="0" w:after="0"/>
            </w:pPr>
            <w:r>
              <w:rPr>
                <w:rFonts w:ascii="Calibri" w:cs="Calibri" w:eastAsia="Calibri" w:hAnsi="Calibri"/>
                <w:color w:val="1A1A2E"/>
                <w:sz w:val="22"/>
                <w:szCs w:val="22"/>
              </w:rPr>
              <w:t xml:space="preserve">Define and lock the canonical object schema before writing any service code. The schema is the contract between all services, operators, and frontends. If it drifts during development, every downstream component diverges. Treat schema changes with the same rigour as API breaking changes — they require a version bump and a migration plan.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tabs>
        <w:tab w:val="center" w:pos="4680"/>
        <w:tab w:val="right" w:pos="9360"/>
      </w:tabs>
      <w:spacing w:before="80"/>
    </w:pPr>
    <w:r>
      <w:rPr>
        <w:rFonts w:ascii="Calibri" w:cs="Calibri" w:eastAsia="Calibri" w:hAnsi="Calibri"/>
        <w:color w:val="8A9BB0"/>
        <w:sz w:val="16"/>
        <w:szCs w:val="16"/>
      </w:rPr>
      <w:t xml:space="preserve">Esheria Legal Workflow OS  ·  Technical Architecture Blueprint</w:t>
    </w:r>
    <w:r>
      <w:rPr>
        <w:sz w:val="16"/>
        <w:szCs w:val="16"/>
      </w:rPr>
      <w:t xml:space="preserve">	</w:t>
    </w:r>
    <w:r>
      <w:rPr>
        <w:rFonts w:ascii="Calibri" w:cs="Calibri" w:eastAsia="Calibri" w:hAnsi="Calibri"/>
        <w:color w:val="8A9BB0"/>
        <w:sz w:val="16"/>
        <w:szCs w:val="16"/>
      </w:rPr>
      <w:t xml:space="preserve">Vincent Nyamao  ·  2025</w:t>
    </w:r>
    <w:r>
      <w:rPr>
        <w:sz w:val="16"/>
        <w:szCs w:val="16"/>
      </w:rPr>
      <w:t xml:space="preserve">	</w:t>
    </w:r>
    <w:r>
      <w:rPr>
        <w:rFonts w:ascii="Calibri" w:cs="Calibri" w:eastAsia="Calibri" w:hAnsi="Calibri"/>
        <w:color w:val="8A9BB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1628" w:val="clear"/>
          <w:tcMar>
            <w:top w:type="dxa" w:w="80"/>
            <w:left w:type="dxa" w:w="180"/>
            <w:bottom w:type="dxa" w:w="80"/>
            <w:right w:type="dxa" w:w="80"/>
          </w:tcMar>
        </w:tcPr>
        <w:p>
          <w:r>
            <w:rPr>
              <w:rFonts w:ascii="Calibri" w:cs="Calibri" w:eastAsia="Calibri" w:hAnsi="Calibri"/>
              <w:b/>
              <w:bCs/>
              <w:color w:val="00A884"/>
              <w:spacing w:val="40"/>
              <w:sz w:val="18"/>
              <w:szCs w:val="18"/>
            </w:rPr>
            <w:t xml:space="preserve">ESHERIA  ·  TECHNICAL ARCHITECTURE BLUEPRINT</w:t>
          </w:r>
        </w:p>
      </w:tc>
      <w:tc>
        <w:tcPr>
          <w:tcW w:type="dxa" w:w="4680"/>
          <w:tcBorders>
            <w:top w:val="none" w:color="FFFFFF" w:sz="0"/>
            <w:left w:val="none" w:color="FFFFFF" w:sz="0"/>
            <w:bottom w:val="none" w:color="FFFFFF" w:sz="0"/>
            <w:right w:val="none" w:color="FFFFFF" w:sz="0"/>
          </w:tcBorders>
          <w:shd w:fill="0A1628" w:val="clear"/>
          <w:tcMar>
            <w:top w:type="dxa" w:w="80"/>
            <w:left w:type="dxa" w:w="80"/>
            <w:bottom w:type="dxa" w:w="80"/>
            <w:right w:type="dxa" w:w="180"/>
          </w:tcMar>
        </w:tcPr>
        <w:p>
          <w:pPr>
            <w:jc w:val="right"/>
          </w:pPr>
          <w:r>
            <w:rPr>
              <w:rFonts w:ascii="Calibri" w:cs="Calibri" w:eastAsia="Calibri" w:hAnsi="Calibri"/>
              <w:color w:val="6B7E99"/>
              <w:spacing w:val="40"/>
              <w:sz w:val="16"/>
              <w:szCs w:val="16"/>
            </w:rPr>
            <w:t xml:space="preserve">TECHNICAL BLUEPRINT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60" w:hanging="280"/>
      </w:pPr>
    </w:lvl>
    <w:lvl w:ilvl="1" w15:tentative="1">
      <w:start w:val="1"/>
      <w:numFmt w:val="bullet"/>
      <w:lvlText w:val="–"/>
      <w:lvlJc w:val="left"/>
      <w:pPr>
        <w:spacing w:before="20" w:after="20"/>
        <w:ind w:left="980" w:hanging="280"/>
      </w:pPr>
    </w:lvl>
  </w:abstractNum>
  <w:abstractNum w:abstractNumId="3" w15:restartNumberingAfterBreak="0">
    <w:multiLevelType w:val="hybridMultilevel"/>
    <w:lvl w:ilvl="0" w15:tentative="1">
      <w:start w:val="1"/>
      <w:numFmt w:val="decimal"/>
      <w:lvlText w:val="%1."/>
      <w:lvlJc w:val="left"/>
      <w:pPr>
        <w:spacing w:before="40" w:after="40"/>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0A1628"/>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1E3A5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2E3F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2026-03-07T15:26:49.174Z</dcterms:created>
  <dcterms:modified xsi:type="dcterms:W3CDTF">2026-03-07T15:26:49.176Z</dcterms:modified>
</cp:coreProperties>
</file>

<file path=docProps/custom.xml><?xml version="1.0" encoding="utf-8"?>
<Properties xmlns="http://schemas.openxmlformats.org/officeDocument/2006/custom-properties" xmlns:vt="http://schemas.openxmlformats.org/officeDocument/2006/docPropsVTypes"/>
</file>