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Schéma relationnel et démonstration de la 3FN</w:t>
      </w:r>
    </w:p>
    <w:p>
      <w:pPr>
        <w:spacing w:after="120"/>
      </w:pPr>
      <w:r>
        <w:rPr>
          <w:rFonts w:ascii="Arial" w:cs="Arial" w:eastAsia="Arial" w:hAnsi="Arial"/>
          <w:color w:val="595959"/>
          <w:sz w:val="21"/>
          <w:szCs w:val="21"/>
        </w:rPr>
        <w:t xml:space="preserve">TP1 – Base de données II (420-B56) · Base tp1_vincent_trudel · Schéma commerce · PostgreSQL 16</w:t>
      </w:r>
    </w:p>
    <w:p>
      <w:pPr>
        <w:spacing w:after="120"/>
      </w:pPr>
      <w:r>
        <w:rPr>
          <w:rFonts w:ascii="Arial" w:cs="Arial" w:eastAsia="Arial" w:hAnsi="Arial"/>
          <w:color w:val="595959"/>
          <w:sz w:val="21"/>
          <w:szCs w:val="21"/>
        </w:rPr>
        <w:t xml:space="preserve">Vincent Trudel · version du 18 septembre 2026, établie à partir de 01_create_schema.sql et 02_declencheurs.sql</w:t>
      </w:r>
    </w:p>
    <w:p>
      <w:pPr>
        <w:pStyle w:val="Heading1"/>
      </w:pPr>
      <w:r>
        <w:rPr>
          <w:rFonts w:ascii="Arial" w:cs="Arial" w:eastAsia="Arial" w:hAnsi="Arial"/>
        </w:rPr>
        <w:t xml:space="preserve">1. Notation</w:t>
      </w:r>
    </w:p>
    <w:p>
      <w:pPr>
        <w:pStyle w:val="ListParagraph"/>
        <w:numPr>
          <w:ilvl w:val="0"/>
          <w:numId w:val="2"/>
        </w:numPr>
        <w:spacing w:after="60"/>
      </w:pPr>
      <w:r>
        <w:rPr>
          <w:rFonts w:ascii="Arial" w:cs="Arial" w:eastAsia="Arial" w:hAnsi="Arial"/>
          <w:sz w:val="21"/>
          <w:szCs w:val="21"/>
        </w:rPr>
        <w:t xml:space="preserve">Clé primaire : </w:t>
      </w:r>
      <w:r>
        <w:rPr>
          <w:rFonts w:ascii="Arial" w:cs="Arial" w:eastAsia="Arial" w:hAnsi="Arial"/>
          <w:b/>
          <w:bCs/>
          <w:sz w:val="21"/>
          <w:szCs w:val="21"/>
          <w:u w:val="single"/>
        </w:rPr>
        <w:t xml:space="preserve">soulignée et en gras</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Clé étrangère : précédée de </w:t>
      </w:r>
      <w:r>
        <w:rPr>
          <w:rFonts w:ascii="Consolas" w:cs="Consolas" w:eastAsia="Consolas" w:hAnsi="Consolas"/>
          <w:sz w:val="19"/>
          <w:szCs w:val="19"/>
        </w:rPr>
        <w:t xml:space="preserve">#</w:t>
      </w:r>
      <w:r>
        <w:rPr>
          <w:rFonts w:ascii="Arial" w:cs="Arial" w:eastAsia="Arial" w:hAnsi="Arial"/>
          <w:sz w:val="21"/>
          <w:szCs w:val="21"/>
        </w:rPr>
        <w:t xml:space="preserve"> et en italique; la table référencée est indiquée sous la relation.</w:t>
      </w:r>
    </w:p>
    <w:p>
      <w:pPr>
        <w:pStyle w:val="ListParagraph"/>
        <w:numPr>
          <w:ilvl w:val="0"/>
          <w:numId w:val="2"/>
        </w:numPr>
        <w:spacing w:after="60"/>
      </w:pPr>
      <w:r>
        <w:rPr>
          <w:rFonts w:ascii="Arial" w:cs="Arial" w:eastAsia="Arial" w:hAnsi="Arial"/>
          <w:sz w:val="21"/>
          <w:szCs w:val="21"/>
        </w:rPr>
        <w:t xml:space="preserve">Clé candidate : identifiant alternatif imposé par une contrainte UNIQUE (colonne seule ou combinaison de colonnes).</w:t>
      </w:r>
    </w:p>
    <w:p>
      <w:pPr>
        <w:pStyle w:val="ListParagraph"/>
        <w:numPr>
          <w:ilvl w:val="0"/>
          <w:numId w:val="2"/>
        </w:numPr>
        <w:spacing w:after="60"/>
      </w:pPr>
      <w:r>
        <w:rPr>
          <w:rFonts w:ascii="Arial" w:cs="Arial" w:eastAsia="Arial" w:hAnsi="Arial"/>
          <w:sz w:val="21"/>
          <w:szCs w:val="21"/>
        </w:rPr>
        <w:t xml:space="preserve">Toutes les clés primaires sont des clés de substitution (INTEGER GENERATED ALWAYS AS IDENTITY) composées d'une seule colonne.</w:t>
      </w:r>
    </w:p>
    <w:p>
      <w:pPr>
        <w:pStyle w:val="Heading1"/>
      </w:pPr>
      <w:r>
        <w:rPr>
          <w:rFonts w:ascii="Arial" w:cs="Arial" w:eastAsia="Arial" w:hAnsi="Arial"/>
        </w:rPr>
        <w:t xml:space="preserve">2. Schéma relationnel (14 relations)</w:t>
      </w:r>
    </w:p>
    <w:p>
      <w:pPr>
        <w:pStyle w:val="Heading2"/>
      </w:pPr>
      <w:r>
        <w:rPr>
          <w:rFonts w:ascii="Arial" w:cs="Arial" w:eastAsia="Arial" w:hAnsi="Arial"/>
        </w:rPr>
        <w:t xml:space="preserve">Référence</w:t>
      </w:r>
    </w:p>
    <w:p>
      <w:pPr>
        <w:keepNext/>
        <w:spacing w:after="20" w:before="120"/>
      </w:pPr>
      <w:r>
        <w:rPr>
          <w:rFonts w:ascii="Consolas" w:cs="Consolas" w:eastAsia="Consolas" w:hAnsi="Consolas"/>
          <w:b/>
          <w:bCs/>
          <w:sz w:val="19"/>
          <w:szCs w:val="19"/>
        </w:rPr>
        <w:t xml:space="preserve">categorie</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id_categorie</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nom_categorie</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Clé candidate : nom_categorie</w:t>
      </w:r>
    </w:p>
    <w:p>
      <w:pPr>
        <w:keepNext/>
        <w:spacing w:after="20" w:before="120"/>
      </w:pPr>
      <w:r>
        <w:rPr>
          <w:rFonts w:ascii="Consolas" w:cs="Consolas" w:eastAsia="Consolas" w:hAnsi="Consolas"/>
          <w:b/>
          <w:bCs/>
          <w:sz w:val="19"/>
          <w:szCs w:val="19"/>
        </w:rPr>
        <w:t xml:space="preserve">statut</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id_statut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nom_statut</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Clé candidate : nom_statut</w:t>
      </w:r>
    </w:p>
    <w:p>
      <w:pPr>
        <w:keepNext/>
        <w:spacing w:after="20" w:before="120"/>
      </w:pPr>
      <w:r>
        <w:rPr>
          <w:rFonts w:ascii="Consolas" w:cs="Consolas" w:eastAsia="Consolas" w:hAnsi="Consolas"/>
          <w:b/>
          <w:bCs/>
          <w:sz w:val="19"/>
          <w:szCs w:val="19"/>
        </w:rPr>
        <w:t xml:space="preserve">client</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id_client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nom_client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courriel_client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telephone_client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hash_mot_passe_client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adresse_client</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Clé candidate : courriel_client</w:t>
      </w:r>
    </w:p>
    <w:p>
      <w:pPr>
        <w:pStyle w:val="Heading2"/>
      </w:pPr>
      <w:r>
        <w:rPr>
          <w:rFonts w:ascii="Arial" w:cs="Arial" w:eastAsia="Arial" w:hAnsi="Arial"/>
        </w:rPr>
        <w:t xml:space="preserve">Catalogue et approvisionnement</w:t>
      </w:r>
    </w:p>
    <w:p>
      <w:pPr>
        <w:keepNext/>
        <w:spacing w:after="20" w:before="120"/>
      </w:pPr>
      <w:r>
        <w:rPr>
          <w:rFonts w:ascii="Consolas" w:cs="Consolas" w:eastAsia="Consolas" w:hAnsi="Consolas"/>
          <w:b/>
          <w:bCs/>
          <w:sz w:val="19"/>
          <w:szCs w:val="19"/>
        </w:rPr>
        <w:t xml:space="preserve">produit</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id_produit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nom_produit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prix_produit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cout_procuration_produit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quantite_totale_produit</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#id_categorie</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#id_categorie → categorie</w:t>
      </w:r>
    </w:p>
    <w:p>
      <w:pPr>
        <w:keepNext/>
        <w:spacing w:after="20" w:before="120"/>
      </w:pPr>
      <w:r>
        <w:rPr>
          <w:rFonts w:ascii="Consolas" w:cs="Consolas" w:eastAsia="Consolas" w:hAnsi="Consolas"/>
          <w:b/>
          <w:bCs/>
          <w:sz w:val="19"/>
          <w:szCs w:val="19"/>
        </w:rPr>
        <w:t xml:space="preserve">specification_produit</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id_specification_produit</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#id_produit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specifications_produit</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#id_produit → produit · clé candidate : id_produit (1 à 1)</w:t>
      </w:r>
    </w:p>
    <w:p>
      <w:pPr>
        <w:keepNext/>
        <w:spacing w:after="20" w:before="120"/>
      </w:pPr>
      <w:r>
        <w:rPr>
          <w:rFonts w:ascii="Consolas" w:cs="Consolas" w:eastAsia="Consolas" w:hAnsi="Consolas"/>
          <w:b/>
          <w:bCs/>
          <w:sz w:val="19"/>
          <w:szCs w:val="19"/>
        </w:rPr>
        <w:t xml:space="preserve">reception</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id_reception</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numero_reception</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date_prevue_reception</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date_complete_reception</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est_complete</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Clé candidate : numero_reception</w:t>
      </w:r>
    </w:p>
    <w:p>
      <w:pPr>
        <w:keepNext/>
        <w:spacing w:after="20" w:before="120"/>
      </w:pPr>
      <w:r>
        <w:rPr>
          <w:rFonts w:ascii="Consolas" w:cs="Consolas" w:eastAsia="Consolas" w:hAnsi="Consolas"/>
          <w:b/>
          <w:bCs/>
          <w:sz w:val="19"/>
          <w:szCs w:val="19"/>
        </w:rPr>
        <w:t xml:space="preserve">info_reception</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id_info_reception</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#id_reception</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#id_produit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quantite_recu</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#id_reception → reception · #id_produit → produit · clé candidate : (id_reception, id_produit)</w:t>
      </w:r>
    </w:p>
    <w:p>
      <w:pPr>
        <w:pStyle w:val="Heading2"/>
      </w:pPr>
      <w:r>
        <w:rPr>
          <w:rFonts w:ascii="Arial" w:cs="Arial" w:eastAsia="Arial" w:hAnsi="Arial"/>
        </w:rPr>
        <w:t xml:space="preserve">Ventes</w:t>
      </w:r>
    </w:p>
    <w:p>
      <w:pPr>
        <w:keepNext/>
        <w:spacing w:after="20" w:before="120"/>
      </w:pPr>
      <w:r>
        <w:rPr>
          <w:rFonts w:ascii="Consolas" w:cs="Consolas" w:eastAsia="Consolas" w:hAnsi="Consolas"/>
          <w:b/>
          <w:bCs/>
          <w:sz w:val="19"/>
          <w:szCs w:val="19"/>
        </w:rPr>
        <w:t xml:space="preserve">commande</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id_commande</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date_commande</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adresse_livraison_commande</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#id_client</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#id_statut</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#id_client → client · #id_statut → statut</w:t>
      </w:r>
    </w:p>
    <w:p>
      <w:pPr>
        <w:keepNext/>
        <w:spacing w:after="20" w:before="120"/>
      </w:pPr>
      <w:r>
        <w:rPr>
          <w:rFonts w:ascii="Consolas" w:cs="Consolas" w:eastAsia="Consolas" w:hAnsi="Consolas"/>
          <w:b/>
          <w:bCs/>
          <w:sz w:val="19"/>
          <w:szCs w:val="19"/>
        </w:rPr>
        <w:t xml:space="preserve">info_commande</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id_info_commande</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#id_commande</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#id_produit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quantite</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prix_unitaire</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#id_commande → commande · #id_produit → produit · clé candidate : (id_commande, id_produit)</w:t>
      </w:r>
    </w:p>
    <w:p>
      <w:pPr>
        <w:keepNext/>
        <w:spacing w:after="20" w:before="120"/>
      </w:pPr>
      <w:r>
        <w:rPr>
          <w:rFonts w:ascii="Consolas" w:cs="Consolas" w:eastAsia="Consolas" w:hAnsi="Consolas"/>
          <w:b/>
          <w:bCs/>
          <w:sz w:val="19"/>
          <w:szCs w:val="19"/>
        </w:rPr>
        <w:t xml:space="preserve">paiement</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id_paiement</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#id_commande</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mode_paiement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date_paiement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montant_paiement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est_complete</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#id_commande → commande</w:t>
      </w:r>
    </w:p>
    <w:p>
      <w:pPr>
        <w:pStyle w:val="Heading2"/>
      </w:pPr>
      <w:r>
        <w:rPr>
          <w:rFonts w:ascii="Arial" w:cs="Arial" w:eastAsia="Arial" w:hAnsi="Arial"/>
        </w:rPr>
        <w:t xml:space="preserve">Expédition</w:t>
      </w:r>
    </w:p>
    <w:p>
      <w:pPr>
        <w:keepNext/>
        <w:spacing w:after="20" w:before="120"/>
      </w:pPr>
      <w:r>
        <w:rPr>
          <w:rFonts w:ascii="Consolas" w:cs="Consolas" w:eastAsia="Consolas" w:hAnsi="Consolas"/>
          <w:b/>
          <w:bCs/>
          <w:sz w:val="19"/>
          <w:szCs w:val="19"/>
        </w:rPr>
        <w:t xml:space="preserve">expedition</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id_expedition</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date_prevue_expedition</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date_complete_expedition</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est_complete</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camion_expedition</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w:t>
      </w:r>
    </w:p>
    <w:p>
      <w:pPr>
        <w:keepNext/>
        <w:spacing w:after="20" w:before="120"/>
      </w:pPr>
      <w:r>
        <w:rPr>
          <w:rFonts w:ascii="Consolas" w:cs="Consolas" w:eastAsia="Consolas" w:hAnsi="Consolas"/>
          <w:b/>
          <w:bCs/>
          <w:sz w:val="19"/>
          <w:szCs w:val="19"/>
        </w:rPr>
        <w:t xml:space="preserve">info_expedition</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id_info_expedition</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#id_info_commande</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#id_expedition</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quantite_expediee</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#id_info_commande → info_commande · #id_expedition → expedition · clé candidate : (id_info_commande, id_expedition)</w:t>
      </w:r>
    </w:p>
    <w:p>
      <w:pPr>
        <w:pStyle w:val="Heading2"/>
      </w:pPr>
      <w:r>
        <w:rPr>
          <w:rFonts w:ascii="Arial" w:cs="Arial" w:eastAsia="Arial" w:hAnsi="Arial"/>
        </w:rPr>
        <w:t xml:space="preserve">Évaluation</w:t>
      </w:r>
    </w:p>
    <w:p>
      <w:pPr>
        <w:keepNext/>
        <w:spacing w:after="20" w:before="120"/>
      </w:pPr>
      <w:r>
        <w:rPr>
          <w:rFonts w:ascii="Consolas" w:cs="Consolas" w:eastAsia="Consolas" w:hAnsi="Consolas"/>
          <w:b/>
          <w:bCs/>
          <w:sz w:val="19"/>
          <w:szCs w:val="19"/>
        </w:rPr>
        <w:t xml:space="preserve">evaluation</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id_evaluation</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#id_produit</w:t>
      </w:r>
      <w:r>
        <w:rPr>
          <w:rFonts w:ascii="Consolas" w:cs="Consolas" w:eastAsia="Consolas" w:hAnsi="Consolas"/>
          <w:sz w:val="19"/>
          <w:szCs w:val="19"/>
        </w:rPr>
        <w:t xml:space="preserve">, </w:t>
      </w:r>
      <w:r>
        <w:rPr>
          <w:rFonts w:ascii="Consolas" w:cs="Consolas" w:eastAsia="Consolas" w:hAnsi="Consolas"/>
          <w:b w:val="false"/>
          <w:bCs w:val="false"/>
          <w:i/>
          <w:iCs/>
          <w:sz w:val="19"/>
          <w:szCs w:val="19"/>
        </w:rPr>
        <w:t xml:space="preserve">#id_client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note_evaluation</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commentaire_evaluation</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date_evaluation</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#id_produit → produit · #id_client → client · clé candidate : (id_produit, id_client)</w:t>
      </w:r>
    </w:p>
    <w:p>
      <w:pPr>
        <w:pStyle w:val="Heading2"/>
      </w:pPr>
      <w:r>
        <w:rPr>
          <w:rFonts w:ascii="Arial" w:cs="Arial" w:eastAsia="Arial" w:hAnsi="Arial"/>
        </w:rPr>
        <w:t xml:space="preserve">Audit</w:t>
      </w:r>
    </w:p>
    <w:p>
      <w:pPr>
        <w:keepNext/>
        <w:spacing w:after="20" w:before="120"/>
      </w:pPr>
      <w:r>
        <w:rPr>
          <w:rFonts w:ascii="Consolas" w:cs="Consolas" w:eastAsia="Consolas" w:hAnsi="Consolas"/>
          <w:b/>
          <w:bCs/>
          <w:sz w:val="19"/>
          <w:szCs w:val="19"/>
        </w:rPr>
        <w:t xml:space="preserve">audit_statut_commande</w:t>
      </w:r>
      <w:r>
        <w:rPr>
          <w:rFonts w:ascii="Consolas" w:cs="Consolas" w:eastAsia="Consolas" w:hAnsi="Consolas"/>
          <w:sz w:val="19"/>
          <w:szCs w:val="19"/>
        </w:rPr>
        <w:t xml:space="preserve"> (</w:t>
      </w:r>
      <w:r>
        <w:rPr>
          <w:rFonts w:ascii="Consolas" w:cs="Consolas" w:eastAsia="Consolas" w:hAnsi="Consolas"/>
          <w:b/>
          <w:bCs/>
          <w:i w:val="false"/>
          <w:iCs w:val="false"/>
          <w:sz w:val="19"/>
          <w:szCs w:val="19"/>
          <w:u w:val="single"/>
        </w:rPr>
        <w:t xml:space="preserve">id_audit_statut_commande</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id_commande</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operation</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ancien_statut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nouveau_statut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date_changement</w:t>
      </w:r>
      <w:r>
        <w:rPr>
          <w:rFonts w:ascii="Consolas" w:cs="Consolas" w:eastAsia="Consolas" w:hAnsi="Consolas"/>
          <w:sz w:val="19"/>
          <w:szCs w:val="19"/>
        </w:rPr>
        <w:t xml:space="preserve">, </w:t>
      </w:r>
      <w:r>
        <w:rPr>
          <w:rFonts w:ascii="Consolas" w:cs="Consolas" w:eastAsia="Consolas" w:hAnsi="Consolas"/>
          <w:b w:val="false"/>
          <w:bCs w:val="false"/>
          <w:i w:val="false"/>
          <w:iCs w:val="false"/>
          <w:sz w:val="19"/>
          <w:szCs w:val="19"/>
        </w:rPr>
        <w:t xml:space="preserve">utilisateur</w:t>
      </w:r>
      <w:r>
        <w:rPr>
          <w:rFonts w:ascii="Consolas" w:cs="Consolas" w:eastAsia="Consolas" w:hAnsi="Consolas"/>
          <w:sz w:val="19"/>
          <w:szCs w:val="19"/>
        </w:rPr>
        <w:t xml:space="preserve">)</w:t>
      </w:r>
    </w:p>
    <w:p>
      <w:pPr>
        <w:spacing w:after="80"/>
        <w:ind w:left="360"/>
      </w:pPr>
      <w:r>
        <w:rPr>
          <w:rFonts w:ascii="Arial" w:cs="Arial" w:eastAsia="Arial" w:hAnsi="Arial"/>
          <w:color w:val="595959"/>
          <w:sz w:val="18"/>
          <w:szCs w:val="18"/>
        </w:rPr>
        <w:t xml:space="preserve">Aucune clé étrangère (volontaire, voir section 4) · id_commande désigne la commande auditée</w:t>
      </w:r>
    </w:p>
    <w:p>
      <w:pPr>
        <w:pStyle w:val="Heading2"/>
      </w:pPr>
      <w:r>
        <w:rPr>
          <w:rFonts w:ascii="Arial" w:cs="Arial" w:eastAsia="Arial" w:hAnsi="Arial"/>
        </w:rPr>
        <w:t xml:space="preserve">Associations N-N résolues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5760"/>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Relation N-N</w:t>
            </w:r>
          </w:p>
        </w:tc>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Table d'association</w:t>
            </w:r>
          </w:p>
        </w:tc>
        <w:tc>
          <w:tcPr>
            <w:tcW w:type="dxa" w:w="57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Unicité</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commande ↔ produit</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info_commande</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(id_commande, id_produit)</w:t>
            </w:r>
          </w:p>
        </w:tc>
      </w:tr>
      <w:tr>
        <w:trPr>
          <w:cantSplit/>
        </w:trPr>
        <w:tc>
          <w:tcPr>
            <w:tcW w:type="dxa" w:w="36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reception ↔ produit</w:t>
            </w:r>
          </w:p>
        </w:tc>
        <w:tc>
          <w:tcPr>
            <w:tcW w:type="dxa" w:w="36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info_reception</w:t>
            </w:r>
          </w:p>
        </w:tc>
        <w:tc>
          <w:tcPr>
            <w:tcW w:type="dxa" w:w="576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(id_reception, id_produit)</w:t>
            </w:r>
          </w:p>
        </w:tc>
      </w:tr>
      <w:tr>
        <w:trPr>
          <w:cantSplit/>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ligne de commande ↔ expedition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info_expedition</w:t>
            </w:r>
          </w:p>
        </w:tc>
        <w:tc>
          <w:tcPr>
            <w:tcW w:type="dxa" w:w="5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(id_info_commande, id_expedition)</w:t>
            </w:r>
          </w:p>
        </w:tc>
      </w:tr>
      <w:tr>
        <w:trPr>
          <w:cantSplit/>
        </w:trPr>
        <w:tc>
          <w:tcPr>
            <w:tcW w:type="dxa" w:w="36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client ↔ produit (évaluation)</w:t>
            </w:r>
          </w:p>
        </w:tc>
        <w:tc>
          <w:tcPr>
            <w:tcW w:type="dxa" w:w="36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evaluation</w:t>
            </w:r>
          </w:p>
        </w:tc>
        <w:tc>
          <w:tcPr>
            <w:tcW w:type="dxa" w:w="576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(id_produit, id_client)</w:t>
            </w:r>
          </w:p>
        </w:tc>
      </w:tr>
    </w:tbl>
    <w:p>
      <w:pPr>
        <w:pStyle w:val="Heading1"/>
      </w:pPr>
      <w:r>
        <w:rPr>
          <w:rFonts w:ascii="Arial" w:cs="Arial" w:eastAsia="Arial" w:hAnsi="Arial"/>
        </w:rPr>
        <w:t xml:space="preserve">3. Démonstration des formes normales</w:t>
      </w:r>
    </w:p>
    <w:p>
      <w:pPr>
        <w:pStyle w:val="Heading2"/>
      </w:pPr>
      <w:r>
        <w:rPr>
          <w:rFonts w:ascii="Arial" w:cs="Arial" w:eastAsia="Arial" w:hAnsi="Arial"/>
        </w:rPr>
        <w:t xml:space="preserve">Première forme normale (1FN)</w:t>
      </w:r>
    </w:p>
    <w:p>
      <w:pPr>
        <w:spacing w:after="120"/>
      </w:pPr>
      <w:r>
        <w:rPr>
          <w:rFonts w:ascii="Arial" w:cs="Arial" w:eastAsia="Arial" w:hAnsi="Arial"/>
          <w:sz w:val="21"/>
          <w:szCs w:val="21"/>
        </w:rPr>
        <w:t xml:space="preserve">Une relation est en 1FN si chaque attribut contient une valeur atomique et s'il n'existe aucun groupe répétitif.</w:t>
      </w:r>
    </w:p>
    <w:p>
      <w:pPr>
        <w:pStyle w:val="ListParagraph"/>
        <w:numPr>
          <w:ilvl w:val="0"/>
          <w:numId w:val="2"/>
        </w:numPr>
        <w:spacing w:after="60"/>
      </w:pPr>
      <w:r>
        <w:rPr>
          <w:rFonts w:ascii="Arial" w:cs="Arial" w:eastAsia="Arial" w:hAnsi="Arial"/>
          <w:sz w:val="21"/>
          <w:szCs w:val="21"/>
        </w:rPr>
        <w:t xml:space="preserve">Aucun groupe répétitif : les lignes d'une commande et d'une réception sont dans info_commande et info_reception, une ligne par produit, plutôt que dans des listes (produit1, produit2, …) ou un tableau dans la commande.</w:t>
      </w:r>
    </w:p>
    <w:p>
      <w:pPr>
        <w:pStyle w:val="ListParagraph"/>
        <w:numPr>
          <w:ilvl w:val="0"/>
          <w:numId w:val="2"/>
        </w:numPr>
        <w:spacing w:after="60"/>
      </w:pPr>
      <w:r>
        <w:rPr>
          <w:rFonts w:ascii="Arial" w:cs="Arial" w:eastAsia="Arial" w:hAnsi="Arial"/>
          <w:sz w:val="21"/>
          <w:szCs w:val="21"/>
        </w:rPr>
        <w:t xml:space="preserve">Pour la même raison, une liste de produits reçus en JSONB a été écartée : un élément qui référence une autre entité (un produit) doit être une ligne de table, pour bénéficier des clés étrangères et des contraintes.</w:t>
      </w:r>
    </w:p>
    <w:p>
      <w:pPr>
        <w:pStyle w:val="ListParagraph"/>
        <w:numPr>
          <w:ilvl w:val="0"/>
          <w:numId w:val="2"/>
        </w:numPr>
        <w:spacing w:after="60"/>
      </w:pPr>
      <w:r>
        <w:rPr>
          <w:rFonts w:ascii="Arial" w:cs="Arial" w:eastAsia="Arial" w:hAnsi="Arial"/>
          <w:sz w:val="21"/>
          <w:szCs w:val="21"/>
        </w:rPr>
        <w:t xml:space="preserve">La colonne </w:t>
      </w:r>
      <w:r>
        <w:rPr>
          <w:rFonts w:ascii="Consolas" w:cs="Consolas" w:eastAsia="Consolas" w:hAnsi="Consolas"/>
          <w:sz w:val="19"/>
          <w:szCs w:val="19"/>
        </w:rPr>
        <w:t xml:space="preserve">specifications_produit</w:t>
      </w:r>
      <w:r>
        <w:rPr>
          <w:rFonts w:ascii="Arial" w:cs="Arial" w:eastAsia="Arial" w:hAnsi="Arial"/>
          <w:sz w:val="21"/>
          <w:szCs w:val="21"/>
        </w:rPr>
        <w:t xml:space="preserve"> (JSONB) est traitée comme une valeur unique du point de vue relationnel : c'est un document décrivant un seul produit, jamais utilisé comme clé ni pour une jointure. Son contenu (attributs variables selon la catégorie) ne référence aucune autre table.</w:t>
      </w:r>
    </w:p>
    <w:p>
      <w:pPr>
        <w:pStyle w:val="ListParagraph"/>
        <w:numPr>
          <w:ilvl w:val="0"/>
          <w:numId w:val="2"/>
        </w:numPr>
        <w:spacing w:after="60"/>
      </w:pPr>
      <w:r>
        <w:rPr>
          <w:rFonts w:ascii="Arial" w:cs="Arial" w:eastAsia="Arial" w:hAnsi="Arial"/>
          <w:sz w:val="21"/>
          <w:szCs w:val="21"/>
        </w:rPr>
        <w:t xml:space="preserve">Les adresses (TEXT) sont conservées en un seul champ : l'application ne recherche ni ne regroupe par ville ou code postal, donc la décomposition n'apporterait rien.</w:t>
      </w:r>
    </w:p>
    <w:p>
      <w:pPr>
        <w:pStyle w:val="Heading2"/>
      </w:pPr>
      <w:r>
        <w:rPr>
          <w:rFonts w:ascii="Arial" w:cs="Arial" w:eastAsia="Arial" w:hAnsi="Arial"/>
        </w:rPr>
        <w:t xml:space="preserve">Deuxième forme normale (2FN)</w:t>
      </w:r>
    </w:p>
    <w:p>
      <w:pPr>
        <w:spacing w:after="120"/>
      </w:pPr>
      <w:r>
        <w:rPr>
          <w:rFonts w:ascii="Arial" w:cs="Arial" w:eastAsia="Arial" w:hAnsi="Arial"/>
          <w:sz w:val="21"/>
          <w:szCs w:val="21"/>
        </w:rPr>
        <w:t xml:space="preserve">Une relation est en 2FN si elle est en 1FN et si aucun attribut non clé ne dépend d'une partie seulement d'une clé candidate composée.</w:t>
      </w:r>
    </w:p>
    <w:p>
      <w:pPr>
        <w:pStyle w:val="ListParagraph"/>
        <w:numPr>
          <w:ilvl w:val="0"/>
          <w:numId w:val="2"/>
        </w:numPr>
        <w:spacing w:after="60"/>
      </w:pPr>
      <w:r>
        <w:rPr>
          <w:rFonts w:ascii="Arial" w:cs="Arial" w:eastAsia="Arial" w:hAnsi="Arial"/>
          <w:sz w:val="21"/>
          <w:szCs w:val="21"/>
        </w:rPr>
        <w:t xml:space="preserve">Toutes les clés primaires ont une seule colonne : une dépendance partielle envers la clé primaire est impossible.</w:t>
      </w:r>
    </w:p>
    <w:p>
      <w:pPr>
        <w:pStyle w:val="ListParagraph"/>
        <w:numPr>
          <w:ilvl w:val="0"/>
          <w:numId w:val="2"/>
        </w:numPr>
        <w:spacing w:after="60"/>
      </w:pPr>
      <w:r>
        <w:rPr>
          <w:rFonts w:ascii="Arial" w:cs="Arial" w:eastAsia="Arial" w:hAnsi="Arial"/>
          <w:sz w:val="21"/>
          <w:szCs w:val="21"/>
        </w:rPr>
        <w:t xml:space="preserve">Les clés candidates composées ont été vérifiées : quantite et prix_unitaire dépendent de la paire (id_commande, id_produit), quantite_recu de (id_reception, id_produit), quantite_expediee de (id_info_commande, id_expedition), et note_evaluation, commentaire_evaluation, date_evaluation de (id_produit, id_client). Aucun de ces attributs ne dépend d'un seul élément de la paire. Par exemple, le nom ou le prix courant du produit, qui dépendent de id_produit seul, ne sont pas dans info_commande.</w:t>
      </w:r>
    </w:p>
    <w:p>
      <w:pPr>
        <w:pStyle w:val="Heading2"/>
      </w:pPr>
      <w:r>
        <w:rPr>
          <w:rFonts w:ascii="Arial" w:cs="Arial" w:eastAsia="Arial" w:hAnsi="Arial"/>
        </w:rPr>
        <w:t xml:space="preserve">Troisième forme normale (3FN)</w:t>
      </w:r>
    </w:p>
    <w:p>
      <w:pPr>
        <w:spacing w:after="120"/>
      </w:pPr>
      <w:r>
        <w:rPr>
          <w:rFonts w:ascii="Arial" w:cs="Arial" w:eastAsia="Arial" w:hAnsi="Arial"/>
          <w:sz w:val="21"/>
          <w:szCs w:val="21"/>
        </w:rPr>
        <w:t xml:space="preserve">Une relation est en 3FN si elle est en 2FN et si aucun attribut non clé ne dépend d'un autre attribut non clé (pas de dépendance transitive). Le tableau suivant liste les dépendances fonctionnelles de chaque relation.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500"/>
        <w:gridCol w:w="5560"/>
        <w:gridCol w:w="4900"/>
      </w:tblGrid>
      <w:tr>
        <w:trPr>
          <w:tblHeader/>
        </w:trPr>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Relation</w:t>
            </w:r>
          </w:p>
        </w:tc>
        <w:tc>
          <w:tcPr>
            <w:tcW w:type="dxa" w:w="5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Dépendances fonctionnelles</w:t>
            </w:r>
          </w:p>
        </w:tc>
        <w:tc>
          <w:tcPr>
            <w:tcW w:type="dxa" w:w="4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Commentaire</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categorie</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id_categorie → nom_categorie; nom_categorie → id_categorie</w:t>
            </w:r>
          </w:p>
        </w:tc>
        <w:tc>
          <w:tcPr>
            <w:tcW w:type="dxa" w:w="4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Seules dépendances : vers et depuis des clés.</w:t>
            </w:r>
          </w:p>
        </w:tc>
      </w:tr>
      <w:tr>
        <w:trPr>
          <w:cantSplit/>
        </w:trPr>
        <w:tc>
          <w:tcPr>
            <w:tcW w:type="dxa" w:w="25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statut</w:t>
            </w:r>
          </w:p>
        </w:tc>
        <w:tc>
          <w:tcPr>
            <w:tcW w:type="dxa" w:w="556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id_statut → nom_statut; nom_statut → id_statut</w:t>
            </w:r>
          </w:p>
        </w:tc>
        <w:tc>
          <w:tcPr>
            <w:tcW w:type="dxa" w:w="49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Idem.</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client</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id_client → tous les attributs; courriel_client → tous les attributs</w:t>
            </w:r>
          </w:p>
        </w:tc>
        <w:tc>
          <w:tcPr>
            <w:tcW w:type="dxa" w:w="4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courriel_client est une clé candidate : sa dépendance n'est pas transitive.</w:t>
            </w:r>
          </w:p>
        </w:tc>
      </w:tr>
      <w:tr>
        <w:trPr>
          <w:cantSplit/>
        </w:trPr>
        <w:tc>
          <w:tcPr>
            <w:tcW w:type="dxa" w:w="25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produit</w:t>
            </w:r>
          </w:p>
        </w:tc>
        <w:tc>
          <w:tcPr>
            <w:tcW w:type="dxa" w:w="556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id_produit → nom, prix, coût, quantite_totale, id_categorie</w:t>
            </w:r>
          </w:p>
        </w:tc>
        <w:tc>
          <w:tcPr>
            <w:tcW w:type="dxa" w:w="49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Le nom de la catégorie n'est pas répété : il est atteint par #id_categorie.</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specification_produit</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id_specification_produit → id_produit, specifications; id_produit → id_specification_produit, specifications</w:t>
            </w:r>
          </w:p>
        </w:tc>
        <w:tc>
          <w:tcPr>
            <w:tcW w:type="dxa" w:w="4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id_produit est une clé candidate (UNIQUE).</w:t>
            </w:r>
          </w:p>
        </w:tc>
      </w:tr>
      <w:tr>
        <w:trPr>
          <w:cantSplit/>
        </w:trPr>
        <w:tc>
          <w:tcPr>
            <w:tcW w:type="dxa" w:w="25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reception</w:t>
            </w:r>
          </w:p>
        </w:tc>
        <w:tc>
          <w:tcPr>
            <w:tcW w:type="dxa" w:w="556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id_reception → numero, dates, est_complete; numero_reception → id_reception, …</w:t>
            </w:r>
          </w:p>
        </w:tc>
        <w:tc>
          <w:tcPr>
            <w:tcW w:type="dxa" w:w="49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Voir est_complete (section 4).</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info_reception</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id_info_reception → id_reception, id_produit, quantite_recu; (id_reception, id_produit) → quantite_recu</w:t>
            </w:r>
          </w:p>
        </w:tc>
        <w:tc>
          <w:tcPr>
            <w:tcW w:type="dxa" w:w="4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quantite_recu dépend de la paire complète : ni de la réception seule, ni du produit seul.</w:t>
            </w:r>
          </w:p>
        </w:tc>
      </w:tr>
      <w:tr>
        <w:trPr>
          <w:cantSplit/>
        </w:trPr>
        <w:tc>
          <w:tcPr>
            <w:tcW w:type="dxa" w:w="25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commande</w:t>
            </w:r>
          </w:p>
        </w:tc>
        <w:tc>
          <w:tcPr>
            <w:tcW w:type="dxa" w:w="556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id_commande → date, adresse_livraison, id_client, id_statut</w:t>
            </w:r>
          </w:p>
        </w:tc>
        <w:tc>
          <w:tcPr>
            <w:tcW w:type="dxa" w:w="49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Aucune donnée du client (nom, courriel) n'est copiée ici. adresse_livraison_commande : voir section 4.</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info_commande</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id_info_commande → id_commande, id_produit, quantite, prix_unitaire; (id_commande, id_produit) → quantite, prix_unitaire</w:t>
            </w:r>
          </w:p>
        </w:tc>
        <w:tc>
          <w:tcPr>
            <w:tcW w:type="dxa" w:w="4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Dépendance de la paire complète. prix_unitaire : voir section 4.</w:t>
            </w:r>
          </w:p>
        </w:tc>
      </w:tr>
      <w:tr>
        <w:trPr>
          <w:cantSplit/>
        </w:trPr>
        <w:tc>
          <w:tcPr>
            <w:tcW w:type="dxa" w:w="25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paiement</w:t>
            </w:r>
          </w:p>
        </w:tc>
        <w:tc>
          <w:tcPr>
            <w:tcW w:type="dxa" w:w="556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id_paiement → id_commande, mode, date, montant, est_complete</w:t>
            </w:r>
          </w:p>
        </w:tc>
        <w:tc>
          <w:tcPr>
            <w:tcW w:type="dxa" w:w="49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Pas de id_client : il serait déterminé par id_commande (transitivité id_paiement → id_commande → id_client).</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expedition</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id_expedition → dates, est_complete, camion</w:t>
            </w:r>
          </w:p>
        </w:tc>
        <w:tc>
          <w:tcPr>
            <w:tcW w:type="dxa" w:w="4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Voir est_complete (section 4).</w:t>
            </w:r>
          </w:p>
        </w:tc>
      </w:tr>
      <w:tr>
        <w:trPr>
          <w:cantSplit/>
        </w:trPr>
        <w:tc>
          <w:tcPr>
            <w:tcW w:type="dxa" w:w="25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info_expedition</w:t>
            </w:r>
          </w:p>
        </w:tc>
        <w:tc>
          <w:tcPr>
            <w:tcW w:type="dxa" w:w="556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id_info_expedition → id_info_commande, id_expedition, quantite_expediee; (id_info_commande, id_expedition) → quantite_expediee</w:t>
            </w:r>
          </w:p>
        </w:tc>
        <w:tc>
          <w:tcPr>
            <w:tcW w:type="dxa" w:w="49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La quantité envoyée dépend de la paire ligne-colis complète : ni de la ligne seule (elle peut être répartie), ni du colis seul.</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evaluation</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id_evaluation → id_produit, id_client, note, commentaire, date; (id_produit, id_client) → note, commentaire, date</w:t>
            </w:r>
          </w:p>
        </w:tc>
        <w:tc>
          <w:tcPr>
            <w:tcW w:type="dxa" w:w="4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La note dépend de la paire client-produit complète.</w:t>
            </w:r>
          </w:p>
        </w:tc>
      </w:tr>
      <w:tr>
        <w:trPr>
          <w:cantSplit/>
        </w:trPr>
        <w:tc>
          <w:tcPr>
            <w:tcW w:type="dxa" w:w="25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audit_statut_commande</w:t>
            </w:r>
          </w:p>
        </w:tc>
        <w:tc>
          <w:tcPr>
            <w:tcW w:type="dxa" w:w="556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id_audit_statut_commande → id_commande, operation, ancien_statut, nouveau_statut, date_changement, utilisateur</w:t>
            </w:r>
          </w:p>
        </w:tc>
        <w:tc>
          <w:tcPr>
            <w:tcW w:type="dxa" w:w="49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Chaque ligne est un événement : aucun attribut ne dépend d'un autre attribut non clé. Voir section 4.</w:t>
            </w:r>
          </w:p>
        </w:tc>
      </w:tr>
    </w:tbl>
    <w:p>
      <w:pPr>
        <w:spacing w:after="60"/>
      </w:pPr>
      <w:r>
        <w:rPr>
          <w:rFonts w:ascii="Arial" w:cs="Arial" w:eastAsia="Arial" w:hAnsi="Arial"/>
          <w:sz w:val="21"/>
          <w:szCs w:val="21"/>
        </w:rPr>
        <w:t xml:space="preserve"/>
      </w:r>
    </w:p>
    <w:p>
      <w:pPr>
        <w:spacing w:after="120"/>
      </w:pPr>
      <w:r>
        <w:rPr>
          <w:rFonts w:ascii="Arial" w:cs="Arial" w:eastAsia="Arial" w:hAnsi="Arial"/>
          <w:sz w:val="21"/>
          <w:szCs w:val="21"/>
        </w:rPr>
        <w:t xml:space="preserve">Exemples de dépendances transitives évitées :</w:t>
      </w:r>
    </w:p>
    <w:p>
      <w:pPr>
        <w:pStyle w:val="ListParagraph"/>
        <w:numPr>
          <w:ilvl w:val="0"/>
          <w:numId w:val="2"/>
        </w:numPr>
        <w:spacing w:after="60"/>
      </w:pPr>
      <w:r>
        <w:rPr>
          <w:rFonts w:ascii="Arial" w:cs="Arial" w:eastAsia="Arial" w:hAnsi="Arial"/>
          <w:sz w:val="21"/>
          <w:szCs w:val="21"/>
        </w:rPr>
        <w:t xml:space="preserve">paiement ne contient pas id_client : id_paiement → id_commande → id_client.</w:t>
      </w:r>
    </w:p>
    <w:p>
      <w:pPr>
        <w:pStyle w:val="ListParagraph"/>
        <w:numPr>
          <w:ilvl w:val="0"/>
          <w:numId w:val="2"/>
        </w:numPr>
        <w:spacing w:after="60"/>
      </w:pPr>
      <w:r>
        <w:rPr>
          <w:rFonts w:ascii="Arial" w:cs="Arial" w:eastAsia="Arial" w:hAnsi="Arial"/>
          <w:sz w:val="21"/>
          <w:szCs w:val="21"/>
        </w:rPr>
        <w:t xml:space="preserve">commande ne contient ni nom ni courriel du client, et produit ne contient pas le nom de la catégorie : ils sont atteints par clé étrangère.</w:t>
      </w:r>
    </w:p>
    <w:p>
      <w:pPr>
        <w:pStyle w:val="ListParagraph"/>
        <w:numPr>
          <w:ilvl w:val="0"/>
          <w:numId w:val="2"/>
        </w:numPr>
        <w:spacing w:after="60"/>
      </w:pPr>
      <w:r>
        <w:rPr>
          <w:rFonts w:ascii="Arial" w:cs="Arial" w:eastAsia="Arial" w:hAnsi="Arial"/>
          <w:sz w:val="21"/>
          <w:szCs w:val="21"/>
        </w:rPr>
        <w:t xml:space="preserve">Le total d'une commande n'est pas stocké : il se calcule à partir de ses lignes (somme de quantite × prix_unitaire).</w:t>
      </w:r>
    </w:p>
    <w:p>
      <w:pPr>
        <w:pStyle w:val="ListParagraph"/>
        <w:numPr>
          <w:ilvl w:val="0"/>
          <w:numId w:val="2"/>
        </w:numPr>
        <w:spacing w:after="60"/>
      </w:pPr>
      <w:r>
        <w:rPr>
          <w:rFonts w:ascii="Arial" w:cs="Arial" w:eastAsia="Arial" w:hAnsi="Arial"/>
          <w:sz w:val="21"/>
          <w:szCs w:val="21"/>
        </w:rPr>
        <w:t xml:space="preserve">La quantité entrante d'un produit (attendue, pas encore reçue) n'est pas stockée dans produit : elle se calcule à partir des réceptions non complétées. Elle sera exposée par une vue.</w:t>
      </w:r>
    </w:p>
    <w:p>
      <w:pPr>
        <w:pStyle w:val="Heading1"/>
      </w:pPr>
      <w:r>
        <w:rPr>
          <w:rFonts w:ascii="Arial" w:cs="Arial" w:eastAsia="Arial" w:hAnsi="Arial"/>
        </w:rPr>
        <w:t xml:space="preserve">4. Cas particuliers</w:t>
      </w:r>
    </w:p>
    <w:p>
      <w:pPr>
        <w:pStyle w:val="Heading2"/>
      </w:pPr>
      <w:r>
        <w:rPr>
          <w:rFonts w:ascii="Arial" w:cs="Arial" w:eastAsia="Arial" w:hAnsi="Arial"/>
        </w:rPr>
        <w:t xml:space="preserve">Valeurs figées : pas des violations</w:t>
      </w:r>
    </w:p>
    <w:p>
      <w:pPr>
        <w:spacing w:after="120"/>
      </w:pPr>
      <w:r>
        <w:rPr>
          <w:rFonts w:ascii="Consolas" w:cs="Consolas" w:eastAsia="Consolas" w:hAnsi="Consolas"/>
          <w:sz w:val="19"/>
          <w:szCs w:val="19"/>
        </w:rPr>
        <w:t xml:space="preserve">info_commande.prix_unitaire</w:t>
      </w:r>
      <w:r>
        <w:rPr>
          <w:rFonts w:ascii="Arial" w:cs="Arial" w:eastAsia="Arial" w:hAnsi="Arial"/>
          <w:sz w:val="21"/>
          <w:szCs w:val="21"/>
        </w:rPr>
        <w:t xml:space="preserve"> et </w:t>
      </w:r>
      <w:r>
        <w:rPr>
          <w:rFonts w:ascii="Consolas" w:cs="Consolas" w:eastAsia="Consolas" w:hAnsi="Consolas"/>
          <w:sz w:val="19"/>
          <w:szCs w:val="19"/>
        </w:rPr>
        <w:t xml:space="preserve">commande.adresse_livraison_commande</w:t>
      </w:r>
      <w:r>
        <w:rPr>
          <w:rFonts w:ascii="Arial" w:cs="Arial" w:eastAsia="Arial" w:hAnsi="Arial"/>
          <w:sz w:val="21"/>
          <w:szCs w:val="21"/>
        </w:rPr>
        <w:t xml:space="preserve"> ressemblent à des copies de </w:t>
      </w:r>
      <w:r>
        <w:rPr>
          <w:rFonts w:ascii="Consolas" w:cs="Consolas" w:eastAsia="Consolas" w:hAnsi="Consolas"/>
          <w:sz w:val="19"/>
          <w:szCs w:val="19"/>
        </w:rPr>
        <w:t xml:space="preserve">produit.prix_produit</w:t>
      </w:r>
      <w:r>
        <w:rPr>
          <w:rFonts w:ascii="Arial" w:cs="Arial" w:eastAsia="Arial" w:hAnsi="Arial"/>
          <w:sz w:val="21"/>
          <w:szCs w:val="21"/>
        </w:rPr>
        <w:t xml:space="preserve"> et </w:t>
      </w:r>
      <w:r>
        <w:rPr>
          <w:rFonts w:ascii="Consolas" w:cs="Consolas" w:eastAsia="Consolas" w:hAnsi="Consolas"/>
          <w:sz w:val="19"/>
          <w:szCs w:val="19"/>
        </w:rPr>
        <w:t xml:space="preserve">client.adresse_client</w:t>
      </w:r>
      <w:r>
        <w:rPr>
          <w:rFonts w:ascii="Arial" w:cs="Arial" w:eastAsia="Arial" w:hAnsi="Arial"/>
          <w:sz w:val="21"/>
          <w:szCs w:val="21"/>
        </w:rPr>
        <w:t xml:space="preserve">, mais ce sont des faits différents : le prix et l'adresse au moment de la commande. Ils ne peuvent pas être déduits des valeurs actuelles, qui changent avec le temps. Les stocker est nécessaire pour ne pas réécrire l'historique; ce n'est donc pas une redondance.</w:t>
      </w:r>
    </w:p>
    <w:p>
      <w:pPr>
        <w:spacing w:after="120"/>
      </w:pPr>
      <w:r>
        <w:rPr>
          <w:rFonts w:ascii="Arial" w:cs="Arial" w:eastAsia="Arial" w:hAnsi="Arial"/>
          <w:sz w:val="21"/>
          <w:szCs w:val="21"/>
        </w:rPr>
        <w:t xml:space="preserve">Les noms de statut copiés dans </w:t>
      </w:r>
      <w:r>
        <w:rPr>
          <w:rFonts w:ascii="Consolas" w:cs="Consolas" w:eastAsia="Consolas" w:hAnsi="Consolas"/>
          <w:sz w:val="19"/>
          <w:szCs w:val="19"/>
        </w:rPr>
        <w:t xml:space="preserve">audit_statut_commande</w:t>
      </w:r>
      <w:r>
        <w:rPr>
          <w:rFonts w:ascii="Arial" w:cs="Arial" w:eastAsia="Arial" w:hAnsi="Arial"/>
          <w:sz w:val="21"/>
          <w:szCs w:val="21"/>
        </w:rPr>
        <w:t xml:space="preserve"> suivent le même principe : ce sont les valeurs au moment du changement. Stocker l'identifiant (id_statut) créerait une dépendance vers la table statut; si un statut était renommé ou supprimé, l'historique changerait de sens ou deviendrait illisible.</w:t>
      </w:r>
    </w:p>
    <w:p>
      <w:pPr>
        <w:pStyle w:val="Heading2"/>
      </w:pPr>
      <w:r>
        <w:rPr>
          <w:rFonts w:ascii="Arial" w:cs="Arial" w:eastAsia="Arial" w:hAnsi="Arial"/>
        </w:rPr>
        <w:t xml:space="preserve">Table d'audit sans clé étrangère</w:t>
      </w:r>
    </w:p>
    <w:p>
      <w:pPr>
        <w:spacing w:after="120"/>
      </w:pPr>
      <w:r>
        <w:rPr>
          <w:rFonts w:ascii="Consolas" w:cs="Consolas" w:eastAsia="Consolas" w:hAnsi="Consolas"/>
          <w:sz w:val="19"/>
          <w:szCs w:val="19"/>
        </w:rPr>
        <w:t xml:space="preserve">audit_statut_commande.id_commande</w:t>
      </w:r>
      <w:r>
        <w:rPr>
          <w:rFonts w:ascii="Arial" w:cs="Arial" w:eastAsia="Arial" w:hAnsi="Arial"/>
          <w:sz w:val="21"/>
          <w:szCs w:val="21"/>
        </w:rPr>
        <w:t xml:space="preserve"> n'est volontairement pas une clé étrangère. Avec une FK, soit une commande auditée ne pourrait plus être supprimée, soit son historique serait effacé avec elle (ON DELETE CASCADE). Or la suppression d'une commande est justement un événement à conserver. La table est alimentée uniquement par le déclencheur trg_audit_statut_commande, qui garantit que chaque id_commande correspond à une commande existante au moment de l'événement.</w:t>
      </w:r>
    </w:p>
    <w:p>
      <w:pPr>
        <w:pStyle w:val="Heading2"/>
      </w:pPr>
      <w:r>
        <w:rPr>
          <w:rFonts w:ascii="Arial" w:cs="Arial" w:eastAsia="Arial" w:hAnsi="Arial"/>
        </w:rPr>
        <w:t xml:space="preserve">Dénormalisations volontaires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700"/>
        <w:gridCol w:w="3160"/>
      </w:tblGrid>
      <w:tr>
        <w:trPr>
          <w:tblHeader/>
        </w:trPr>
        <w:tc>
          <w:tcPr>
            <w:tcW w:type="dxa" w:w="2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Attribut</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Pourquoi c'est une donnée déductible</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Pourquoi on la garde</w:t>
            </w:r>
          </w:p>
        </w:tc>
        <w:tc>
          <w:tcPr>
            <w:tcW w:type="dxa" w:w="31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Comment la cohérence est garantie</w:t>
            </w:r>
          </w:p>
        </w:tc>
      </w:tr>
      <w:tr>
        <w:trPr>
          <w:cantSplit/>
        </w:trP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produit.quantite_totale_produit</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Le stock pourrait se calculer : stock initial + somme des quantités reçues (réceptions complétées) − somme des quantités vendues.</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Lu à chaque commande : un calcul sur tout l'historique serait coûteux. Une seule ligne permet de verrouiller le stock (SELECT … FOR UPDATE) et d'empêcher deux ventes simultanées du dernier article. Le stock initial n'est pas historisé.</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Maintenu uniquement par déclencheurs : trg_maj_stock_produit (ventes), trg_maj_stock_reception (réceptions). Les réceptions validées sont figées (trg_proteger_reception, trg_proteger_info_reception). CHECK (quantite_totale_produit &gt;= 0).</w:t>
            </w:r>
          </w:p>
        </w:tc>
      </w:tr>
      <w:tr>
        <w:trPr>
          <w:cantSplit/>
        </w:trPr>
        <w:tc>
          <w:tcPr>
            <w:tcW w:type="dxa" w:w="27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est_complete (paiement, expedition, reception)</w:t>
            </w:r>
          </w:p>
        </w:tc>
        <w:tc>
          <w:tcPr>
            <w:tcW w:type="dxa" w:w="34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L'état complété se déduit de la présence de la date correspondante (date_paiement, date_complete_expedition, date_complete_reception).</w:t>
            </w:r>
          </w:p>
        </w:tc>
        <w:tc>
          <w:tcPr>
            <w:tcW w:type="dxa" w:w="370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Lisibilité des requêtes et de l'application (WHERE est_complete) et intention explicite de la validation, qui déclenche la mise à jour du stock pour une réception.</w:t>
            </w:r>
          </w:p>
        </w:tc>
        <w:tc>
          <w:tcPr>
            <w:tcW w:type="dxa" w:w="3160"/>
            <w:tcBorders>
              <w:top w:val="single" w:color="A6A6A6" w:sz="4"/>
              <w:left w:val="single" w:color="A6A6A6" w:sz="4"/>
              <w:bottom w:val="single" w:color="A6A6A6" w:sz="4"/>
              <w:right w:val="single" w:color="A6A6A6" w:sz="4"/>
            </w:tcBorders>
            <w:shd w:fill="F2F5FA"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CHECK de cohérence dans chaque table : est_complete = FALSE OR date IS NOT NULL.</w:t>
            </w:r>
          </w:p>
        </w:tc>
      </w:tr>
    </w:tbl>
    <w:p>
      <w:pPr>
        <w:pStyle w:val="Heading2"/>
      </w:pPr>
      <w:r>
        <w:rPr>
          <w:rFonts w:ascii="Arial" w:cs="Arial" w:eastAsia="Arial" w:hAnsi="Arial"/>
        </w:rPr>
        <w:t xml:space="preserve">Relation 1 à 1 produit – specification_produit</w:t>
      </w:r>
    </w:p>
    <w:p>
      <w:pPr>
        <w:spacing w:after="120"/>
      </w:pPr>
      <w:r>
        <w:rPr>
          <w:rFonts w:ascii="Arial" w:cs="Arial" w:eastAsia="Arial" w:hAnsi="Arial"/>
          <w:sz w:val="21"/>
          <w:szCs w:val="21"/>
        </w:rPr>
        <w:t xml:space="preserve">Les spécifications auraient pu être une colonne de produit sans enfreindre la 3FN (elles dépendent uniquement du produit). Elles sont isolées dans une table séparée; l'unicité de id_produit garantit la relation 1 à 1, et la séparation ne crée aucune dépendance transitive.</w:t>
      </w:r>
    </w:p>
    <w:p>
      <w:pPr>
        <w:pStyle w:val="Heading1"/>
      </w:pPr>
      <w:r>
        <w:rPr>
          <w:rFonts w:ascii="Arial" w:cs="Arial" w:eastAsia="Arial" w:hAnsi="Arial"/>
        </w:rPr>
        <w:t xml:space="preserve">5. Répartition d'une ligne sur plusieurs colis</w:t>
      </w:r>
    </w:p>
    <w:p>
      <w:pPr>
        <w:spacing w:after="120"/>
      </w:pPr>
      <w:r>
        <w:rPr>
          <w:rFonts w:ascii="Arial" w:cs="Arial" w:eastAsia="Arial" w:hAnsi="Arial"/>
          <w:sz w:val="21"/>
          <w:szCs w:val="21"/>
        </w:rPr>
        <w:t xml:space="preserve">Une ligne de commande peut être expédiée en plusieurs colis (par exemple 2 laptops sur 3, puis le dernier plus tard). La quantité envoyée est donc portée par </w:t>
      </w:r>
      <w:r>
        <w:rPr>
          <w:rFonts w:ascii="Consolas" w:cs="Consolas" w:eastAsia="Consolas" w:hAnsi="Consolas"/>
          <w:sz w:val="19"/>
          <w:szCs w:val="19"/>
        </w:rPr>
        <w:t xml:space="preserve">info_expedition.quantite_expediee</w:t>
      </w:r>
      <w:r>
        <w:rPr>
          <w:rFonts w:ascii="Arial" w:cs="Arial" w:eastAsia="Arial" w:hAnsi="Arial"/>
          <w:sz w:val="21"/>
          <w:szCs w:val="21"/>
        </w:rPr>
        <w:t xml:space="preserve">, qui dépend de la paire (ligne, colis). La règle « la somme expédiée ne dépasse pas la quantité commandée » porte sur plusieurs lignes : un CHECK ne peut pas l'exprimer. Elle est garantie par deux déclencheurs, trg_valider_quantite_expediee (sur info_expedition) et trg_proteger_quantite_commandee (sur info_commande). La quantité restant à expédier n'est pas stockée : elle se calcule (quantite − somme de quantite_expediee).</w:t>
      </w:r>
    </w:p>
    <w:sectPr>
      <w:footerReference w:type="default" r:id="rId7"/>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Schéma relationnel et 3FN – TP1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100" w:before="20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2026-09-18T16:34:41.869Z</dcterms:created>
  <dcterms:modified xsi:type="dcterms:W3CDTF">2026-09-18T16:34:41.869Z</dcterms:modified>
</cp:coreProperties>
</file>

<file path=docProps/custom.xml><?xml version="1.0" encoding="utf-8"?>
<Properties xmlns="http://schemas.openxmlformats.org/officeDocument/2006/custom-properties" xmlns:vt="http://schemas.openxmlformats.org/officeDocument/2006/docPropsVTypes"/>
</file>