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7F5A" w14:textId="77777777" w:rsidR="00334929" w:rsidRPr="00334929" w:rsidRDefault="00334929" w:rsidP="00334929">
      <w:pPr>
        <w:pStyle w:val="Title"/>
      </w:pPr>
      <w:r w:rsidRPr="00334929">
        <w:t>NIKE, Inc. – Financial Position Assessment</w:t>
      </w:r>
    </w:p>
    <w:p w14:paraId="5EA997BB" w14:textId="77777777" w:rsidR="00334929" w:rsidRPr="00334929" w:rsidRDefault="00334929" w:rsidP="00334929">
      <w:pPr>
        <w:rPr>
          <w:sz w:val="22"/>
        </w:rPr>
      </w:pPr>
      <w:r w:rsidRPr="00334929">
        <w:rPr>
          <w:sz w:val="22"/>
        </w:rPr>
        <w:t>As of May 31, 2025 (End of Fiscal Year 2025)</w:t>
      </w:r>
    </w:p>
    <w:p w14:paraId="2B2EBA79" w14:textId="2652A7EA" w:rsidR="00334929" w:rsidRPr="00334929" w:rsidRDefault="00334929" w:rsidP="00334929">
      <w:pPr>
        <w:rPr>
          <w:sz w:val="22"/>
        </w:rPr>
      </w:pPr>
      <w:r w:rsidRPr="00334929">
        <w:rPr>
          <w:sz w:val="22"/>
        </w:rPr>
        <w:t>NIKE enter</w:t>
      </w:r>
      <w:r w:rsidR="00A4177D">
        <w:rPr>
          <w:sz w:val="22"/>
        </w:rPr>
        <w:t>ed</w:t>
      </w:r>
      <w:r w:rsidRPr="00334929">
        <w:rPr>
          <w:sz w:val="22"/>
        </w:rPr>
        <w:t xml:space="preserve"> the second half of 2025 with a balance sheet that remains one of the strongest in consumer goods, yet with clear evidence of operating and shareholder-value strain that has intensified over the past three years.</w:t>
      </w:r>
    </w:p>
    <w:p w14:paraId="3AB4901F" w14:textId="67017189" w:rsidR="00334929" w:rsidRPr="00334929" w:rsidRDefault="00334929" w:rsidP="00334929">
      <w:pPr>
        <w:rPr>
          <w:sz w:val="22"/>
        </w:rPr>
      </w:pPr>
      <w:r w:rsidRPr="00334929">
        <w:rPr>
          <w:sz w:val="22"/>
        </w:rPr>
        <w:t xml:space="preserve">The company continues to finance itself almost entirely with equity. At the end of May 2025, the market value of common equity stood at approximately $177 billion, representing over 96% of total firm value. Long-term debt carried a fair value of only $6.7 billion, giving NIKE one of the lowest leverage ratios among large-cap peers. This ultra-conservative capital structure, while providing </w:t>
      </w:r>
      <w:r w:rsidR="00A4177D" w:rsidRPr="00334929">
        <w:rPr>
          <w:sz w:val="22"/>
        </w:rPr>
        <w:t>huge</w:t>
      </w:r>
      <w:r w:rsidRPr="00334929">
        <w:rPr>
          <w:sz w:val="22"/>
        </w:rPr>
        <w:t xml:space="preserve"> financial flexibility and virtually no refinancing risk, comes at a cost: a weighted average cost of capital of 10.0</w:t>
      </w:r>
      <w:r w:rsidR="00A4177D">
        <w:rPr>
          <w:sz w:val="22"/>
        </w:rPr>
        <w:t>5</w:t>
      </w:r>
      <w:r w:rsidRPr="00334929">
        <w:rPr>
          <w:sz w:val="22"/>
        </w:rPr>
        <w:t>%. Because nearly all capital is equity, the company effectively pays the full cost of equity (estimated at 10.28% using the CAPM with a risk-free rate of 4.40%, a beta of 1.26, and a market risk premium of 4.67%) with almost no offset from cheap after-tax debt. The low debt burden delivers negligible tax-shield benefits and keeps the overall hurdle rate for new investments unusually high for a mature consumer staple.</w:t>
      </w:r>
    </w:p>
    <w:p w14:paraId="3C09B8C6" w14:textId="5D9E2715" w:rsidR="00334929" w:rsidRPr="00334929" w:rsidRDefault="00334929" w:rsidP="00334929">
      <w:pPr>
        <w:rPr>
          <w:sz w:val="22"/>
        </w:rPr>
      </w:pPr>
      <w:r w:rsidRPr="00334929">
        <w:rPr>
          <w:sz w:val="22"/>
        </w:rPr>
        <w:t xml:space="preserve">That high hurdle rate proved decisive in the recent evaluation of a proposed five-year product-line expansion. The project required an initial $30 million capital outlay plus $2 </w:t>
      </w:r>
      <w:proofErr w:type="gramStart"/>
      <w:r w:rsidRPr="00334929">
        <w:rPr>
          <w:sz w:val="22"/>
        </w:rPr>
        <w:t>million of</w:t>
      </w:r>
      <w:proofErr w:type="gramEnd"/>
      <w:r w:rsidRPr="00334929">
        <w:rPr>
          <w:sz w:val="22"/>
        </w:rPr>
        <w:t xml:space="preserve"> working capital, with sales starting at $35 million and growing 7.5% annually. Even after incorporating MACRS depreciation, a $5 million salvage value, and full recovery of working capital, the initiative generated a deeply negative net present value of approximately -$16.5 million when discounted at the risk-adjusted required return of 12.05% (company WACC plus a 2% premium for new-product risk). Both the internal rate of return and modified internal rate of return were negative, leading to a clear recommendation to reject the project. This outcome underscores how NIKE’s equity-heavy cost of capital, combined with currently </w:t>
      </w:r>
      <w:r w:rsidR="00442028" w:rsidRPr="00334929">
        <w:rPr>
          <w:sz w:val="22"/>
        </w:rPr>
        <w:t>weakened</w:t>
      </w:r>
      <w:r w:rsidRPr="00334929">
        <w:rPr>
          <w:sz w:val="22"/>
        </w:rPr>
        <w:t xml:space="preserve"> operating margins, makes value-creating growth difficult to achieve.</w:t>
      </w:r>
    </w:p>
    <w:p w14:paraId="5C0250A8" w14:textId="3157BA5F" w:rsidR="00334929" w:rsidRPr="00334929" w:rsidRDefault="00334929" w:rsidP="00334929">
      <w:pPr>
        <w:rPr>
          <w:sz w:val="22"/>
        </w:rPr>
      </w:pPr>
      <w:r w:rsidRPr="00334929">
        <w:rPr>
          <w:sz w:val="22"/>
        </w:rPr>
        <w:t xml:space="preserve">Profitability deteriorated sharply in fiscal 2025. Net income fell to $3.22 billion from $5.70 billion the prior year, driving return on assets down to 8.8% from 15.0% and return on equity down to 24.4% from 39.5%. DuPont analysis shows the collapse was driven primarily by the </w:t>
      </w:r>
      <w:r w:rsidR="00442028" w:rsidRPr="00334929">
        <w:rPr>
          <w:sz w:val="22"/>
        </w:rPr>
        <w:t>drop</w:t>
      </w:r>
      <w:r w:rsidRPr="00334929">
        <w:rPr>
          <w:sz w:val="22"/>
        </w:rPr>
        <w:t xml:space="preserve"> in operating efficiency rather than changes in financial leverage, although a modest increase in the equity multiplier from 2.64 to 2.77 did provide some cushion. Liquidity, while still comfortable</w:t>
      </w:r>
      <w:r>
        <w:rPr>
          <w:sz w:val="22"/>
        </w:rPr>
        <w:t xml:space="preserve"> (</w:t>
      </w:r>
      <w:r w:rsidRPr="00334929">
        <w:rPr>
          <w:sz w:val="22"/>
        </w:rPr>
        <w:t>current ratio above 2.2 and quick ratio of 1.5</w:t>
      </w:r>
      <w:r>
        <w:rPr>
          <w:sz w:val="22"/>
        </w:rPr>
        <w:t xml:space="preserve">) </w:t>
      </w:r>
      <w:r w:rsidRPr="00334929">
        <w:rPr>
          <w:sz w:val="22"/>
        </w:rPr>
        <w:t>has trended downward for three consecutive years, reflecting lower cash balances and slower inventory turnover amid softer demand.</w:t>
      </w:r>
    </w:p>
    <w:p w14:paraId="5FDD16DE" w14:textId="77777777" w:rsidR="00334929" w:rsidRPr="00334929" w:rsidRDefault="00334929" w:rsidP="00334929">
      <w:pPr>
        <w:rPr>
          <w:sz w:val="22"/>
        </w:rPr>
      </w:pPr>
      <w:r w:rsidRPr="00334929">
        <w:rPr>
          <w:sz w:val="22"/>
        </w:rPr>
        <w:t>From a shareholder perspective, the past three years have been painful. Between May 2022 and April 2025, NIKE delivered a cumulative total return of approximately -50%, compared with a +41% gain for the S&amp;P 500. The stock exhibited both high total volatility (roughly twice the market) and systematic risk (beta 1.26), yet produced negative excess returns, resulting in a strongly negative Treynor ratio. In simple terms, investors took above-market risk and were punished for it.</w:t>
      </w:r>
    </w:p>
    <w:p w14:paraId="3FC33AAF" w14:textId="77777777" w:rsidR="00334929" w:rsidRPr="00334929" w:rsidRDefault="00334929" w:rsidP="00334929">
      <w:pPr>
        <w:rPr>
          <w:sz w:val="22"/>
        </w:rPr>
      </w:pPr>
      <w:r w:rsidRPr="00334929">
        <w:rPr>
          <w:sz w:val="22"/>
        </w:rPr>
        <w:t>Despite these challenges, NIKE retains important structural advantages. Net debt is essentially zero, liquidity remains more than adequate for any foreseeable need, and the global brand continues to command pricing power that few competitors can match. The current sustainable growth rate of 7.5% (and internal growth rate of only 2.6%) indicates the company can still expand modestly without issuing new equity, provided profitability stabilizes.</w:t>
      </w:r>
    </w:p>
    <w:p w14:paraId="3FAF24F7" w14:textId="29E8E65C" w:rsidR="00334929" w:rsidRPr="00334929" w:rsidRDefault="00334929" w:rsidP="00334929">
      <w:pPr>
        <w:rPr>
          <w:sz w:val="22"/>
        </w:rPr>
      </w:pPr>
      <w:r w:rsidRPr="00334929">
        <w:rPr>
          <w:sz w:val="22"/>
        </w:rPr>
        <w:t xml:space="preserve">In summary, as of the close of fiscal 2025, NIKE is financially healthy but operationally wounded. The fortress balance sheet buys time and optionality, but the combination of a high cost of equity, falling </w:t>
      </w:r>
      <w:r w:rsidRPr="00334929">
        <w:rPr>
          <w:sz w:val="22"/>
        </w:rPr>
        <w:lastRenderedPageBreak/>
        <w:t>returns on capital, and a recent track record of value-destroying stock performance signals that management must deliver a credible margin-recovery and capital-allocation improvement story before the market is likely to reward the shares again. Until operating momentum clearly turns, new investments</w:t>
      </w:r>
      <w:r>
        <w:rPr>
          <w:sz w:val="22"/>
        </w:rPr>
        <w:t xml:space="preserve"> (</w:t>
      </w:r>
      <w:r w:rsidRPr="00334929">
        <w:rPr>
          <w:sz w:val="22"/>
        </w:rPr>
        <w:t>both internal projects and external acquisitions</w:t>
      </w:r>
      <w:r>
        <w:rPr>
          <w:sz w:val="22"/>
        </w:rPr>
        <w:t xml:space="preserve">) </w:t>
      </w:r>
      <w:r w:rsidRPr="00334929">
        <w:rPr>
          <w:sz w:val="22"/>
        </w:rPr>
        <w:t>will face an appropriately high bar.</w:t>
      </w:r>
    </w:p>
    <w:p w14:paraId="3F0F22AF" w14:textId="77777777" w:rsidR="00784434" w:rsidRPr="00334929" w:rsidRDefault="00784434">
      <w:pPr>
        <w:rPr>
          <w:sz w:val="22"/>
        </w:rPr>
      </w:pPr>
    </w:p>
    <w:sectPr w:rsidR="00784434" w:rsidRPr="003349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29244E"/>
    <w:multiLevelType w:val="hybridMultilevel"/>
    <w:tmpl w:val="624C7F4C"/>
    <w:lvl w:ilvl="0" w:tplc="A2D2D58E">
      <w:start w:val="1"/>
      <w:numFmt w:val="decimal"/>
      <w:pStyle w:val="Heading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3895776">
    <w:abstractNumId w:val="0"/>
  </w:num>
  <w:num w:numId="2" w16cid:durableId="1520922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4929"/>
    <w:rsid w:val="00024A3D"/>
    <w:rsid w:val="001A5C32"/>
    <w:rsid w:val="001F5B17"/>
    <w:rsid w:val="00334929"/>
    <w:rsid w:val="00356D84"/>
    <w:rsid w:val="00426EC3"/>
    <w:rsid w:val="00442028"/>
    <w:rsid w:val="007566AC"/>
    <w:rsid w:val="00784434"/>
    <w:rsid w:val="00790A8B"/>
    <w:rsid w:val="008E29D5"/>
    <w:rsid w:val="00A4177D"/>
    <w:rsid w:val="00CE20B4"/>
    <w:rsid w:val="00D96BBF"/>
    <w:rsid w:val="00F8271A"/>
    <w:rsid w:val="00FA4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54961"/>
  <w15:chartTrackingRefBased/>
  <w15:docId w15:val="{A30CC167-2336-4DA1-B2F5-B29531B90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17"/>
    <w:rPr>
      <w:rFonts w:ascii="Times New Roman" w:hAnsi="Times New Roman"/>
      <w:sz w:val="24"/>
    </w:rPr>
  </w:style>
  <w:style w:type="paragraph" w:styleId="Heading1">
    <w:name w:val="heading 1"/>
    <w:basedOn w:val="Normal"/>
    <w:next w:val="Normal"/>
    <w:link w:val="Heading1Char"/>
    <w:autoRedefine/>
    <w:uiPriority w:val="9"/>
    <w:qFormat/>
    <w:rsid w:val="00356D84"/>
    <w:pPr>
      <w:keepNext/>
      <w:keepLines/>
      <w:spacing w:before="360" w:after="80"/>
      <w:outlineLvl w:val="0"/>
    </w:pPr>
    <w:rPr>
      <w:rFonts w:eastAsiaTheme="majorEastAsia" w:cstheme="majorBidi"/>
      <w:color w:val="2F5496" w:themeColor="accent1" w:themeShade="BF"/>
      <w:sz w:val="32"/>
      <w:szCs w:val="40"/>
    </w:rPr>
  </w:style>
  <w:style w:type="paragraph" w:styleId="Heading2">
    <w:name w:val="heading 2"/>
    <w:basedOn w:val="Normal"/>
    <w:next w:val="Normal"/>
    <w:link w:val="Heading2Char"/>
    <w:autoRedefine/>
    <w:uiPriority w:val="9"/>
    <w:unhideWhenUsed/>
    <w:qFormat/>
    <w:rsid w:val="00FA42AB"/>
    <w:pPr>
      <w:keepNext/>
      <w:keepLines/>
      <w:numPr>
        <w:numId w:val="1"/>
      </w:numPr>
      <w:spacing w:before="160" w:after="80"/>
      <w:outlineLvl w:val="1"/>
    </w:pPr>
    <w:rPr>
      <w:rFonts w:eastAsiaTheme="majorEastAsia" w:cstheme="majorBidi"/>
      <w:color w:val="2F5496" w:themeColor="accent1" w:themeShade="BF"/>
      <w:sz w:val="28"/>
      <w:szCs w:val="32"/>
    </w:rPr>
  </w:style>
  <w:style w:type="paragraph" w:styleId="Heading3">
    <w:name w:val="heading 3"/>
    <w:basedOn w:val="Normal"/>
    <w:next w:val="Normal"/>
    <w:link w:val="Heading3Char"/>
    <w:autoRedefine/>
    <w:uiPriority w:val="9"/>
    <w:unhideWhenUsed/>
    <w:qFormat/>
    <w:rsid w:val="00FA42AB"/>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33492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3492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3492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492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492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492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356D84"/>
    <w:pPr>
      <w:spacing w:after="80" w:line="240" w:lineRule="auto"/>
      <w:contextualSpacing/>
      <w:jc w:val="center"/>
    </w:pPr>
    <w:rPr>
      <w:rFonts w:eastAsiaTheme="majorEastAsia" w:cstheme="majorBidi"/>
      <w:spacing w:val="-10"/>
      <w:kern w:val="28"/>
      <w:sz w:val="40"/>
      <w:szCs w:val="56"/>
    </w:rPr>
  </w:style>
  <w:style w:type="character" w:customStyle="1" w:styleId="TitleChar">
    <w:name w:val="Title Char"/>
    <w:basedOn w:val="DefaultParagraphFont"/>
    <w:link w:val="Title"/>
    <w:uiPriority w:val="10"/>
    <w:rsid w:val="00356D84"/>
    <w:rPr>
      <w:rFonts w:ascii="Times New Roman" w:eastAsiaTheme="majorEastAsia" w:hAnsi="Times New Roman" w:cstheme="majorBidi"/>
      <w:spacing w:val="-10"/>
      <w:kern w:val="28"/>
      <w:sz w:val="40"/>
      <w:szCs w:val="56"/>
    </w:rPr>
  </w:style>
  <w:style w:type="character" w:customStyle="1" w:styleId="Heading1Char">
    <w:name w:val="Heading 1 Char"/>
    <w:basedOn w:val="DefaultParagraphFont"/>
    <w:link w:val="Heading1"/>
    <w:uiPriority w:val="9"/>
    <w:rsid w:val="00356D84"/>
    <w:rPr>
      <w:rFonts w:ascii="Times New Roman" w:eastAsiaTheme="majorEastAsia" w:hAnsi="Times New Roman" w:cstheme="majorBidi"/>
      <w:color w:val="2F5496" w:themeColor="accent1" w:themeShade="BF"/>
      <w:sz w:val="32"/>
      <w:szCs w:val="40"/>
    </w:rPr>
  </w:style>
  <w:style w:type="character" w:customStyle="1" w:styleId="Heading2Char">
    <w:name w:val="Heading 2 Char"/>
    <w:basedOn w:val="DefaultParagraphFont"/>
    <w:link w:val="Heading2"/>
    <w:uiPriority w:val="9"/>
    <w:rsid w:val="00FA42AB"/>
    <w:rPr>
      <w:rFonts w:ascii="Times New Roman" w:eastAsiaTheme="majorEastAsia" w:hAnsi="Times New Roman" w:cstheme="majorBidi"/>
      <w:color w:val="2F5496" w:themeColor="accent1" w:themeShade="BF"/>
      <w:sz w:val="28"/>
      <w:szCs w:val="32"/>
    </w:rPr>
  </w:style>
  <w:style w:type="character" w:customStyle="1" w:styleId="Heading3Char">
    <w:name w:val="Heading 3 Char"/>
    <w:basedOn w:val="DefaultParagraphFont"/>
    <w:link w:val="Heading3"/>
    <w:uiPriority w:val="9"/>
    <w:rsid w:val="00FA42AB"/>
    <w:rPr>
      <w:rFonts w:eastAsiaTheme="majorEastAs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334929"/>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334929"/>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33492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33492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33492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334929"/>
    <w:rPr>
      <w:rFonts w:eastAsiaTheme="majorEastAsia" w:cstheme="majorBidi"/>
      <w:color w:val="272727" w:themeColor="text1" w:themeTint="D8"/>
      <w:sz w:val="24"/>
    </w:rPr>
  </w:style>
  <w:style w:type="paragraph" w:styleId="Subtitle">
    <w:name w:val="Subtitle"/>
    <w:basedOn w:val="Normal"/>
    <w:next w:val="Normal"/>
    <w:link w:val="SubtitleChar"/>
    <w:uiPriority w:val="11"/>
    <w:qFormat/>
    <w:rsid w:val="0033492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4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4929"/>
    <w:pPr>
      <w:spacing w:before="160"/>
      <w:jc w:val="center"/>
    </w:pPr>
    <w:rPr>
      <w:i/>
      <w:iCs/>
      <w:color w:val="404040" w:themeColor="text1" w:themeTint="BF"/>
    </w:rPr>
  </w:style>
  <w:style w:type="character" w:customStyle="1" w:styleId="QuoteChar">
    <w:name w:val="Quote Char"/>
    <w:basedOn w:val="DefaultParagraphFont"/>
    <w:link w:val="Quote"/>
    <w:uiPriority w:val="29"/>
    <w:rsid w:val="00334929"/>
    <w:rPr>
      <w:rFonts w:ascii="Times New Roman" w:hAnsi="Times New Roman"/>
      <w:i/>
      <w:iCs/>
      <w:color w:val="404040" w:themeColor="text1" w:themeTint="BF"/>
      <w:sz w:val="24"/>
    </w:rPr>
  </w:style>
  <w:style w:type="paragraph" w:styleId="ListParagraph">
    <w:name w:val="List Paragraph"/>
    <w:basedOn w:val="Normal"/>
    <w:uiPriority w:val="34"/>
    <w:qFormat/>
    <w:rsid w:val="00334929"/>
    <w:pPr>
      <w:ind w:left="720"/>
      <w:contextualSpacing/>
    </w:pPr>
  </w:style>
  <w:style w:type="character" w:styleId="IntenseEmphasis">
    <w:name w:val="Intense Emphasis"/>
    <w:basedOn w:val="DefaultParagraphFont"/>
    <w:uiPriority w:val="21"/>
    <w:qFormat/>
    <w:rsid w:val="00334929"/>
    <w:rPr>
      <w:i/>
      <w:iCs/>
      <w:color w:val="2F5496" w:themeColor="accent1" w:themeShade="BF"/>
    </w:rPr>
  </w:style>
  <w:style w:type="paragraph" w:styleId="IntenseQuote">
    <w:name w:val="Intense Quote"/>
    <w:basedOn w:val="Normal"/>
    <w:next w:val="Normal"/>
    <w:link w:val="IntenseQuoteChar"/>
    <w:uiPriority w:val="30"/>
    <w:qFormat/>
    <w:rsid w:val="00334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4929"/>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3349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Pages>
  <Words>664</Words>
  <Characters>3673</Characters>
  <Application>Microsoft Office Word</Application>
  <DocSecurity>0</DocSecurity>
  <Lines>47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Mutungi, Vincent</dc:creator>
  <cp:keywords/>
  <dc:description/>
  <cp:lastModifiedBy>Mutungi, Vincent</cp:lastModifiedBy>
  <cp:revision>1</cp:revision>
  <dcterms:created xsi:type="dcterms:W3CDTF">2025-12-04T21:25:00Z</dcterms:created>
  <dcterms:modified xsi:type="dcterms:W3CDTF">2025-12-04T21:47:00Z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cb311d3-aea9-4488-bc88-99739ecc7603_Enabled">
    <vt:lpwstr>true</vt:lpwstr>
  </property>
  <property fmtid="{D5CDD505-2E9C-101B-9397-08002B2CF9AE}" pid="3" name="MSIP_Label_8cb311d3-aea9-4488-bc88-99739ecc7603_SetDate">
    <vt:lpwstr>2025-12-04T21:47:08Z</vt:lpwstr>
  </property>
  <property fmtid="{D5CDD505-2E9C-101B-9397-08002B2CF9AE}" pid="4" name="MSIP_Label_8cb311d3-aea9-4488-bc88-99739ecc7603_Method">
    <vt:lpwstr>Standard</vt:lpwstr>
  </property>
  <property fmtid="{D5CDD505-2E9C-101B-9397-08002B2CF9AE}" pid="5" name="MSIP_Label_8cb311d3-aea9-4488-bc88-99739ecc7603_Name">
    <vt:lpwstr>Internal - University</vt:lpwstr>
  </property>
  <property fmtid="{D5CDD505-2E9C-101B-9397-08002B2CF9AE}" pid="6" name="MSIP_Label_8cb311d3-aea9-4488-bc88-99739ecc7603_SiteId">
    <vt:lpwstr>9c36a7d0-bf7b-4991-9b78-be91a52f0226</vt:lpwstr>
  </property>
  <property fmtid="{D5CDD505-2E9C-101B-9397-08002B2CF9AE}" pid="7" name="MSIP_Label_8cb311d3-aea9-4488-bc88-99739ecc7603_ActionId">
    <vt:lpwstr>367f779d-7e26-4064-b75e-3d972cf032f9</vt:lpwstr>
  </property>
  <property fmtid="{D5CDD505-2E9C-101B-9397-08002B2CF9AE}" pid="8" name="MSIP_Label_8cb311d3-aea9-4488-bc88-99739ecc7603_ContentBits">
    <vt:lpwstr>0</vt:lpwstr>
  </property>
  <property fmtid="{D5CDD505-2E9C-101B-9397-08002B2CF9AE}" pid="9" name="MSIP_Label_8cb311d3-aea9-4488-bc88-99739ecc7603_Tag">
    <vt:lpwstr>10, 3, 0, 1</vt:lpwstr>
  </property>
</Properties>
</file>