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Times New Roman"/>
          <w:sz w:val="24"/>
          <w:szCs w:val="24"/>
        </w:rPr>
      </w:pPr>
      <w:r>
        <w:rPr>
          <w:rFonts w:ascii="Times New Roman"/>
          <w:sz w:val="24"/>
          <w:szCs w:val="24"/>
        </w:rPr>
        <w:drawing>
          <wp:inline distT="0" distB="0" distL="0" distR="0">
            <wp:extent cx="1869440" cy="1910715"/>
            <wp:effectExtent l="0" t="0" r="508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869552" cy="1910715"/>
                    </a:xfrm>
                    <a:prstGeom prst="rect">
                      <a:avLst/>
                    </a:prstGeom>
                  </pic:spPr>
                </pic:pic>
              </a:graphicData>
            </a:graphic>
          </wp:inline>
        </w:drawing>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杭州电子科技大学</w:t>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信息工程学院</w:t>
      </w:r>
    </w:p>
    <w:tbl>
      <w:tblPr>
        <w:tblStyle w:val="4"/>
        <w:tblW w:w="6280" w:type="dxa"/>
        <w:tblInd w:w="1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4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题目</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高级程序设计报告之获取数据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专业</w:t>
            </w:r>
          </w:p>
        </w:tc>
        <w:tc>
          <w:tcPr>
            <w:tcW w:w="4652" w:type="dxa"/>
          </w:tcPr>
          <w:p>
            <w:pPr>
              <w:spacing w:before="0" w:beforeLines="0" w:after="0" w:afterLines="0" w:line="240" w:lineRule="auto"/>
              <w:ind w:right="0" w:rightChars="0"/>
              <w:jc w:val="center"/>
              <w:rPr>
                <w:rFonts w:hint="eastAsia" w:ascii="Times New Roman" w:eastAsiaTheme="minorEastAsia"/>
                <w:b/>
                <w:bCs/>
                <w:sz w:val="24"/>
                <w:szCs w:val="24"/>
                <w:vertAlign w:val="baseline"/>
                <w:lang w:val="en-US" w:eastAsia="zh-CN"/>
              </w:rPr>
            </w:pPr>
            <w:r>
              <w:rPr>
                <w:rFonts w:hint="eastAsia" w:ascii="Times New Roman"/>
                <w:b/>
                <w:bCs/>
                <w:sz w:val="24"/>
                <w:szCs w:val="24"/>
                <w:vertAlign w:val="baseline"/>
                <w:lang w:val="en-US" w:eastAsia="zh-CN"/>
              </w:rPr>
              <w:t>计算机技术与科学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班级</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学号</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16905209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姓名</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董柳平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任课老师</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左光华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628" w:type="dxa"/>
          </w:tcPr>
          <w:p>
            <w:pPr>
              <w:spacing w:before="0" w:beforeLines="0" w:after="0" w:afterLines="0" w:line="240" w:lineRule="auto"/>
              <w:ind w:right="0" w:rightChars="0"/>
              <w:jc w:val="both"/>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完成日期</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2018.6.8</w:t>
            </w:r>
          </w:p>
        </w:tc>
      </w:tr>
    </w:tbl>
    <w:p>
      <w:pPr>
        <w:rPr>
          <w:sz w:val="24"/>
          <w:szCs w:val="24"/>
        </w:rPr>
      </w:pPr>
    </w:p>
    <w:p>
      <w:pPr>
        <w:rPr>
          <w:sz w:val="24"/>
          <w:szCs w:val="24"/>
        </w:rPr>
      </w:pPr>
    </w:p>
    <w:p>
      <w:pPr>
        <w:rPr>
          <w:sz w:val="24"/>
          <w:szCs w:val="24"/>
        </w:rPr>
      </w:pPr>
    </w:p>
    <w:p>
      <w:pPr>
        <w:rPr>
          <w:sz w:val="24"/>
          <w:szCs w:val="24"/>
        </w:rPr>
      </w:pPr>
    </w:p>
    <w:p>
      <w:pPr>
        <w:widowControl w:val="0"/>
        <w:numPr>
          <w:ilvl w:val="0"/>
          <w:numId w:val="1"/>
        </w:numPr>
        <w:jc w:val="both"/>
        <w:rPr>
          <w:rFonts w:hint="eastAsia"/>
          <w:b/>
          <w:bCs/>
          <w:sz w:val="24"/>
          <w:szCs w:val="24"/>
          <w:lang w:val="en-US" w:eastAsia="zh-CN"/>
        </w:rPr>
      </w:pPr>
      <w:bookmarkStart w:id="0" w:name="_Toc28448_WPSOffice_Level2"/>
      <w:r>
        <w:rPr>
          <w:rFonts w:hint="eastAsia"/>
          <w:b/>
          <w:bCs/>
          <w:sz w:val="24"/>
          <w:szCs w:val="24"/>
          <w:lang w:val="en-US" w:eastAsia="zh-CN"/>
        </w:rPr>
        <w:t>实验内容</w:t>
      </w:r>
      <w:bookmarkEnd w:id="0"/>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根据所学的知识，利用python获取股票数据。</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我使用的代码是601069，名称为西部黄金</w:t>
      </w:r>
    </w:p>
    <w:p>
      <w:pPr>
        <w:widowControl w:val="0"/>
        <w:numPr>
          <w:ilvl w:val="0"/>
          <w:numId w:val="1"/>
        </w:numPr>
        <w:jc w:val="both"/>
        <w:rPr>
          <w:rFonts w:hint="eastAsia"/>
          <w:b/>
          <w:bCs/>
          <w:sz w:val="24"/>
          <w:szCs w:val="24"/>
          <w:lang w:val="en-US" w:eastAsia="zh-CN"/>
        </w:rPr>
      </w:pPr>
      <w:bookmarkStart w:id="1" w:name="_Toc11083_WPSOffice_Level2"/>
      <w:r>
        <w:rPr>
          <w:rFonts w:hint="eastAsia"/>
          <w:b/>
          <w:bCs/>
          <w:sz w:val="24"/>
          <w:szCs w:val="24"/>
          <w:lang w:val="en-US" w:eastAsia="zh-CN"/>
        </w:rPr>
        <w:t>实验所需的包</w:t>
      </w:r>
      <w:bookmarkEnd w:id="1"/>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Tushare包</w:t>
      </w:r>
    </w:p>
    <w:p>
      <w:pPr>
        <w:widowControl w:val="0"/>
        <w:numPr>
          <w:ilvl w:val="0"/>
          <w:numId w:val="1"/>
        </w:numPr>
        <w:jc w:val="both"/>
        <w:rPr>
          <w:rFonts w:hint="eastAsia"/>
          <w:b/>
          <w:bCs/>
          <w:sz w:val="24"/>
          <w:szCs w:val="24"/>
          <w:lang w:val="en-US" w:eastAsia="zh-CN"/>
        </w:rPr>
      </w:pPr>
      <w:r>
        <w:rPr>
          <w:rFonts w:hint="eastAsia"/>
          <w:b/>
          <w:bCs/>
          <w:sz w:val="24"/>
          <w:szCs w:val="24"/>
          <w:lang w:val="en-US" w:eastAsia="zh-CN"/>
        </w:rPr>
        <w:t>代码段</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import</w:t>
      </w:r>
      <w:r>
        <w:rPr>
          <w:rFonts w:hint="eastAsia" w:ascii="新宋体" w:hAnsi="新宋体" w:eastAsia="新宋体"/>
          <w:color w:val="000000"/>
          <w:sz w:val="24"/>
          <w:szCs w:val="24"/>
        </w:rPr>
        <w:t xml:space="preserve"> </w:t>
      </w:r>
      <w:r>
        <w:rPr>
          <w:rFonts w:hint="eastAsia" w:ascii="新宋体" w:hAnsi="新宋体" w:eastAsia="新宋体"/>
          <w:color w:val="6F008A"/>
          <w:sz w:val="24"/>
          <w:szCs w:val="24"/>
        </w:rPr>
        <w:t>tushare</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as</w:t>
      </w:r>
      <w:r>
        <w:rPr>
          <w:rFonts w:hint="eastAsia" w:ascii="新宋体" w:hAnsi="新宋体" w:eastAsia="新宋体"/>
          <w:color w:val="000000"/>
          <w:sz w:val="24"/>
          <w:szCs w:val="24"/>
        </w:rPr>
        <w:t xml:space="preserve"> </w:t>
      </w:r>
      <w:r>
        <w:rPr>
          <w:rFonts w:hint="eastAsia" w:ascii="新宋体" w:hAnsi="新宋体" w:eastAsia="新宋体"/>
          <w:color w:val="6F008A"/>
          <w:sz w:val="24"/>
          <w:szCs w:val="24"/>
        </w:rPr>
        <w:t>ts</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df = </w:t>
      </w:r>
      <w:r>
        <w:rPr>
          <w:rFonts w:hint="eastAsia" w:ascii="新宋体" w:hAnsi="新宋体" w:eastAsia="新宋体"/>
          <w:color w:val="6F008A"/>
          <w:sz w:val="24"/>
          <w:szCs w:val="24"/>
        </w:rPr>
        <w:t>ts</w:t>
      </w:r>
      <w:r>
        <w:rPr>
          <w:rFonts w:hint="eastAsia" w:ascii="新宋体" w:hAnsi="新宋体" w:eastAsia="新宋体"/>
          <w:color w:val="000000"/>
          <w:sz w:val="24"/>
          <w:szCs w:val="24"/>
        </w:rPr>
        <w:t>.get_h_data(</w:t>
      </w:r>
      <w:r>
        <w:rPr>
          <w:rFonts w:hint="eastAsia" w:ascii="新宋体" w:hAnsi="新宋体" w:eastAsia="新宋体"/>
          <w:color w:val="A31515"/>
          <w:sz w:val="24"/>
          <w:szCs w:val="24"/>
        </w:rPr>
        <w:t>'601069'</w:t>
      </w:r>
      <w:r>
        <w:rPr>
          <w:rFonts w:hint="eastAsia" w:ascii="新宋体" w:hAnsi="新宋体" w:eastAsia="新宋体"/>
          <w:color w:val="000000"/>
          <w:sz w:val="24"/>
          <w:szCs w:val="24"/>
        </w:rPr>
        <w:t>, autype=</w:t>
      </w:r>
      <w:r>
        <w:rPr>
          <w:rFonts w:hint="eastAsia" w:ascii="新宋体" w:hAnsi="新宋体" w:eastAsia="新宋体"/>
          <w:color w:val="A31515"/>
          <w:sz w:val="24"/>
          <w:szCs w:val="24"/>
        </w:rPr>
        <w:t>'hfq'</w:t>
      </w:r>
      <w:r>
        <w:rPr>
          <w:rFonts w:hint="eastAsia" w:ascii="新宋体" w:hAnsi="新宋体" w:eastAsia="新宋体"/>
          <w:color w:val="000000"/>
          <w:sz w:val="24"/>
          <w:szCs w:val="24"/>
        </w:rPr>
        <w:t>,start=</w:t>
      </w:r>
      <w:r>
        <w:rPr>
          <w:rFonts w:hint="eastAsia" w:ascii="新宋体" w:hAnsi="新宋体" w:eastAsia="新宋体"/>
          <w:color w:val="A31515"/>
          <w:sz w:val="24"/>
          <w:szCs w:val="24"/>
        </w:rPr>
        <w:t>'2015-01-01'</w:t>
      </w:r>
      <w:r>
        <w:rPr>
          <w:rFonts w:hint="eastAsia" w:ascii="新宋体" w:hAnsi="新宋体" w:eastAsia="新宋体"/>
          <w:color w:val="000000"/>
          <w:sz w:val="24"/>
          <w:szCs w:val="24"/>
        </w:rPr>
        <w:t>,end=</w:t>
      </w:r>
      <w:r>
        <w:rPr>
          <w:rFonts w:hint="eastAsia" w:ascii="新宋体" w:hAnsi="新宋体" w:eastAsia="新宋体"/>
          <w:color w:val="A31515"/>
          <w:sz w:val="24"/>
          <w:szCs w:val="24"/>
        </w:rPr>
        <w:t>'2017-12-31'</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df.to_csv(</w:t>
      </w:r>
      <w:r>
        <w:rPr>
          <w:rFonts w:hint="eastAsia" w:ascii="新宋体" w:hAnsi="新宋体" w:eastAsia="新宋体"/>
          <w:color w:val="A31515"/>
          <w:sz w:val="24"/>
          <w:szCs w:val="24"/>
        </w:rPr>
        <w:t>'D:/day/601069.csv'</w:t>
      </w:r>
      <w:r>
        <w:rPr>
          <w:rFonts w:hint="eastAsia" w:ascii="新宋体" w:hAnsi="新宋体" w:eastAsia="新宋体"/>
          <w:color w:val="000000"/>
          <w:sz w:val="24"/>
          <w:szCs w:val="24"/>
        </w:rPr>
        <w:t>)</w:t>
      </w:r>
    </w:p>
    <w:p>
      <w:pPr>
        <w:spacing w:beforeLines="0" w:afterLines="0"/>
        <w:jc w:val="left"/>
        <w:rPr>
          <w:rFonts w:hint="eastAsia"/>
          <w:b w:val="0"/>
          <w:bCs w:val="0"/>
          <w:sz w:val="24"/>
          <w:szCs w:val="24"/>
          <w:lang w:val="en-US" w:eastAsia="zh-CN"/>
        </w:rPr>
      </w:pPr>
      <w:r>
        <w:rPr>
          <w:rFonts w:hint="eastAsia" w:ascii="新宋体" w:hAnsi="新宋体" w:eastAsia="新宋体"/>
          <w:color w:val="000000"/>
          <w:sz w:val="24"/>
          <w:szCs w:val="24"/>
        </w:rPr>
        <w:t>df.to_csv(</w:t>
      </w:r>
      <w:r>
        <w:rPr>
          <w:rFonts w:hint="eastAsia" w:ascii="新宋体" w:hAnsi="新宋体" w:eastAsia="新宋体"/>
          <w:color w:val="A31515"/>
          <w:sz w:val="24"/>
          <w:szCs w:val="24"/>
        </w:rPr>
        <w:t>'D:/day/601069.csv'</w:t>
      </w:r>
      <w:r>
        <w:rPr>
          <w:rFonts w:hint="eastAsia" w:ascii="新宋体" w:hAnsi="新宋体" w:eastAsia="新宋体"/>
          <w:color w:val="000000"/>
          <w:sz w:val="24"/>
          <w:szCs w:val="24"/>
        </w:rPr>
        <w:t>,columns=[</w:t>
      </w:r>
      <w:r>
        <w:rPr>
          <w:rFonts w:hint="eastAsia" w:ascii="新宋体" w:hAnsi="新宋体" w:eastAsia="新宋体"/>
          <w:color w:val="A31515"/>
          <w:sz w:val="24"/>
          <w:szCs w:val="24"/>
        </w:rPr>
        <w:t>'open'</w:t>
      </w:r>
      <w:r>
        <w:rPr>
          <w:rFonts w:hint="eastAsia" w:ascii="新宋体" w:hAnsi="新宋体" w:eastAsia="新宋体"/>
          <w:color w:val="000000"/>
          <w:sz w:val="24"/>
          <w:szCs w:val="24"/>
        </w:rPr>
        <w:t>,</w:t>
      </w:r>
      <w:r>
        <w:rPr>
          <w:rFonts w:hint="eastAsia" w:ascii="新宋体" w:hAnsi="新宋体" w:eastAsia="新宋体"/>
          <w:color w:val="A31515"/>
          <w:sz w:val="24"/>
          <w:szCs w:val="24"/>
        </w:rPr>
        <w:t>'high'</w:t>
      </w:r>
      <w:r>
        <w:rPr>
          <w:rFonts w:hint="eastAsia" w:ascii="新宋体" w:hAnsi="新宋体" w:eastAsia="新宋体"/>
          <w:color w:val="000000"/>
          <w:sz w:val="24"/>
          <w:szCs w:val="24"/>
        </w:rPr>
        <w:t>,</w:t>
      </w:r>
      <w:r>
        <w:rPr>
          <w:rFonts w:hint="eastAsia" w:ascii="新宋体" w:hAnsi="新宋体" w:eastAsia="新宋体"/>
          <w:color w:val="A31515"/>
          <w:sz w:val="24"/>
          <w:szCs w:val="24"/>
        </w:rPr>
        <w:t>'close'</w:t>
      </w:r>
      <w:r>
        <w:rPr>
          <w:rFonts w:hint="eastAsia" w:ascii="新宋体" w:hAnsi="新宋体" w:eastAsia="新宋体"/>
          <w:color w:val="000000"/>
          <w:sz w:val="24"/>
          <w:szCs w:val="24"/>
        </w:rPr>
        <w:t>,</w:t>
      </w:r>
      <w:r>
        <w:rPr>
          <w:rFonts w:hint="eastAsia" w:ascii="新宋体" w:hAnsi="新宋体" w:eastAsia="新宋体"/>
          <w:color w:val="A31515"/>
          <w:sz w:val="24"/>
          <w:szCs w:val="24"/>
        </w:rPr>
        <w:t>'low'</w:t>
      </w:r>
      <w:r>
        <w:rPr>
          <w:rFonts w:hint="eastAsia" w:ascii="新宋体" w:hAnsi="新宋体" w:eastAsia="新宋体"/>
          <w:color w:val="000000"/>
          <w:sz w:val="24"/>
          <w:szCs w:val="24"/>
        </w:rPr>
        <w:t>,</w:t>
      </w:r>
      <w:r>
        <w:rPr>
          <w:rFonts w:hint="eastAsia" w:ascii="新宋体" w:hAnsi="新宋体" w:eastAsia="新宋体"/>
          <w:color w:val="A31515"/>
          <w:sz w:val="24"/>
          <w:szCs w:val="24"/>
        </w:rPr>
        <w:t>'volume'</w:t>
      </w:r>
      <w:r>
        <w:rPr>
          <w:rFonts w:hint="eastAsia" w:ascii="新宋体" w:hAnsi="新宋体" w:eastAsia="新宋体"/>
          <w:color w:val="000000"/>
          <w:sz w:val="24"/>
          <w:szCs w:val="24"/>
        </w:rPr>
        <w:t>,</w:t>
      </w:r>
      <w:r>
        <w:rPr>
          <w:rFonts w:hint="eastAsia" w:ascii="新宋体" w:hAnsi="新宋体" w:eastAsia="新宋体"/>
          <w:color w:val="A31515"/>
          <w:sz w:val="24"/>
          <w:szCs w:val="24"/>
        </w:rPr>
        <w:t>'amount'</w:t>
      </w:r>
      <w:r>
        <w:rPr>
          <w:rFonts w:hint="eastAsia" w:ascii="新宋体" w:hAnsi="新宋体" w:eastAsia="新宋体"/>
          <w:color w:val="000000"/>
          <w:sz w:val="24"/>
          <w:szCs w:val="24"/>
        </w:rPr>
        <w:t>])</w:t>
      </w:r>
    </w:p>
    <w:p>
      <w:pPr>
        <w:widowControl w:val="0"/>
        <w:numPr>
          <w:ilvl w:val="0"/>
          <w:numId w:val="1"/>
        </w:numPr>
        <w:jc w:val="both"/>
        <w:rPr>
          <w:rFonts w:hint="eastAsia"/>
          <w:b/>
          <w:bCs/>
          <w:sz w:val="24"/>
          <w:szCs w:val="24"/>
          <w:lang w:val="en-US" w:eastAsia="zh-CN"/>
        </w:rPr>
      </w:pPr>
      <w:bookmarkStart w:id="2" w:name="_Toc12564_WPSOffice_Level2"/>
      <w:r>
        <w:rPr>
          <w:rFonts w:hint="eastAsia"/>
          <w:b/>
          <w:bCs/>
          <w:sz w:val="24"/>
          <w:szCs w:val="24"/>
          <w:lang w:val="en-US" w:eastAsia="zh-CN"/>
        </w:rPr>
        <w:t>实验结果</w:t>
      </w:r>
      <w:bookmarkEnd w:id="2"/>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在D盘中的day文件夹中生成了所需的csv表格。</w:t>
      </w:r>
    </w:p>
    <w:p>
      <w:pPr>
        <w:widowControl w:val="0"/>
        <w:numPr>
          <w:ilvl w:val="0"/>
          <w:numId w:val="1"/>
        </w:numPr>
        <w:jc w:val="both"/>
        <w:rPr>
          <w:rFonts w:hint="eastAsia"/>
          <w:b/>
          <w:bCs/>
          <w:sz w:val="24"/>
          <w:szCs w:val="24"/>
          <w:lang w:val="en-US" w:eastAsia="zh-CN"/>
        </w:rPr>
      </w:pPr>
      <w:bookmarkStart w:id="3" w:name="_Toc9035_WPSOffice_Level2"/>
      <w:r>
        <w:rPr>
          <w:rFonts w:hint="eastAsia"/>
          <w:b/>
          <w:bCs/>
          <w:sz w:val="24"/>
          <w:szCs w:val="24"/>
          <w:lang w:val="en-US" w:eastAsia="zh-CN"/>
        </w:rPr>
        <w:t>实验感想</w:t>
      </w:r>
      <w:bookmarkEnd w:id="3"/>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bCs/>
          <w:sz w:val="24"/>
          <w:szCs w:val="24"/>
          <w:lang w:val="en-US" w:eastAsia="zh-CN"/>
        </w:rPr>
      </w:pPr>
      <w:r>
        <w:rPr>
          <w:rFonts w:hint="eastAsia"/>
          <w:b w:val="0"/>
          <w:bCs w:val="0"/>
          <w:sz w:val="24"/>
          <w:szCs w:val="24"/>
          <w:lang w:val="en-US" w:eastAsia="zh-CN"/>
        </w:rPr>
        <w:t>通过本次实验进行了对股票数据的抓取并下载生成股票数据的csv表格，对利用python对股票的抓取有了一定的了解，更加深刻了解了抓取数据的方法。</w:t>
      </w:r>
    </w:p>
    <w:p>
      <w:pPr>
        <w:spacing w:before="0" w:beforeLines="0" w:after="0" w:afterLines="0" w:line="240" w:lineRule="auto"/>
        <w:ind w:left="0" w:leftChars="0" w:right="0" w:rightChars="0" w:firstLine="0" w:firstLineChars="0"/>
        <w:jc w:val="center"/>
        <w:rPr>
          <w:rFonts w:ascii="Times New Roman"/>
          <w:sz w:val="24"/>
          <w:szCs w:val="24"/>
        </w:rPr>
      </w:pPr>
      <w:bookmarkStart w:id="4" w:name="_Toc27294_WPSOffice_Level2"/>
      <w:bookmarkStart w:id="5" w:name="_Toc5255_WPSOffice_Level1"/>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r>
        <w:rPr>
          <w:rFonts w:ascii="Times New Roman"/>
          <w:sz w:val="24"/>
          <w:szCs w:val="24"/>
        </w:rPr>
        <w:drawing>
          <wp:inline distT="0" distB="0" distL="0" distR="0">
            <wp:extent cx="1869440" cy="1910715"/>
            <wp:effectExtent l="0" t="0" r="5080" b="9525"/>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4" cstate="print"/>
                    <a:stretch>
                      <a:fillRect/>
                    </a:stretch>
                  </pic:blipFill>
                  <pic:spPr>
                    <a:xfrm>
                      <a:off x="0" y="0"/>
                      <a:ext cx="1869552" cy="1910715"/>
                    </a:xfrm>
                    <a:prstGeom prst="rect">
                      <a:avLst/>
                    </a:prstGeom>
                  </pic:spPr>
                </pic:pic>
              </a:graphicData>
            </a:graphic>
          </wp:inline>
        </w:drawing>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杭州电子科技大学</w:t>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信息工程学院</w:t>
      </w:r>
    </w:p>
    <w:tbl>
      <w:tblPr>
        <w:tblStyle w:val="4"/>
        <w:tblW w:w="6280" w:type="dxa"/>
        <w:tblInd w:w="1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4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题目</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高级程序设计报告之处理数据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专业</w:t>
            </w:r>
          </w:p>
        </w:tc>
        <w:tc>
          <w:tcPr>
            <w:tcW w:w="4652" w:type="dxa"/>
          </w:tcPr>
          <w:p>
            <w:pPr>
              <w:spacing w:before="0" w:beforeLines="0" w:after="0" w:afterLines="0" w:line="240" w:lineRule="auto"/>
              <w:ind w:right="0" w:rightChars="0"/>
              <w:jc w:val="center"/>
              <w:rPr>
                <w:rFonts w:hint="eastAsia" w:ascii="Times New Roman" w:eastAsiaTheme="minorEastAsia"/>
                <w:b/>
                <w:bCs/>
                <w:sz w:val="24"/>
                <w:szCs w:val="24"/>
                <w:vertAlign w:val="baseline"/>
                <w:lang w:val="en-US" w:eastAsia="zh-CN"/>
              </w:rPr>
            </w:pPr>
            <w:r>
              <w:rPr>
                <w:rFonts w:hint="eastAsia" w:ascii="Times New Roman"/>
                <w:b/>
                <w:bCs/>
                <w:sz w:val="24"/>
                <w:szCs w:val="24"/>
                <w:vertAlign w:val="baseline"/>
                <w:lang w:val="en-US" w:eastAsia="zh-CN"/>
              </w:rPr>
              <w:t>计算机技术与科学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班级</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学号</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16905209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姓名</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董柳平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任课老师</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左光华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628" w:type="dxa"/>
          </w:tcPr>
          <w:p>
            <w:pPr>
              <w:spacing w:before="0" w:beforeLines="0" w:after="0" w:afterLines="0" w:line="240" w:lineRule="auto"/>
              <w:ind w:right="0" w:rightChars="0"/>
              <w:jc w:val="both"/>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完成日期</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2018.6.9</w:t>
            </w:r>
          </w:p>
        </w:tc>
      </w:tr>
    </w:tbl>
    <w:p>
      <w:pPr>
        <w:numPr>
          <w:ilvl w:val="0"/>
          <w:numId w:val="0"/>
        </w:numPr>
        <w:jc w:val="left"/>
        <w:rPr>
          <w:rFonts w:hint="eastAsia" w:asciiTheme="minorEastAsia" w:hAnsiTheme="minorEastAsia" w:eastAsiaTheme="minorEastAsia" w:cstheme="minorEastAsia"/>
          <w:b/>
          <w:bCs/>
          <w:sz w:val="24"/>
          <w:szCs w:val="24"/>
          <w:lang w:val="en-US" w:eastAsia="zh-CN"/>
        </w:rPr>
      </w:pPr>
    </w:p>
    <w:p>
      <w:pPr>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1.实验内容</w:t>
      </w:r>
      <w:bookmarkEnd w:id="4"/>
      <w:bookmarkEnd w:id="5"/>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根据所学方法获取26日股票均线，并获得所需要的内容。</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我使用的股票代码是601069，名为西部黄金，使用资金为：$1000000。</w:t>
      </w:r>
      <w:bookmarkStart w:id="6" w:name="_Toc31279_WPSOffice_Level1"/>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买入10只股票。</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bookmarkStart w:id="7" w:name="_Toc172_WPSOffice_Level2"/>
      <w:r>
        <w:rPr>
          <w:rFonts w:hint="eastAsia" w:asciiTheme="minorEastAsia" w:hAnsiTheme="minorEastAsia" w:eastAsiaTheme="minorEastAsia" w:cstheme="minorEastAsia"/>
          <w:b/>
          <w:bCs/>
          <w:sz w:val="24"/>
          <w:szCs w:val="24"/>
          <w:lang w:val="en-US" w:eastAsia="zh-CN"/>
        </w:rPr>
        <w:t>2.实验需求</w:t>
      </w:r>
      <w:bookmarkEnd w:id="6"/>
      <w:bookmarkEnd w:id="7"/>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26日均线的作用是股价大于26日均线，后市向好；股价小于26日均线，后市向坏。</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股票SMA：</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MA是简单算术平均，MA(C,2)=(C1+C2)/2;  MA(C,3)=(C1+C2+C3)/3;不分轻重，平均算。</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8" w:name="_Toc26786_WPSOffice_Level2"/>
      <w:bookmarkStart w:id="9" w:name="_Toc27333_WPSOffice_Level1"/>
      <w:r>
        <w:rPr>
          <w:rFonts w:hint="eastAsia" w:asciiTheme="minorEastAsia" w:hAnsiTheme="minorEastAsia" w:eastAsiaTheme="minorEastAsia" w:cstheme="minorEastAsia"/>
          <w:b/>
          <w:bCs/>
          <w:sz w:val="24"/>
          <w:szCs w:val="24"/>
          <w:lang w:val="en-US" w:eastAsia="zh-CN"/>
        </w:rPr>
        <w:t>3.实验环境以及需要的包</w:t>
      </w:r>
      <w:bookmarkEnd w:id="8"/>
      <w:bookmarkEnd w:id="9"/>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环境：Python2.7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包：tushare,numpy,pandas,pyalgotrade</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导入：zwQTBox.py，zwSys.py，zwTools.py</w:t>
      </w:r>
    </w:p>
    <w:p>
      <w:pPr>
        <w:numPr>
          <w:ilvl w:val="0"/>
          <w:numId w:val="2"/>
        </w:numPr>
        <w:jc w:val="left"/>
        <w:rPr>
          <w:rFonts w:hint="eastAsia" w:asciiTheme="minorEastAsia" w:hAnsiTheme="minorEastAsia" w:eastAsiaTheme="minorEastAsia" w:cstheme="minorEastAsia"/>
          <w:b/>
          <w:bCs/>
          <w:sz w:val="24"/>
          <w:szCs w:val="24"/>
          <w:lang w:val="en-US" w:eastAsia="zh-CN"/>
        </w:rPr>
      </w:pPr>
      <w:bookmarkStart w:id="10" w:name="_Toc10195_WPSOffice_Level2"/>
      <w:bookmarkStart w:id="11" w:name="_Toc27462_WPSOffice_Level1"/>
      <w:r>
        <w:rPr>
          <w:rFonts w:hint="eastAsia" w:asciiTheme="minorEastAsia" w:hAnsiTheme="minorEastAsia" w:eastAsiaTheme="minorEastAsia" w:cstheme="minorEastAsia"/>
          <w:b/>
          <w:bCs/>
          <w:sz w:val="24"/>
          <w:szCs w:val="24"/>
          <w:lang w:val="en-US" w:eastAsia="zh-CN"/>
        </w:rPr>
        <w:t>实验结果</w:t>
      </w:r>
      <w:bookmarkEnd w:id="10"/>
      <w:bookmarkEnd w:id="11"/>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5273040" cy="3921125"/>
            <wp:effectExtent l="0" t="0" r="0" b="1079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273040" cy="3921125"/>
                    </a:xfrm>
                    <a:prstGeom prst="rect">
                      <a:avLst/>
                    </a:prstGeom>
                  </pic:spPr>
                </pic:pic>
              </a:graphicData>
            </a:graphic>
          </wp:inline>
        </w:drawing>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2015-03-06 00:00:00 strategy [INFO] BUY at $14.68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2015-03-16 00:00:00 strategy [INFO] SELL at $14.18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2015-03-17 00:00:00 strategy [INFO] BUY at $14.60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2015-03-18 00:00:00 strategy [INFO] SELL at $14.58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2015-03-20 00:00:00 strategy [INFO] BUY at $16.78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2015-05-08 00:00:00 strategy [INFO] SELL at $19.11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2015-05-11 00:00:00 strategy [INFO] BUY at $20.22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2015-06-17 00:00:00 strategy [INFO] SELL at $25.70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2015-06-18 00:00:00 strategy [INFO] BUY at $26.32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2015-06-19 00:00:00 strategy [INFO] SELL at $25.51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2015-08-06 00:00:00 strategy [INFO] BUY at $14.30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2015-08-28 00:00:00 strategy [INFO] SELL at $16.02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2015-08-31 00:00:00 strategy [INFO] BUY at $17.37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2015-09-01 00:00:00 strategy [INFO] SELL at $17.05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2015-09-02 00:00:00 strategy [INFO] BUY at $15.87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2015-09-07 00:00:00 strategy [INFO] SELL at $15.02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2015-10-12 00:00:00 strategy [INFO] BUY at $16.82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2015-11-30 00:00:00 strategy [INFO] SELL at $18.62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2015-12-15 00:00:00 strategy [INFO] BUY at $22.22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2016-01-05 00:00:00 strategy [INFO] SELL at $21.02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2016-01-06 00:00:00 strategy [INFO] BUY at $21.64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2016-01-14 00:00:00 strategy [INFO] SELL at $18.72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2016-02-16 00:00:00 strategy [INFO] BUY at $21.02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2016-03-01 00:00:00 strategy [INFO] SELL at $19.50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2016-03-02 00:00:00 strategy [INFO] BUY at $19.82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2016-03-30 00:00:00 strategy [INFO] SELL at $23.20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2016-03-31 00:00:00 strategy [INFO] BUY at $22.78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2016-04-08 00:00:00 strategy [INFO] SELL at $23.10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2016-04-11 00:00:00 strategy [INFO] BUY at $23.72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2016-04-19 00:00:00 strategy [INFO] SELL at $23.34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2016-04-20 00:00:00 strategy [INFO] BUY at $24.42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2016-04-21 00:00:00 strategy [INFO] SELL at $22.65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2016-04-22 00:00:00 strategy [INFO] BUY at $23.00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2016-04-25 00:00:00 strategy [INFO] SELL at $22.23</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2016-05-04 00:00:00 strategy [INFO] BUY at $23.48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2016-05-05 00:00:00 strategy [INFO] SELL at $23.27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2016-05-06 00:00:00 strategy [INFO] BUY at $23.37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2016-05-09 00:00:00 strategy [INFO] SELL at $22.56</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2016-06-07 00:00:00 strategy [INFO] BUY at $21.09</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2016-06-08 00:00:00 strategy [INFO] SELL at $20.82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2016-06-13 00:00:00 strategy [INFO] BUY at $21.37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2016-08-05 00:00:00 strategy [INFO] SELL at $27.80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2016-08-08 00:00:00 strategy [INFO] BUY at $27.04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2016-08-09 00:00:00 strategy [INFO] SELL at $26.47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2016-10-18 00:00:00 strategy [INFO] BUY at $24.48</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2016-11-21 00:00:00 strategy [INFO] SELL at $24.52</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2017-02-07 00:00:00 strategy [INFO] BUY at $22.36</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2017-02-16 00:00:00 strategy [INFO] SELL at $21.84</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2017-02-17 00:00:00 strategy [INFO] BUY at $21.95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2017-02-21 00:00:00 strategy [INFO] SELL at $21.50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2017-02-22 00:00:00 strategy [INFO] BUY at $21.70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2017-03-06 00:00:00 strategy [INFO] SELL at $21.15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2017-03-24 00:00:00 strategy [INFO] BUY at $21.45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2017-03-27 00:00:00 strategy [INFO] SELL at $21.57</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2017-03-28 00:00:00 strategy [INFO] BUY at $22.05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2017-03-31 00:00:00 strategy [INFO] SELL at $21.00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2017-04-06 00:00:00 strategy [INFO] BUY at $21.65</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2017-09-20 00:00:00 strategy [INFO] SELL at $22.21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2017-09-21 00:00:00 strategy [INFO] BUY at $22.11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2017-09-22 00:00:00 strategy [INFO] SELL at $21.31</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最终资产价值 Final portfolio value: $1000064.40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2017-12-18 00:00:00 strategy [INFO] BUY at $15.40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最终资产价值 Final portfolio value: $1000064.40</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累计回报率 Cumulative returns: 0.01 %</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夏普比率 Sharpe ratio: -491.93</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最大回撤率 Max. drawdown: 0.01 %</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最长回撤时间 Longest drawdown duration: 858 days, 0:00:00</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12" w:name="_Toc31525_WPSOffice_Level1"/>
      <w:bookmarkStart w:id="13" w:name="_Toc25780_WPSOffice_Level2"/>
      <w:r>
        <w:rPr>
          <w:rFonts w:hint="eastAsia" w:asciiTheme="minorEastAsia" w:hAnsiTheme="minorEastAsia" w:eastAsiaTheme="minorEastAsia" w:cstheme="minorEastAsia"/>
          <w:b/>
          <w:bCs/>
          <w:sz w:val="24"/>
          <w:szCs w:val="24"/>
          <w:lang w:val="en-US" w:eastAsia="zh-CN"/>
        </w:rPr>
        <w:t>5.实验分析</w:t>
      </w:r>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2016年1月1号到2017年12月31号，该股票进行了61次交易，其中31次，卖出30次。该股票资金从$1000000到 $1000064.40，累计回报率0.01%。该股票总体波动不大，两年内平稳。通过图中与sma进行对比该股票17年5月到17年9月盈利较大。</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14" w:name="_Toc16079_WPSOffice_Level1"/>
      <w:bookmarkStart w:id="15" w:name="_Toc24485_WPSOffice_Level2"/>
      <w:r>
        <w:rPr>
          <w:rFonts w:hint="eastAsia" w:asciiTheme="minorEastAsia" w:hAnsiTheme="minorEastAsia" w:eastAsiaTheme="minorEastAsia" w:cstheme="minorEastAsia"/>
          <w:b/>
          <w:bCs/>
          <w:sz w:val="24"/>
          <w:szCs w:val="24"/>
          <w:lang w:val="en-US" w:eastAsia="zh-CN"/>
        </w:rPr>
        <w:t>6.我的结论</w:t>
      </w:r>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通过本次试验，我明白了python对sma算法的实现，对sam有了很大的了解，以及对数据处理有了很大的了解，通过代码获取了近年来西部黄金的数据，获得了26日均线，对该股票的发展有了一定的了解。</w:t>
      </w:r>
    </w:p>
    <w:p>
      <w:pPr>
        <w:numPr>
          <w:ilvl w:val="0"/>
          <w:numId w:val="0"/>
        </w:numPr>
        <w:jc w:val="left"/>
        <w:rPr>
          <w:rFonts w:hint="eastAsia" w:asciiTheme="minorEastAsia" w:hAnsiTheme="minorEastAsia" w:eastAsiaTheme="minorEastAsia" w:cstheme="minorEastAsia"/>
          <w:b/>
          <w:bCs/>
          <w:sz w:val="24"/>
          <w:szCs w:val="24"/>
          <w:lang w:val="en-US" w:eastAsia="zh-CN"/>
        </w:rPr>
      </w:pPr>
      <w:bookmarkStart w:id="16" w:name="_Toc25517_WPSOffice_Level1"/>
      <w:bookmarkStart w:id="17" w:name="_Toc14145_WPSOffice_Level2"/>
      <w:r>
        <w:rPr>
          <w:rFonts w:hint="eastAsia" w:asciiTheme="minorEastAsia" w:hAnsiTheme="minorEastAsia" w:eastAsiaTheme="minorEastAsia" w:cstheme="minorEastAsia"/>
          <w:b/>
          <w:bCs/>
          <w:sz w:val="24"/>
          <w:szCs w:val="24"/>
          <w:lang w:val="en-US" w:eastAsia="zh-CN"/>
        </w:rPr>
        <w:t>7.股票中的AI技术</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未来人工智能将在视觉、语音、自然语言、数据分析、经济金融等各类应用方面大显身手，并带动超级计算机、数据中心、智能手机、嵌入式设备等进一步智能化。</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人工智能已经成为A股上市公司的重点发展对象，随着上市公司的发力，目前人工智能在各个产业领域迅速落地。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不过要在未来有巨大的突破，需要完善多传感融合技术，使用更多的算法。</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p>
    <w:p>
      <w:pPr>
        <w:spacing w:before="0" w:beforeLines="0" w:after="0" w:afterLines="0" w:line="240" w:lineRule="auto"/>
        <w:ind w:left="0" w:leftChars="0" w:right="0" w:rightChars="0" w:firstLine="0" w:firstLineChars="0"/>
        <w:jc w:val="center"/>
        <w:rPr>
          <w:rFonts w:ascii="Times New Roman"/>
          <w:sz w:val="24"/>
          <w:szCs w:val="24"/>
        </w:rPr>
      </w:pPr>
      <w:r>
        <w:rPr>
          <w:rFonts w:ascii="Times New Roman"/>
          <w:sz w:val="24"/>
          <w:szCs w:val="24"/>
        </w:rPr>
        <w:drawing>
          <wp:inline distT="0" distB="0" distL="0" distR="0">
            <wp:extent cx="1869440" cy="1910715"/>
            <wp:effectExtent l="0" t="0" r="5080" b="9525"/>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4" cstate="print"/>
                    <a:stretch>
                      <a:fillRect/>
                    </a:stretch>
                  </pic:blipFill>
                  <pic:spPr>
                    <a:xfrm>
                      <a:off x="0" y="0"/>
                      <a:ext cx="1869552" cy="1910715"/>
                    </a:xfrm>
                    <a:prstGeom prst="rect">
                      <a:avLst/>
                    </a:prstGeom>
                  </pic:spPr>
                </pic:pic>
              </a:graphicData>
            </a:graphic>
          </wp:inline>
        </w:drawing>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杭州电子科技大学</w:t>
      </w:r>
    </w:p>
    <w:p>
      <w:pPr>
        <w:spacing w:before="0" w:beforeLines="0" w:after="0" w:afterLines="0" w:line="240" w:lineRule="auto"/>
        <w:ind w:left="0" w:leftChars="0" w:right="0" w:rightChars="0" w:firstLine="0" w:firstLineChars="0"/>
        <w:jc w:val="center"/>
        <w:rPr>
          <w:rFonts w:hint="eastAsia" w:ascii="Times New Roman"/>
          <w:b/>
          <w:bCs/>
          <w:sz w:val="24"/>
          <w:szCs w:val="24"/>
          <w:lang w:val="en-US" w:eastAsia="zh-CN"/>
        </w:rPr>
      </w:pPr>
      <w:r>
        <w:rPr>
          <w:rFonts w:hint="eastAsia" w:ascii="Times New Roman"/>
          <w:b/>
          <w:bCs/>
          <w:sz w:val="24"/>
          <w:szCs w:val="24"/>
          <w:lang w:val="en-US" w:eastAsia="zh-CN"/>
        </w:rPr>
        <w:t>信息工程学院</w:t>
      </w:r>
    </w:p>
    <w:tbl>
      <w:tblPr>
        <w:tblStyle w:val="4"/>
        <w:tblW w:w="6280" w:type="dxa"/>
        <w:tblInd w:w="1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4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题目</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高级程序设计报告之分析数据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专业</w:t>
            </w:r>
          </w:p>
        </w:tc>
        <w:tc>
          <w:tcPr>
            <w:tcW w:w="4652" w:type="dxa"/>
          </w:tcPr>
          <w:p>
            <w:pPr>
              <w:spacing w:before="0" w:beforeLines="0" w:after="0" w:afterLines="0" w:line="240" w:lineRule="auto"/>
              <w:ind w:right="0" w:rightChars="0"/>
              <w:jc w:val="center"/>
              <w:rPr>
                <w:rFonts w:hint="eastAsia" w:ascii="Times New Roman" w:eastAsiaTheme="minorEastAsia"/>
                <w:b/>
                <w:bCs/>
                <w:sz w:val="24"/>
                <w:szCs w:val="24"/>
                <w:vertAlign w:val="baseline"/>
                <w:lang w:val="en-US" w:eastAsia="zh-CN"/>
              </w:rPr>
            </w:pPr>
            <w:r>
              <w:rPr>
                <w:rFonts w:hint="eastAsia" w:ascii="Times New Roman"/>
                <w:b/>
                <w:bCs/>
                <w:sz w:val="24"/>
                <w:szCs w:val="24"/>
                <w:vertAlign w:val="baseline"/>
                <w:lang w:val="en-US" w:eastAsia="zh-CN"/>
              </w:rPr>
              <w:t>计算机技术与科学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班级</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学号</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16905209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姓名</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董柳平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1628"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任课老师</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左光华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628" w:type="dxa"/>
          </w:tcPr>
          <w:p>
            <w:pPr>
              <w:spacing w:before="0" w:beforeLines="0" w:after="0" w:afterLines="0" w:line="240" w:lineRule="auto"/>
              <w:ind w:right="0" w:rightChars="0"/>
              <w:jc w:val="both"/>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完成日期</w:t>
            </w:r>
          </w:p>
        </w:tc>
        <w:tc>
          <w:tcPr>
            <w:tcW w:w="4652" w:type="dxa"/>
          </w:tcPr>
          <w:p>
            <w:pPr>
              <w:spacing w:before="0" w:beforeLines="0" w:after="0" w:afterLines="0" w:line="240" w:lineRule="auto"/>
              <w:ind w:right="0" w:rightChars="0"/>
              <w:jc w:val="center"/>
              <w:rPr>
                <w:rFonts w:hint="eastAsia" w:ascii="Times New Roman"/>
                <w:b/>
                <w:bCs/>
                <w:sz w:val="24"/>
                <w:szCs w:val="24"/>
                <w:vertAlign w:val="baseline"/>
                <w:lang w:val="en-US" w:eastAsia="zh-CN"/>
              </w:rPr>
            </w:pPr>
            <w:r>
              <w:rPr>
                <w:rFonts w:hint="eastAsia" w:ascii="Times New Roman"/>
                <w:b/>
                <w:bCs/>
                <w:sz w:val="24"/>
                <w:szCs w:val="24"/>
                <w:vertAlign w:val="baseline"/>
                <w:lang w:val="en-US" w:eastAsia="zh-CN"/>
              </w:rPr>
              <w:t>2018.6.8</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3"/>
        </w:numPr>
        <w:rPr>
          <w:rFonts w:hint="eastAsia"/>
          <w:b/>
          <w:bCs/>
          <w:sz w:val="24"/>
          <w:szCs w:val="24"/>
          <w:lang w:val="en-US" w:eastAsia="zh-CN"/>
        </w:rPr>
      </w:pPr>
      <w:r>
        <w:rPr>
          <w:rFonts w:hint="eastAsia"/>
          <w:b/>
          <w:bCs/>
          <w:sz w:val="24"/>
          <w:szCs w:val="24"/>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对前两个实验获得的数据进行数据对比以及分析，通过本次实验获得自己的想法以及得出的结果。</w:t>
      </w:r>
    </w:p>
    <w:p>
      <w:pPr>
        <w:numPr>
          <w:ilvl w:val="0"/>
          <w:numId w:val="3"/>
        </w:numPr>
        <w:rPr>
          <w:rFonts w:hint="eastAsia"/>
          <w:b/>
          <w:bCs/>
          <w:sz w:val="24"/>
          <w:szCs w:val="24"/>
          <w:lang w:val="en-US" w:eastAsia="zh-CN"/>
        </w:rPr>
      </w:pPr>
      <w:r>
        <w:rPr>
          <w:rFonts w:hint="eastAsia"/>
          <w:b/>
          <w:bCs/>
          <w:sz w:val="24"/>
          <w:szCs w:val="24"/>
          <w:lang w:val="en-US" w:eastAsia="zh-CN"/>
        </w:rPr>
        <w:t>实验要求</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对同一只股票使用不同的均线策略，得出最佳方案。</w:t>
      </w:r>
    </w:p>
    <w:p>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对不同股票进行股票策略，得出最适宜股票。</w:t>
      </w:r>
    </w:p>
    <w:p>
      <w:pPr>
        <w:numPr>
          <w:ilvl w:val="0"/>
          <w:numId w:val="3"/>
        </w:numPr>
        <w:rPr>
          <w:rFonts w:hint="eastAsia"/>
          <w:b/>
          <w:bCs/>
          <w:sz w:val="24"/>
          <w:szCs w:val="24"/>
          <w:lang w:val="en-US" w:eastAsia="zh-CN"/>
        </w:rPr>
      </w:pPr>
      <w:r>
        <w:rPr>
          <w:rFonts w:hint="eastAsia"/>
          <w:b/>
          <w:bCs/>
          <w:sz w:val="24"/>
          <w:szCs w:val="24"/>
          <w:lang w:val="en-US" w:eastAsia="zh-CN"/>
        </w:rPr>
        <w:t>实验过程</w:t>
      </w:r>
    </w:p>
    <w:p>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首先对一只股票（投入1000股）进行不同的均线策略。</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一曲线是使用7日均线策略对“601069”的股票进行数据处理，如下：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7" name="图片 1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1"/>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$993830.00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-0.62 %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-7.05</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1.01 %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528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一曲线是使用14日均线策略对“601069”的股票进行数据处理，如下：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5" name="图片 1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1"/>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$1002020.00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0.20 %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-6.15</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0.60 %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415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一曲线是使用26日均线策略对“601069”的股票进行数据处理，如下：</w:t>
      </w:r>
      <w:r>
        <w:rPr>
          <w:rFonts w:hint="eastAsia"/>
          <w:b w:val="0"/>
          <w:bCs w:val="0"/>
          <w:sz w:val="24"/>
          <w:szCs w:val="24"/>
          <w:lang w:val="en-US" w:eastAsia="zh-CN"/>
        </w:rPr>
        <w:tab/>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5273040" cy="3954780"/>
            <wp:effectExtent l="0" t="0" r="0" b="7620"/>
            <wp:docPr id="16" name="图片 1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_1"/>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$1001730.00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0.17 %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-5.94</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0.62 %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bCs/>
          <w:sz w:val="24"/>
          <w:szCs w:val="24"/>
          <w:lang w:val="en-US" w:eastAsia="zh-CN"/>
        </w:rPr>
      </w:pPr>
      <w:r>
        <w:rPr>
          <w:rFonts w:hint="eastAsia"/>
          <w:b w:val="0"/>
          <w:bCs w:val="0"/>
          <w:sz w:val="24"/>
          <w:szCs w:val="24"/>
          <w:lang w:val="en-US" w:eastAsia="zh-CN"/>
        </w:rPr>
        <w:t>Longest drawdown duration: 415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一曲线是使用30日均线策略对“601069”的股票进行数据处理，如下：</w:t>
      </w:r>
      <w:r>
        <w:rPr>
          <w:rFonts w:hint="eastAsia"/>
          <w:b w:val="0"/>
          <w:bCs w:val="0"/>
          <w:sz w:val="24"/>
          <w:szCs w:val="24"/>
          <w:lang w:val="en-US" w:eastAsia="zh-CN"/>
        </w:rPr>
        <w:tab/>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8" name="图片 1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igure_1"/>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$999170.00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-0.08 %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-6.06</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0.75 %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bCs/>
          <w:sz w:val="24"/>
          <w:szCs w:val="24"/>
          <w:lang w:val="en-US" w:eastAsia="zh-CN"/>
        </w:rPr>
      </w:pPr>
      <w:r>
        <w:rPr>
          <w:rFonts w:hint="eastAsia"/>
          <w:b w:val="0"/>
          <w:bCs w:val="0"/>
          <w:sz w:val="24"/>
          <w:szCs w:val="24"/>
          <w:lang w:val="en-US" w:eastAsia="zh-CN"/>
        </w:rPr>
        <w:t>Longest drawdown duration: 528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bCs/>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对不同股票进行均线策略（26日，投入10股）。</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“601318”</w:t>
      </w:r>
      <w:r>
        <w:rPr>
          <w:rFonts w:hint="eastAsia"/>
          <w:b w:val="0"/>
          <w:bCs w:val="0"/>
          <w:sz w:val="24"/>
          <w:szCs w:val="24"/>
          <w:lang w:val="en-US" w:eastAsia="zh-CN"/>
        </w:rPr>
        <w:t>的中国平安：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19" name="图片 1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re_1"/>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r>
        <w:rPr>
          <w:rFonts w:hint="eastAsia"/>
          <w:b w:val="0"/>
          <w:bCs w:val="0"/>
          <w:sz w:val="24"/>
          <w:szCs w:val="24"/>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$1053410.00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5.34 %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-1.01</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3.57 %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164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“300347”</w:t>
      </w:r>
      <w:r>
        <w:rPr>
          <w:rFonts w:hint="eastAsia"/>
          <w:b w:val="0"/>
          <w:bCs w:val="0"/>
          <w:sz w:val="24"/>
          <w:szCs w:val="24"/>
          <w:lang w:val="en-US" w:eastAsia="zh-CN"/>
        </w:rPr>
        <w:t>的泰格医药：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20" name="图片 2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re_1"/>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$1002770.00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0.28 %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-0.78</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5.73 %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604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“000596”</w:t>
      </w:r>
      <w:r>
        <w:rPr>
          <w:rFonts w:hint="eastAsia"/>
          <w:b w:val="0"/>
          <w:bCs w:val="0"/>
          <w:sz w:val="24"/>
          <w:szCs w:val="24"/>
          <w:lang w:val="en-US" w:eastAsia="zh-CN"/>
        </w:rPr>
        <w:t>的古井贡酒：</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21" name="图片 2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1"/>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$1086260.00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8.63 %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-0.15</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3.18 %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202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“600837”</w:t>
      </w:r>
      <w:r>
        <w:rPr>
          <w:rFonts w:hint="eastAsia"/>
          <w:b w:val="0"/>
          <w:bCs w:val="0"/>
          <w:sz w:val="24"/>
          <w:szCs w:val="24"/>
          <w:lang w:val="en-US" w:eastAsia="zh-CN"/>
        </w:rPr>
        <w:t>的海通证券：</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3040" cy="3954780"/>
            <wp:effectExtent l="0" t="0" r="0" b="7620"/>
            <wp:docPr id="22" name="图片 2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ure_1"/>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Final portfolio value: $986470.00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Cumulative returns: -1.35 %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Sharpe ratio: -1.12</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Max. drawdown: 6.03 %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r>
        <w:rPr>
          <w:rFonts w:hint="eastAsia"/>
          <w:b w:val="0"/>
          <w:bCs w:val="0"/>
          <w:sz w:val="24"/>
          <w:szCs w:val="24"/>
          <w:lang w:val="en-US" w:eastAsia="zh-CN"/>
        </w:rPr>
        <w:t>Longest drawdown duration: 343 days, 0:00:00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outlineLvl w:val="9"/>
        <w:rPr>
          <w:rFonts w:hint="eastAsia"/>
          <w:b w:val="0"/>
          <w:bCs w:val="0"/>
          <w:sz w:val="24"/>
          <w:szCs w:val="24"/>
          <w:lang w:val="en-US" w:eastAsia="zh-CN"/>
        </w:rPr>
      </w:pPr>
    </w:p>
    <w:p>
      <w:pPr>
        <w:numPr>
          <w:ilvl w:val="0"/>
          <w:numId w:val="3"/>
        </w:numPr>
        <w:rPr>
          <w:rFonts w:hint="eastAsia"/>
          <w:b/>
          <w:bCs/>
          <w:sz w:val="24"/>
          <w:szCs w:val="24"/>
          <w:lang w:val="en-US" w:eastAsia="zh-CN"/>
        </w:rPr>
      </w:pPr>
      <w:r>
        <w:rPr>
          <w:rFonts w:hint="eastAsia"/>
          <w:b/>
          <w:bCs/>
          <w:sz w:val="24"/>
          <w:szCs w:val="24"/>
          <w:lang w:val="en-US" w:eastAsia="zh-CN"/>
        </w:rPr>
        <w:t>实验结果</w:t>
      </w:r>
    </w:p>
    <w:p>
      <w:pPr>
        <w:widowControl w:val="0"/>
        <w:numPr>
          <w:numId w:val="0"/>
        </w:numPr>
        <w:jc w:val="both"/>
        <w:rPr>
          <w:rFonts w:hint="eastAsia"/>
          <w:b/>
          <w:bCs/>
          <w:sz w:val="24"/>
          <w:szCs w:val="24"/>
          <w:lang w:val="en-US" w:eastAsia="zh-CN"/>
        </w:rPr>
      </w:pPr>
      <w:r>
        <w:rPr>
          <w:rFonts w:hint="eastAsia"/>
          <w:b/>
          <w:bCs/>
          <w:sz w:val="24"/>
          <w:szCs w:val="24"/>
          <w:lang w:val="en-US" w:eastAsia="zh-CN"/>
        </w:rPr>
        <w:t>1.过程1实验结果</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“601069”的股票7日均线进行了83次交易，其中42次买入，41次卖出。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最终资产价值：$993830.00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 -0.62 %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“601069”的股票14日均线进行了39次交易，其中20次买入，19次卖出。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 $1002020.00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 0.20 %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“601069”的股票26日均线进行了39次交易，其中20次买入，19次卖出。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 $1001730.00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 0.17 %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“601069”的股票30日均线进行了37次交易，其中19次买入，18次卖出。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 $999170.00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累计回报率：-0.08 %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2.过程2实验结果</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“601318”</w:t>
      </w:r>
      <w:r>
        <w:rPr>
          <w:rFonts w:hint="eastAsia"/>
          <w:b w:val="0"/>
          <w:bCs w:val="0"/>
          <w:sz w:val="24"/>
          <w:szCs w:val="24"/>
          <w:lang w:val="en-US" w:eastAsia="zh-CN"/>
        </w:rPr>
        <w:t>的中国平安进行了42次交易。其中21次买入，21次卖出。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最终资产价值：$1053410.00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累计回报率：5.34 %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“300347”</w:t>
      </w:r>
      <w:r>
        <w:rPr>
          <w:rFonts w:hint="eastAsia"/>
          <w:b w:val="0"/>
          <w:bCs w:val="0"/>
          <w:sz w:val="24"/>
          <w:szCs w:val="24"/>
          <w:lang w:val="en-US" w:eastAsia="zh-CN"/>
        </w:rPr>
        <w:t>的泰格医药进行了59次交易。其中30次买入，29次卖出。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最终资产价值：$1002770.00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累计回报率：0.28 %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“000596”</w:t>
      </w:r>
      <w:r>
        <w:rPr>
          <w:rFonts w:hint="eastAsia"/>
          <w:b w:val="0"/>
          <w:bCs w:val="0"/>
          <w:sz w:val="24"/>
          <w:szCs w:val="24"/>
          <w:lang w:val="en-US" w:eastAsia="zh-CN"/>
        </w:rPr>
        <w:t>的古井贡酒进行了37次交易。其中19次买入，18次卖出。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最终资产价值：$1086260.00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累计回报率：8.63 %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default"/>
          <w:b w:val="0"/>
          <w:bCs w:val="0"/>
          <w:sz w:val="24"/>
          <w:szCs w:val="24"/>
          <w:lang w:val="en-US" w:eastAsia="zh-CN"/>
        </w:rPr>
        <w:t>“600837”</w:t>
      </w:r>
      <w:r>
        <w:rPr>
          <w:rFonts w:hint="eastAsia"/>
          <w:b w:val="0"/>
          <w:bCs w:val="0"/>
          <w:sz w:val="24"/>
          <w:szCs w:val="24"/>
          <w:lang w:val="en-US" w:eastAsia="zh-CN"/>
        </w:rPr>
        <w:t>的海通证券进行了37次交易。其中19次买入，18次卖出。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最终资产价值：$986470.00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累计回报率：-1.35 %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textAlignment w:val="auto"/>
        <w:outlineLvl w:val="9"/>
        <w:rPr>
          <w:rFonts w:hint="eastAsia"/>
          <w:b w:val="0"/>
          <w:bCs w:val="0"/>
          <w:sz w:val="24"/>
          <w:szCs w:val="24"/>
          <w:lang w:val="en-US" w:eastAsia="zh-CN"/>
        </w:rPr>
      </w:pPr>
    </w:p>
    <w:p>
      <w:pPr>
        <w:numPr>
          <w:ilvl w:val="0"/>
          <w:numId w:val="3"/>
        </w:numPr>
        <w:rPr>
          <w:rFonts w:hint="eastAsia"/>
          <w:b/>
          <w:bCs/>
          <w:sz w:val="24"/>
          <w:szCs w:val="24"/>
          <w:lang w:val="en-US" w:eastAsia="zh-CN"/>
        </w:rPr>
      </w:pPr>
      <w:r>
        <w:rPr>
          <w:rFonts w:hint="eastAsia"/>
          <w:b/>
          <w:bCs/>
          <w:sz w:val="24"/>
          <w:szCs w:val="24"/>
          <w:lang w:val="en-US" w:eastAsia="zh-CN"/>
        </w:rPr>
        <w:t>实验分析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本次实验数据来源：用实验二的代码从雅虎（yahoo）获取数据</w:t>
      </w:r>
      <w:bookmarkStart w:id="18" w:name="_GoBack"/>
      <w:bookmarkEnd w:id="18"/>
      <w:r>
        <w:rPr>
          <w:rFonts w:hint="eastAsia"/>
          <w:b w:val="0"/>
          <w:bCs w:val="0"/>
          <w:sz w:val="24"/>
          <w:szCs w:val="24"/>
          <w:lang w:val="en-US" w:eastAsia="zh-CN"/>
        </w:rPr>
        <w:t>，交易时间：2015-12-31到2017-12-31。</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我对同一只股票不同策略进行了数据处理，得到回报率如图：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均线策略</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累计回报率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SMA7</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-0.62 %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SMA14</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0.20 %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SMA26</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0.17 %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SMA28</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lang w:val="en-US" w:eastAsia="zh-CN"/>
              </w:rPr>
            </w:pPr>
            <w:r>
              <w:rPr>
                <w:rFonts w:hint="eastAsia"/>
                <w:b w:val="0"/>
                <w:bCs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SMA30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-0.08 %</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通过表格可以明显的看出太低日数的均线策略或者太高的均线策略会导致交易赔本，回报率为负，合适的日数应为14日到28日。对此，我又修改了均线策略，发现21日均线是，回报率为0.61%,累计回报率为最高峰。通过对过程1的实验，明白了过高过低的群贤策略都会是回报率偏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过程2：我对不同股票进行了26日均线策略，然后通过过程2实验进行分析，发现对稳定提升的股票来说过高过低日数的策略对其回报率影响不大，例如中国平安，如图：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均线策略</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累计回报率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SMA7</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5.13 %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SMA14</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6.48 %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SMA26</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 xml:space="preserve"> 5.34 %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SMA28</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lang w:val="en-US" w:eastAsia="zh-CN"/>
              </w:rPr>
            </w:pPr>
            <w:r>
              <w:rPr>
                <w:rFonts w:hint="eastAsia"/>
                <w:b w:val="0"/>
                <w:bCs w:val="0"/>
                <w:sz w:val="24"/>
                <w:szCs w:val="24"/>
                <w:lang w:val="en-US" w:eastAsia="zh-CN"/>
              </w:rPr>
              <w:t>5.68 %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SMA30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5.91 %</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对波动较大的股票来说，过低过大的股票策略对其回报率影响大，例如泰格医药，如图：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均线策略</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累计回报率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SMA7</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-1.38 %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SMA14</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-2.04 %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SMA21</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2.33 %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SMA26</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0.28 %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SMA28</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-0.59 %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SMA30</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2.16 %</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因此，我得出了对稳定提升的股票来说，不同日数均线策略对齐影响较大；不稳定的股票来说，不同日数的均线对其影响极大，不能过高或者过低。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D83A8"/>
    <w:multiLevelType w:val="singleLevel"/>
    <w:tmpl w:val="84AD83A8"/>
    <w:lvl w:ilvl="0" w:tentative="0">
      <w:start w:val="1"/>
      <w:numFmt w:val="decimal"/>
      <w:lvlText w:val="%1."/>
      <w:lvlJc w:val="left"/>
      <w:pPr>
        <w:tabs>
          <w:tab w:val="left" w:pos="312"/>
        </w:tabs>
      </w:pPr>
    </w:lvl>
  </w:abstractNum>
  <w:abstractNum w:abstractNumId="1">
    <w:nsid w:val="9AB27829"/>
    <w:multiLevelType w:val="singleLevel"/>
    <w:tmpl w:val="9AB27829"/>
    <w:lvl w:ilvl="0" w:tentative="0">
      <w:start w:val="4"/>
      <w:numFmt w:val="decimal"/>
      <w:lvlText w:val="%1."/>
      <w:lvlJc w:val="left"/>
      <w:pPr>
        <w:tabs>
          <w:tab w:val="left" w:pos="312"/>
        </w:tabs>
      </w:pPr>
    </w:lvl>
  </w:abstractNum>
  <w:abstractNum w:abstractNumId="2">
    <w:nsid w:val="096B6735"/>
    <w:multiLevelType w:val="singleLevel"/>
    <w:tmpl w:val="096B6735"/>
    <w:lvl w:ilvl="0" w:tentative="0">
      <w:start w:val="1"/>
      <w:numFmt w:val="chineseCounting"/>
      <w:suff w:val="nothing"/>
      <w:lvlText w:val="%1、"/>
      <w:lvlJc w:val="left"/>
      <w:rPr>
        <w:rFonts w:hint="eastAsia"/>
      </w:rPr>
    </w:lvl>
  </w:abstractNum>
  <w:abstractNum w:abstractNumId="3">
    <w:nsid w:val="20CD816D"/>
    <w:multiLevelType w:val="singleLevel"/>
    <w:tmpl w:val="20CD816D"/>
    <w:lvl w:ilvl="0" w:tentative="0">
      <w:start w:val="1"/>
      <w:numFmt w:val="decimal"/>
      <w:lvlText w:val="%1."/>
      <w:lvlJc w:val="left"/>
      <w:pPr>
        <w:tabs>
          <w:tab w:val="left" w:pos="312"/>
        </w:tabs>
      </w:pPr>
    </w:lvl>
  </w:abstractNum>
  <w:abstractNum w:abstractNumId="4">
    <w:nsid w:val="527CA37F"/>
    <w:multiLevelType w:val="singleLevel"/>
    <w:tmpl w:val="527CA37F"/>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A00F8"/>
    <w:rsid w:val="00462E3A"/>
    <w:rsid w:val="00507784"/>
    <w:rsid w:val="009C179D"/>
    <w:rsid w:val="00BB2F21"/>
    <w:rsid w:val="01334ACE"/>
    <w:rsid w:val="01735B28"/>
    <w:rsid w:val="017E560B"/>
    <w:rsid w:val="023E532A"/>
    <w:rsid w:val="02446D45"/>
    <w:rsid w:val="035E7DFF"/>
    <w:rsid w:val="03867E61"/>
    <w:rsid w:val="03C2287B"/>
    <w:rsid w:val="046F770F"/>
    <w:rsid w:val="0482416A"/>
    <w:rsid w:val="04876C75"/>
    <w:rsid w:val="048E1635"/>
    <w:rsid w:val="05021C36"/>
    <w:rsid w:val="05323003"/>
    <w:rsid w:val="05360BA3"/>
    <w:rsid w:val="057F6C3E"/>
    <w:rsid w:val="05F35C64"/>
    <w:rsid w:val="06396B1E"/>
    <w:rsid w:val="06545FB4"/>
    <w:rsid w:val="065A47B2"/>
    <w:rsid w:val="0661113F"/>
    <w:rsid w:val="06A9636C"/>
    <w:rsid w:val="06ED2F44"/>
    <w:rsid w:val="07246A53"/>
    <w:rsid w:val="07812894"/>
    <w:rsid w:val="07846F8D"/>
    <w:rsid w:val="081157CE"/>
    <w:rsid w:val="08634E81"/>
    <w:rsid w:val="08764BFC"/>
    <w:rsid w:val="08A57F98"/>
    <w:rsid w:val="091F7A64"/>
    <w:rsid w:val="09D57CCB"/>
    <w:rsid w:val="09DA7A65"/>
    <w:rsid w:val="0A525AE0"/>
    <w:rsid w:val="0A653F27"/>
    <w:rsid w:val="0A9A46A7"/>
    <w:rsid w:val="0AAC05ED"/>
    <w:rsid w:val="0B0E0252"/>
    <w:rsid w:val="0B2C3AF9"/>
    <w:rsid w:val="0B2D1153"/>
    <w:rsid w:val="0B57236D"/>
    <w:rsid w:val="0B597757"/>
    <w:rsid w:val="0CA761E1"/>
    <w:rsid w:val="0D4F58C3"/>
    <w:rsid w:val="0D507DC5"/>
    <w:rsid w:val="0D5E73AA"/>
    <w:rsid w:val="0D8E50AA"/>
    <w:rsid w:val="0D986F45"/>
    <w:rsid w:val="0DE21B89"/>
    <w:rsid w:val="0E773671"/>
    <w:rsid w:val="0EC64DC1"/>
    <w:rsid w:val="0F1A28CF"/>
    <w:rsid w:val="0F4A638F"/>
    <w:rsid w:val="0FAA1AA4"/>
    <w:rsid w:val="0FC94C22"/>
    <w:rsid w:val="0FED7C73"/>
    <w:rsid w:val="10054B4D"/>
    <w:rsid w:val="10646019"/>
    <w:rsid w:val="109E3AE0"/>
    <w:rsid w:val="109F6D40"/>
    <w:rsid w:val="10D00628"/>
    <w:rsid w:val="110A2EE4"/>
    <w:rsid w:val="115A1D91"/>
    <w:rsid w:val="118B65F7"/>
    <w:rsid w:val="12040E75"/>
    <w:rsid w:val="12511CB9"/>
    <w:rsid w:val="1278474D"/>
    <w:rsid w:val="12A72F82"/>
    <w:rsid w:val="13424B06"/>
    <w:rsid w:val="13444898"/>
    <w:rsid w:val="13800954"/>
    <w:rsid w:val="13870CC6"/>
    <w:rsid w:val="14221040"/>
    <w:rsid w:val="148135FB"/>
    <w:rsid w:val="14877EFA"/>
    <w:rsid w:val="148C2608"/>
    <w:rsid w:val="148D0902"/>
    <w:rsid w:val="14AC7BE0"/>
    <w:rsid w:val="14AF1BB2"/>
    <w:rsid w:val="150D6FE7"/>
    <w:rsid w:val="1524024B"/>
    <w:rsid w:val="15920269"/>
    <w:rsid w:val="159C05B0"/>
    <w:rsid w:val="15E57886"/>
    <w:rsid w:val="16153ACA"/>
    <w:rsid w:val="163A7085"/>
    <w:rsid w:val="16B069EB"/>
    <w:rsid w:val="17022204"/>
    <w:rsid w:val="172A6A88"/>
    <w:rsid w:val="174B1369"/>
    <w:rsid w:val="1751184F"/>
    <w:rsid w:val="176B672D"/>
    <w:rsid w:val="17992869"/>
    <w:rsid w:val="18333CDB"/>
    <w:rsid w:val="18557B84"/>
    <w:rsid w:val="185A28FF"/>
    <w:rsid w:val="186224DA"/>
    <w:rsid w:val="18E917A0"/>
    <w:rsid w:val="195F5D14"/>
    <w:rsid w:val="1A072377"/>
    <w:rsid w:val="1A23639F"/>
    <w:rsid w:val="1A314ADA"/>
    <w:rsid w:val="1A3D7171"/>
    <w:rsid w:val="1A425566"/>
    <w:rsid w:val="1AFE771F"/>
    <w:rsid w:val="1B245953"/>
    <w:rsid w:val="1B2C39A1"/>
    <w:rsid w:val="1B316843"/>
    <w:rsid w:val="1B3E1F8C"/>
    <w:rsid w:val="1B702842"/>
    <w:rsid w:val="1C3555F8"/>
    <w:rsid w:val="1C381AE0"/>
    <w:rsid w:val="1C38485C"/>
    <w:rsid w:val="1C3C1030"/>
    <w:rsid w:val="1C531CA1"/>
    <w:rsid w:val="1C6D6B84"/>
    <w:rsid w:val="1C7F5456"/>
    <w:rsid w:val="1CDC41BB"/>
    <w:rsid w:val="1CFC26A3"/>
    <w:rsid w:val="1D0212FB"/>
    <w:rsid w:val="1D2A3610"/>
    <w:rsid w:val="1DAF3791"/>
    <w:rsid w:val="1DCA715C"/>
    <w:rsid w:val="1E4F7F27"/>
    <w:rsid w:val="1E7F7C63"/>
    <w:rsid w:val="1EC75C50"/>
    <w:rsid w:val="1F3D46A1"/>
    <w:rsid w:val="1F782DC6"/>
    <w:rsid w:val="1FFC13F4"/>
    <w:rsid w:val="20104B36"/>
    <w:rsid w:val="201570CB"/>
    <w:rsid w:val="201637E1"/>
    <w:rsid w:val="20692F4A"/>
    <w:rsid w:val="209F7EA1"/>
    <w:rsid w:val="20CD6850"/>
    <w:rsid w:val="217D75F2"/>
    <w:rsid w:val="219F49D7"/>
    <w:rsid w:val="21C16213"/>
    <w:rsid w:val="21DF0842"/>
    <w:rsid w:val="21ED22CF"/>
    <w:rsid w:val="21FE5666"/>
    <w:rsid w:val="22015B84"/>
    <w:rsid w:val="2211198B"/>
    <w:rsid w:val="22155113"/>
    <w:rsid w:val="22BE2C50"/>
    <w:rsid w:val="232B5FFD"/>
    <w:rsid w:val="234D43D9"/>
    <w:rsid w:val="240A4298"/>
    <w:rsid w:val="24155DFC"/>
    <w:rsid w:val="24331276"/>
    <w:rsid w:val="247C5FD8"/>
    <w:rsid w:val="25405DCF"/>
    <w:rsid w:val="25815078"/>
    <w:rsid w:val="25F26072"/>
    <w:rsid w:val="2601619A"/>
    <w:rsid w:val="266448E7"/>
    <w:rsid w:val="26885C5D"/>
    <w:rsid w:val="26DA602B"/>
    <w:rsid w:val="26E207D7"/>
    <w:rsid w:val="276C5113"/>
    <w:rsid w:val="276F551F"/>
    <w:rsid w:val="27700D82"/>
    <w:rsid w:val="27972A83"/>
    <w:rsid w:val="27BA1100"/>
    <w:rsid w:val="28167D2E"/>
    <w:rsid w:val="288518D1"/>
    <w:rsid w:val="288A4E0B"/>
    <w:rsid w:val="288A5F59"/>
    <w:rsid w:val="28956F07"/>
    <w:rsid w:val="289B514D"/>
    <w:rsid w:val="28AA43A9"/>
    <w:rsid w:val="2930771C"/>
    <w:rsid w:val="29E3150A"/>
    <w:rsid w:val="2A0954AB"/>
    <w:rsid w:val="2A192528"/>
    <w:rsid w:val="2AA6333E"/>
    <w:rsid w:val="2B1C33E1"/>
    <w:rsid w:val="2B2E56C5"/>
    <w:rsid w:val="2B563CAF"/>
    <w:rsid w:val="2B904E47"/>
    <w:rsid w:val="2BC213F3"/>
    <w:rsid w:val="2BD11B1B"/>
    <w:rsid w:val="2C815AD3"/>
    <w:rsid w:val="2CAD593F"/>
    <w:rsid w:val="2CE21F82"/>
    <w:rsid w:val="2CEF6B50"/>
    <w:rsid w:val="2CF34646"/>
    <w:rsid w:val="2D001C2E"/>
    <w:rsid w:val="2D32050E"/>
    <w:rsid w:val="2D5407EE"/>
    <w:rsid w:val="2D80644D"/>
    <w:rsid w:val="2DA3671A"/>
    <w:rsid w:val="2E62290C"/>
    <w:rsid w:val="2E6F1FF9"/>
    <w:rsid w:val="2EA600DC"/>
    <w:rsid w:val="2EC665A5"/>
    <w:rsid w:val="2ED66FEC"/>
    <w:rsid w:val="2F281E02"/>
    <w:rsid w:val="2F4249BC"/>
    <w:rsid w:val="2F955DA2"/>
    <w:rsid w:val="2FC22ECB"/>
    <w:rsid w:val="3042384D"/>
    <w:rsid w:val="3048247A"/>
    <w:rsid w:val="3059478F"/>
    <w:rsid w:val="30A1632C"/>
    <w:rsid w:val="30B75CF8"/>
    <w:rsid w:val="30C005DF"/>
    <w:rsid w:val="30F87C98"/>
    <w:rsid w:val="31DB62BD"/>
    <w:rsid w:val="31DD4D38"/>
    <w:rsid w:val="31F45764"/>
    <w:rsid w:val="31F92B10"/>
    <w:rsid w:val="32BA7075"/>
    <w:rsid w:val="3309126D"/>
    <w:rsid w:val="333F23DF"/>
    <w:rsid w:val="33637BF4"/>
    <w:rsid w:val="338C651A"/>
    <w:rsid w:val="33E876FD"/>
    <w:rsid w:val="340813C7"/>
    <w:rsid w:val="341D4792"/>
    <w:rsid w:val="34271BF9"/>
    <w:rsid w:val="3451163A"/>
    <w:rsid w:val="34C16F7E"/>
    <w:rsid w:val="34FB24E1"/>
    <w:rsid w:val="355C7CF0"/>
    <w:rsid w:val="35B83472"/>
    <w:rsid w:val="35C65184"/>
    <w:rsid w:val="36756043"/>
    <w:rsid w:val="368B6935"/>
    <w:rsid w:val="36C05209"/>
    <w:rsid w:val="36DC4409"/>
    <w:rsid w:val="372949D5"/>
    <w:rsid w:val="37B27DD3"/>
    <w:rsid w:val="37F414F0"/>
    <w:rsid w:val="383D441D"/>
    <w:rsid w:val="383F21AD"/>
    <w:rsid w:val="38AB34E8"/>
    <w:rsid w:val="38E76073"/>
    <w:rsid w:val="38F95EFF"/>
    <w:rsid w:val="39391785"/>
    <w:rsid w:val="393A3F58"/>
    <w:rsid w:val="393B2CA3"/>
    <w:rsid w:val="39435C51"/>
    <w:rsid w:val="39887757"/>
    <w:rsid w:val="39DD6A88"/>
    <w:rsid w:val="3A3919C4"/>
    <w:rsid w:val="3A5E02FD"/>
    <w:rsid w:val="3A697C91"/>
    <w:rsid w:val="3A6F7554"/>
    <w:rsid w:val="3A8F4735"/>
    <w:rsid w:val="3A9D15BE"/>
    <w:rsid w:val="3B18389E"/>
    <w:rsid w:val="3B22107C"/>
    <w:rsid w:val="3B4F7EC6"/>
    <w:rsid w:val="3B576EE2"/>
    <w:rsid w:val="3B894D79"/>
    <w:rsid w:val="3BC8006D"/>
    <w:rsid w:val="3BE930D1"/>
    <w:rsid w:val="3CEF0FB6"/>
    <w:rsid w:val="3DD1201A"/>
    <w:rsid w:val="3DD26C41"/>
    <w:rsid w:val="3E271583"/>
    <w:rsid w:val="3E45147A"/>
    <w:rsid w:val="3E8B75DC"/>
    <w:rsid w:val="3EEB26C1"/>
    <w:rsid w:val="3F102978"/>
    <w:rsid w:val="3F23008C"/>
    <w:rsid w:val="3F504335"/>
    <w:rsid w:val="3F591263"/>
    <w:rsid w:val="3F7838FA"/>
    <w:rsid w:val="3F8D05B7"/>
    <w:rsid w:val="3FDD5795"/>
    <w:rsid w:val="3FE26B63"/>
    <w:rsid w:val="40345EBD"/>
    <w:rsid w:val="404A67B3"/>
    <w:rsid w:val="40A56DAA"/>
    <w:rsid w:val="419825D6"/>
    <w:rsid w:val="419A68B1"/>
    <w:rsid w:val="41B22BD7"/>
    <w:rsid w:val="41F2249A"/>
    <w:rsid w:val="420B0C79"/>
    <w:rsid w:val="429559C7"/>
    <w:rsid w:val="42FF625A"/>
    <w:rsid w:val="432714ED"/>
    <w:rsid w:val="43273DB5"/>
    <w:rsid w:val="433C48AA"/>
    <w:rsid w:val="43850CC6"/>
    <w:rsid w:val="43B35802"/>
    <w:rsid w:val="43BC2C65"/>
    <w:rsid w:val="44090703"/>
    <w:rsid w:val="448C6593"/>
    <w:rsid w:val="44933166"/>
    <w:rsid w:val="449A30D3"/>
    <w:rsid w:val="449B18CB"/>
    <w:rsid w:val="44A97060"/>
    <w:rsid w:val="44FD79F7"/>
    <w:rsid w:val="45036AD2"/>
    <w:rsid w:val="459B3E46"/>
    <w:rsid w:val="45A828F8"/>
    <w:rsid w:val="45D42C66"/>
    <w:rsid w:val="45F94D95"/>
    <w:rsid w:val="46076F13"/>
    <w:rsid w:val="460964A7"/>
    <w:rsid w:val="460A610A"/>
    <w:rsid w:val="46523032"/>
    <w:rsid w:val="465773EB"/>
    <w:rsid w:val="467F54EC"/>
    <w:rsid w:val="469416D2"/>
    <w:rsid w:val="46B674A5"/>
    <w:rsid w:val="46E81B6A"/>
    <w:rsid w:val="46E85CAA"/>
    <w:rsid w:val="46EF3D3D"/>
    <w:rsid w:val="471D68EB"/>
    <w:rsid w:val="474C0411"/>
    <w:rsid w:val="47810796"/>
    <w:rsid w:val="47AA270F"/>
    <w:rsid w:val="47EF1676"/>
    <w:rsid w:val="47EF42D2"/>
    <w:rsid w:val="48774D94"/>
    <w:rsid w:val="4882559C"/>
    <w:rsid w:val="48F04000"/>
    <w:rsid w:val="49C472B9"/>
    <w:rsid w:val="4A304DB1"/>
    <w:rsid w:val="4A57382B"/>
    <w:rsid w:val="4AA0605E"/>
    <w:rsid w:val="4AE80FBA"/>
    <w:rsid w:val="4B381CE3"/>
    <w:rsid w:val="4B4349FA"/>
    <w:rsid w:val="4B441EDF"/>
    <w:rsid w:val="4B701FA0"/>
    <w:rsid w:val="4BAB6A6B"/>
    <w:rsid w:val="4C0150FB"/>
    <w:rsid w:val="4C045791"/>
    <w:rsid w:val="4C242C2B"/>
    <w:rsid w:val="4C295D23"/>
    <w:rsid w:val="4C6C1AD7"/>
    <w:rsid w:val="4C7963CC"/>
    <w:rsid w:val="4D2F39D3"/>
    <w:rsid w:val="4D4E76EB"/>
    <w:rsid w:val="4D806BC0"/>
    <w:rsid w:val="4DCD5775"/>
    <w:rsid w:val="4E0B5375"/>
    <w:rsid w:val="4E834A23"/>
    <w:rsid w:val="4EA47F59"/>
    <w:rsid w:val="4F252FE7"/>
    <w:rsid w:val="4F5A1354"/>
    <w:rsid w:val="4F834693"/>
    <w:rsid w:val="4FFD7E72"/>
    <w:rsid w:val="509C02B5"/>
    <w:rsid w:val="51265C18"/>
    <w:rsid w:val="51333003"/>
    <w:rsid w:val="51B5640F"/>
    <w:rsid w:val="520419F9"/>
    <w:rsid w:val="5226643C"/>
    <w:rsid w:val="531506C2"/>
    <w:rsid w:val="532B6BC1"/>
    <w:rsid w:val="53360728"/>
    <w:rsid w:val="535946F9"/>
    <w:rsid w:val="535B3FC5"/>
    <w:rsid w:val="53696D03"/>
    <w:rsid w:val="53991F7E"/>
    <w:rsid w:val="539B5B67"/>
    <w:rsid w:val="53EF6E2D"/>
    <w:rsid w:val="542C0F1A"/>
    <w:rsid w:val="54511E33"/>
    <w:rsid w:val="546C40DA"/>
    <w:rsid w:val="5516433D"/>
    <w:rsid w:val="5525731D"/>
    <w:rsid w:val="555C6215"/>
    <w:rsid w:val="557E303F"/>
    <w:rsid w:val="55C10F26"/>
    <w:rsid w:val="55DE22C5"/>
    <w:rsid w:val="563B4455"/>
    <w:rsid w:val="56404D2A"/>
    <w:rsid w:val="56567B96"/>
    <w:rsid w:val="56757672"/>
    <w:rsid w:val="56EE1D3E"/>
    <w:rsid w:val="56F95CAF"/>
    <w:rsid w:val="57116D6F"/>
    <w:rsid w:val="5731255E"/>
    <w:rsid w:val="5768308A"/>
    <w:rsid w:val="58D27534"/>
    <w:rsid w:val="58F00BD0"/>
    <w:rsid w:val="594267A8"/>
    <w:rsid w:val="596D14FC"/>
    <w:rsid w:val="59841008"/>
    <w:rsid w:val="59B878E6"/>
    <w:rsid w:val="59CD5766"/>
    <w:rsid w:val="5A8237D1"/>
    <w:rsid w:val="5A997206"/>
    <w:rsid w:val="5ADF0C52"/>
    <w:rsid w:val="5B00257E"/>
    <w:rsid w:val="5B1E267A"/>
    <w:rsid w:val="5B490051"/>
    <w:rsid w:val="5BFC3810"/>
    <w:rsid w:val="5C8230AB"/>
    <w:rsid w:val="5CF61071"/>
    <w:rsid w:val="5D5E0A21"/>
    <w:rsid w:val="5D7A463D"/>
    <w:rsid w:val="5D8A5C80"/>
    <w:rsid w:val="5DB30893"/>
    <w:rsid w:val="5DF63503"/>
    <w:rsid w:val="5E3E4772"/>
    <w:rsid w:val="5ED92149"/>
    <w:rsid w:val="5F4769FA"/>
    <w:rsid w:val="5F893657"/>
    <w:rsid w:val="608F3427"/>
    <w:rsid w:val="60937E69"/>
    <w:rsid w:val="60B415A9"/>
    <w:rsid w:val="619B055F"/>
    <w:rsid w:val="61B330DA"/>
    <w:rsid w:val="61BE20EF"/>
    <w:rsid w:val="620E52C0"/>
    <w:rsid w:val="62897F8E"/>
    <w:rsid w:val="62CF6A71"/>
    <w:rsid w:val="62D84265"/>
    <w:rsid w:val="62DA5634"/>
    <w:rsid w:val="62DD1AD8"/>
    <w:rsid w:val="62EB0127"/>
    <w:rsid w:val="632C52B3"/>
    <w:rsid w:val="638158D8"/>
    <w:rsid w:val="639F7203"/>
    <w:rsid w:val="64203961"/>
    <w:rsid w:val="64862E9E"/>
    <w:rsid w:val="651B0E34"/>
    <w:rsid w:val="652952A0"/>
    <w:rsid w:val="65363214"/>
    <w:rsid w:val="657A1BCE"/>
    <w:rsid w:val="665D435F"/>
    <w:rsid w:val="67626413"/>
    <w:rsid w:val="67775A15"/>
    <w:rsid w:val="67785679"/>
    <w:rsid w:val="67AE2E4C"/>
    <w:rsid w:val="67E61D75"/>
    <w:rsid w:val="686321B3"/>
    <w:rsid w:val="686A46B1"/>
    <w:rsid w:val="68A16FC7"/>
    <w:rsid w:val="68C446F3"/>
    <w:rsid w:val="68DA6B5F"/>
    <w:rsid w:val="68E45EEC"/>
    <w:rsid w:val="6935585E"/>
    <w:rsid w:val="69FB7ADD"/>
    <w:rsid w:val="6A5024D4"/>
    <w:rsid w:val="6A7038B9"/>
    <w:rsid w:val="6A732B79"/>
    <w:rsid w:val="6A913B63"/>
    <w:rsid w:val="6A952A0B"/>
    <w:rsid w:val="6ADB4414"/>
    <w:rsid w:val="6B385392"/>
    <w:rsid w:val="6B3A4EE3"/>
    <w:rsid w:val="6B967E05"/>
    <w:rsid w:val="6BBC716C"/>
    <w:rsid w:val="6BE23F06"/>
    <w:rsid w:val="6BE45AC8"/>
    <w:rsid w:val="6C1975A7"/>
    <w:rsid w:val="6C69235E"/>
    <w:rsid w:val="6C6B079E"/>
    <w:rsid w:val="6C9D0EC8"/>
    <w:rsid w:val="6D582735"/>
    <w:rsid w:val="6DD95A14"/>
    <w:rsid w:val="6E0C2DFC"/>
    <w:rsid w:val="6E0E0727"/>
    <w:rsid w:val="6E234ED5"/>
    <w:rsid w:val="6F315BA5"/>
    <w:rsid w:val="6F621AE3"/>
    <w:rsid w:val="707C67AE"/>
    <w:rsid w:val="70C42BF0"/>
    <w:rsid w:val="70E17BBB"/>
    <w:rsid w:val="710A154A"/>
    <w:rsid w:val="7281324C"/>
    <w:rsid w:val="7291501E"/>
    <w:rsid w:val="729B5DB2"/>
    <w:rsid w:val="72B366A5"/>
    <w:rsid w:val="73276986"/>
    <w:rsid w:val="73933A0F"/>
    <w:rsid w:val="739730EB"/>
    <w:rsid w:val="7399382D"/>
    <w:rsid w:val="73C84CE5"/>
    <w:rsid w:val="73E223C5"/>
    <w:rsid w:val="73E73CBE"/>
    <w:rsid w:val="74071D8F"/>
    <w:rsid w:val="744139D6"/>
    <w:rsid w:val="74932ED6"/>
    <w:rsid w:val="74B45970"/>
    <w:rsid w:val="75E318B7"/>
    <w:rsid w:val="765D52E7"/>
    <w:rsid w:val="768D38A9"/>
    <w:rsid w:val="769003C0"/>
    <w:rsid w:val="76CD01F8"/>
    <w:rsid w:val="76CF35A9"/>
    <w:rsid w:val="77632EDD"/>
    <w:rsid w:val="77703B8F"/>
    <w:rsid w:val="77744CAC"/>
    <w:rsid w:val="77E02E95"/>
    <w:rsid w:val="78807F45"/>
    <w:rsid w:val="78A54B5D"/>
    <w:rsid w:val="78B02326"/>
    <w:rsid w:val="78B5734A"/>
    <w:rsid w:val="790A5731"/>
    <w:rsid w:val="790A6C88"/>
    <w:rsid w:val="791802A5"/>
    <w:rsid w:val="793B5BE7"/>
    <w:rsid w:val="79441BF2"/>
    <w:rsid w:val="79771061"/>
    <w:rsid w:val="79B85BDC"/>
    <w:rsid w:val="79CF0AF5"/>
    <w:rsid w:val="7A264D99"/>
    <w:rsid w:val="7A28041E"/>
    <w:rsid w:val="7A5E1A99"/>
    <w:rsid w:val="7AB35BCB"/>
    <w:rsid w:val="7AC2041A"/>
    <w:rsid w:val="7B4073F4"/>
    <w:rsid w:val="7BAC0AC6"/>
    <w:rsid w:val="7BB865E6"/>
    <w:rsid w:val="7BBA7730"/>
    <w:rsid w:val="7BF42F5A"/>
    <w:rsid w:val="7C3D22EA"/>
    <w:rsid w:val="7C506A7C"/>
    <w:rsid w:val="7C7503A9"/>
    <w:rsid w:val="7CD030BA"/>
    <w:rsid w:val="7D223DD8"/>
    <w:rsid w:val="7D3D2C1A"/>
    <w:rsid w:val="7D757A05"/>
    <w:rsid w:val="7E1C60DC"/>
    <w:rsid w:val="7E3D725C"/>
    <w:rsid w:val="7E860103"/>
    <w:rsid w:val="7E94509A"/>
    <w:rsid w:val="7EC77A46"/>
    <w:rsid w:val="7EE74395"/>
    <w:rsid w:val="7EF7131C"/>
    <w:rsid w:val="7F193374"/>
    <w:rsid w:val="7F3025AC"/>
    <w:rsid w:val="7F66021A"/>
    <w:rsid w:val="7FCF5543"/>
    <w:rsid w:val="7FED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WPSOffice手动目录 1"/>
    <w:qFormat/>
    <w:uiPriority w:val="0"/>
    <w:pPr>
      <w:ind w:leftChars="0"/>
    </w:pPr>
    <w:rPr>
      <w:rFonts w:asciiTheme="minorHAnsi" w:hAnsiTheme="minorHAnsi" w:eastAsiaTheme="minorHAnsi" w:cstheme="minorBidi"/>
      <w:sz w:val="20"/>
      <w:szCs w:val="20"/>
    </w:rPr>
  </w:style>
  <w:style w:type="paragraph" w:customStyle="1" w:styleId="6">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草重木卯平→_→</cp:lastModifiedBy>
  <dcterms:modified xsi:type="dcterms:W3CDTF">2018-06-15T04:04:15Z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