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935C93">
      <w:pPr>
        <w:spacing w:after="120"/>
        <w:jc w:val="center"/>
      </w:pPr>
      <w:r>
        <w:drawing>
          <wp:inline distT="0" distB="0" distL="0" distR="0">
            <wp:extent cx="3048000" cy="742950"/>
            <wp:effectExtent l="0" t="0" r="4445" b="4445"/>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8"/>
                    <a:srcRect/>
                    <a:stretch>
                      <a:fillRect/>
                    </a:stretch>
                  </pic:blipFill>
                  <pic:spPr>
                    <a:xfrm>
                      <a:off x="0" y="0"/>
                      <a:ext cx="3048000" cy="742950"/>
                    </a:xfrm>
                    <a:prstGeom prst="rect">
                      <a:avLst/>
                    </a:prstGeom>
                  </pic:spPr>
                </pic:pic>
              </a:graphicData>
            </a:graphic>
          </wp:inline>
        </w:drawing>
      </w:r>
    </w:p>
    <w:p w14:paraId="5A0EF37F">
      <w:pPr>
        <w:pBdr>
          <w:bottom w:val="single" w:color="000000" w:sz="2" w:space="1"/>
        </w:pBdr>
        <w:spacing w:before="40"/>
      </w:pPr>
    </w:p>
    <w:p w14:paraId="0973F934">
      <w:pPr>
        <w:spacing w:before="80" w:after="300"/>
        <w:jc w:val="center"/>
      </w:pPr>
      <w:r>
        <w:rPr>
          <w:rFonts w:ascii="Arial" w:hAnsi="Arial" w:eastAsia="Arial" w:cs="Arial"/>
          <w:b/>
          <w:sz w:val="18"/>
          <w:szCs w:val="22"/>
          <w:lang w:val="en-US" w:eastAsia="zh-CN" w:bidi="ar-SA"/>
        </w:rPr>
        <w:t>XJTLU Entrepreneur College (Taicang)</w:t>
      </w:r>
    </w:p>
    <w:tbl>
      <w:tblPr>
        <w:tblStyle w:val="4"/>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3200"/>
        <w:gridCol w:w="6740"/>
      </w:tblGrid>
      <w:tr w14:paraId="7DC2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B622C73">
            <w:r>
              <w:rPr>
                <w:rFonts w:ascii="Arial" w:hAnsi="Arial" w:eastAsia="Arial" w:cs="Arial"/>
                <w:b/>
                <w:color w:val="000000"/>
                <w:sz w:val="20"/>
                <w:szCs w:val="20"/>
                <w:lang w:val="en-US" w:eastAsia="zh-CN" w:bidi="ar-SA"/>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7E1520">
            <w:r>
              <w:rPr>
                <w:rFonts w:ascii="Arial" w:hAnsi="Arial" w:eastAsia="Arial" w:cs="Arial"/>
                <w:color w:val="000000"/>
                <w:sz w:val="20"/>
                <w:szCs w:val="20"/>
                <w:lang w:val="en-US" w:eastAsia="zh-CN" w:bidi="ar-SA"/>
              </w:rPr>
              <w:t>ENT208TC Industry Readiness</w:t>
            </w:r>
          </w:p>
        </w:tc>
      </w:tr>
      <w:tr w14:paraId="77C95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20876073">
            <w:r>
              <w:rPr>
                <w:rFonts w:ascii="Arial" w:hAnsi="Arial" w:eastAsia="Arial" w:cs="Arial"/>
                <w:b/>
                <w:color w:val="000000"/>
                <w:sz w:val="20"/>
                <w:szCs w:val="20"/>
                <w:lang w:val="en-US" w:eastAsia="zh-CN" w:bidi="ar-SA"/>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3C77834">
            <w:r>
              <w:rPr>
                <w:rFonts w:ascii="Arial" w:hAnsi="Arial" w:eastAsia="Arial" w:cs="Arial"/>
                <w:color w:val="000000"/>
                <w:sz w:val="20"/>
                <w:szCs w:val="20"/>
                <w:lang w:val="en-US" w:eastAsia="zh-CN" w:bidi="ar-SA"/>
              </w:rPr>
              <w:t>XJTLU Entrepreneur College (Taicang)</w:t>
            </w:r>
          </w:p>
        </w:tc>
      </w:tr>
      <w:tr w14:paraId="0893C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C74438C">
            <w:r>
              <w:rPr>
                <w:rFonts w:ascii="Arial" w:hAnsi="Arial" w:eastAsia="Arial" w:cs="Arial"/>
                <w:b/>
                <w:color w:val="000000"/>
                <w:sz w:val="20"/>
                <w:szCs w:val="20"/>
                <w:lang w:val="en-US" w:eastAsia="zh-CN" w:bidi="ar-SA"/>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F6FE25">
            <w:r>
              <w:rPr>
                <w:rFonts w:ascii="Arial" w:hAnsi="Arial" w:eastAsia="Arial" w:cs="Arial"/>
                <w:color w:val="000000"/>
                <w:sz w:val="20"/>
                <w:szCs w:val="20"/>
                <w:lang w:val="en-US" w:eastAsia="zh-CN" w:bidi="ar-SA"/>
              </w:rPr>
              <w:t>Project Brief</w:t>
            </w:r>
          </w:p>
        </w:tc>
      </w:tr>
      <w:tr w14:paraId="1FCA8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7E431C5">
            <w:r>
              <w:rPr>
                <w:rFonts w:ascii="Arial" w:hAnsi="Arial" w:eastAsia="Arial" w:cs="Arial"/>
                <w:b/>
                <w:color w:val="000000"/>
                <w:sz w:val="20"/>
                <w:szCs w:val="20"/>
                <w:lang w:val="en-US" w:eastAsia="zh-CN" w:bidi="ar-SA"/>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07F4FB6">
            <w:r>
              <w:rPr>
                <w:rFonts w:ascii="Arial" w:hAnsi="Arial" w:eastAsia="Arial" w:cs="Arial"/>
                <w:b/>
                <w:color w:val="000000"/>
                <w:sz w:val="20"/>
                <w:szCs w:val="20"/>
                <w:lang w:val="en-US" w:eastAsia="zh-CN" w:bidi="ar-SA"/>
              </w:rPr>
              <w:t>Friday March 27, 2026 before 23:59 (Beijing Time, GMT+8)</w:t>
            </w:r>
          </w:p>
        </w:tc>
      </w:tr>
      <w:tr w14:paraId="09E2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4EC86DC">
            <w:r>
              <w:rPr>
                <w:rFonts w:ascii="Arial" w:hAnsi="Arial" w:eastAsia="Arial" w:cs="Arial"/>
                <w:b/>
                <w:color w:val="000000"/>
                <w:sz w:val="20"/>
                <w:szCs w:val="20"/>
                <w:lang w:val="en-US" w:eastAsia="zh-CN" w:bidi="ar-SA"/>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C8E565">
            <w:r>
              <w:rPr>
                <w:rFonts w:ascii="Arial" w:hAnsi="Arial" w:eastAsia="Arial" w:cs="Arial"/>
                <w:color w:val="000000"/>
                <w:sz w:val="20"/>
                <w:szCs w:val="20"/>
                <w:lang w:val="en-US" w:eastAsia="zh-CN" w:bidi="ar-SA"/>
              </w:rPr>
              <w:t>[Session 1— Group 27]</w:t>
            </w:r>
          </w:p>
        </w:tc>
      </w:tr>
      <w:tr w14:paraId="28EFC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F819DA2">
            <w:r>
              <w:rPr>
                <w:rFonts w:ascii="Arial" w:hAnsi="Arial" w:eastAsia="Arial" w:cs="Arial"/>
                <w:b/>
                <w:color w:val="000000"/>
                <w:sz w:val="20"/>
                <w:szCs w:val="20"/>
                <w:lang w:val="en-US" w:eastAsia="zh-CN" w:bidi="ar-SA"/>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31BF87">
            <w:r>
              <w:rPr>
                <w:rFonts w:ascii="Arial" w:hAnsi="Arial" w:eastAsia="Arial" w:cs="Arial"/>
                <w:color w:val="000000"/>
                <w:sz w:val="20"/>
                <w:szCs w:val="20"/>
                <w:lang w:val="en-US" w:eastAsia="zh-CN" w:bidi="ar-SA"/>
              </w:rPr>
              <w:t>[2362452, 2360861, 2361326, 2361098, 2364028, 2362478, 2361871]</w:t>
            </w:r>
          </w:p>
        </w:tc>
      </w:tr>
      <w:tr w14:paraId="71B0B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6D1942A">
            <w:r>
              <w:rPr>
                <w:rFonts w:ascii="Arial" w:hAnsi="Arial" w:eastAsia="Arial" w:cs="Arial"/>
                <w:b/>
                <w:color w:val="000000"/>
                <w:sz w:val="20"/>
                <w:szCs w:val="20"/>
                <w:lang w:val="en-US" w:eastAsia="zh-CN" w:bidi="ar-SA"/>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351AD72F">
            <w:pPr>
              <w:rPr>
                <w:rFonts w:hint="default" w:eastAsia="宋体"/>
                <w:lang w:val="en-US" w:eastAsia="zh-CN"/>
              </w:rPr>
            </w:pPr>
            <w:r>
              <w:rPr>
                <w:rFonts w:hint="eastAsia"/>
                <w:lang w:val="en-US" w:eastAsia="zh-CN"/>
              </w:rPr>
              <w:t>677</w:t>
            </w:r>
            <w:bookmarkStart w:id="0" w:name="_GoBack"/>
            <w:bookmarkEnd w:id="0"/>
          </w:p>
        </w:tc>
      </w:tr>
      <w:tr w14:paraId="7D1B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209470CD">
            <w:r>
              <w:rPr>
                <w:rFonts w:ascii="Arial" w:hAnsi="Arial" w:eastAsia="Arial" w:cs="Arial"/>
                <w:b/>
                <w:color w:val="000000"/>
                <w:sz w:val="16"/>
                <w:szCs w:val="22"/>
                <w:lang w:val="en-US" w:eastAsia="zh-CN" w:bidi="ar-SA"/>
              </w:rPr>
              <w:t xml:space="preserve">If you agree to let the university use your work anonymously for teaching and learning purposes, please type </w:t>
            </w:r>
            <w:r>
              <w:rPr>
                <w:rFonts w:ascii="Arial" w:hAnsi="Arial" w:eastAsia="Arial" w:cs="Arial"/>
                <w:b/>
                <w:sz w:val="20"/>
                <w:szCs w:val="16"/>
                <w:lang w:val="en-US" w:eastAsia="zh-CN" w:bidi="ar-SA"/>
              </w:rPr>
              <w:t>“yes”</w:t>
            </w:r>
            <w:r>
              <w:rPr>
                <w:rFonts w:ascii="Arial" w:hAnsi="Arial" w:eastAsia="Arial" w:cs="Arial"/>
                <w:b/>
                <w:color w:val="000000"/>
                <w:sz w:val="16"/>
                <w:szCs w:val="22"/>
                <w:lang w:val="en-US" w:eastAsia="zh-CN" w:bidi="ar-SA"/>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7EFF96E5">
            <w:r>
              <w:rPr>
                <w:rFonts w:ascii="Calibri" w:hAnsi="Calibri" w:eastAsia="Calibri" w:cs="Calibri"/>
                <w:sz w:val="22"/>
                <w:szCs w:val="22"/>
                <w:lang w:val="en-US" w:eastAsia="zh-CN" w:bidi="ar-SA"/>
              </w:rPr>
              <w:t>Yes</w:t>
            </w:r>
          </w:p>
          <w:p w14:paraId="12E2C24B"/>
        </w:tc>
      </w:tr>
    </w:tbl>
    <w:p w14:paraId="2040AB18">
      <w:pPr>
        <w:spacing w:before="300" w:after="120"/>
      </w:pPr>
    </w:p>
    <w:p w14:paraId="2550347F">
      <w:pPr>
        <w:spacing w:after="80"/>
      </w:pPr>
      <w:r>
        <w:rPr>
          <w:rFonts w:ascii="Arial" w:hAnsi="Arial" w:eastAsia="Arial" w:cs="Arial"/>
          <w:b/>
          <w:sz w:val="16"/>
          <w:szCs w:val="22"/>
          <w:lang w:val="en-US" w:eastAsia="zh-CN" w:bidi="ar-SA"/>
        </w:rPr>
        <w:t>I certify that I have read and understood the University’s Policy for dealing with Plagiarism, Collusion, and the Fabrication of Data (available on Learning Mall Online). With reference to this policy, I certify that:</w:t>
      </w:r>
    </w:p>
    <w:p w14:paraId="0ED46A25">
      <w:pPr>
        <w:pStyle w:val="8"/>
        <w:numPr>
          <w:ilvl w:val="0"/>
          <w:numId w:val="1"/>
        </w:numPr>
        <w:spacing w:after="80"/>
      </w:pPr>
      <w:r>
        <w:rPr>
          <w:rFonts w:ascii="Arial" w:hAnsi="Arial" w:eastAsia="Arial" w:cs="Arial"/>
          <w:b/>
          <w:sz w:val="28"/>
          <w:szCs w:val="18"/>
          <w:lang w:val="zh-CN"/>
        </w:rPr>
        <w:t>My work does not contain any instances of plagiarism and/or collusion. My work does not contain any fabricated data.</w:t>
      </w:r>
    </w:p>
    <w:p w14:paraId="4A663E55">
      <w:pPr>
        <w:spacing w:before="120"/>
      </w:pPr>
      <w:r>
        <w:rPr>
          <w:rFonts w:ascii="Arial" w:hAnsi="Arial" w:eastAsia="Arial" w:cs="Arial"/>
          <w:b/>
          <w:sz w:val="18"/>
          <w:szCs w:val="20"/>
          <w:lang w:val="en-US" w:eastAsia="zh-CN" w:bidi="ar-SA"/>
        </w:rPr>
        <w:t>By uploading my assignment onto Learning Mall Online, I formally declare that all of the above information is true to the best of my knowledge and belief.</w:t>
      </w:r>
    </w:p>
    <w:tbl>
      <w:tblPr>
        <w:tblStyle w:val="4"/>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1400"/>
        <w:gridCol w:w="1000"/>
        <w:gridCol w:w="1000"/>
        <w:gridCol w:w="1000"/>
        <w:gridCol w:w="1000"/>
        <w:gridCol w:w="1000"/>
        <w:gridCol w:w="1540"/>
      </w:tblGrid>
      <w:tr w14:paraId="2E7A5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98A876E">
            <w:pPr>
              <w:jc w:val="center"/>
            </w:pPr>
            <w:r>
              <w:rPr>
                <w:rFonts w:ascii="Arial" w:hAnsi="Arial" w:eastAsia="Arial" w:cs="Arial"/>
                <w:b/>
                <w:color w:val="000000"/>
                <w:sz w:val="16"/>
                <w:szCs w:val="16"/>
                <w:lang w:val="en-US" w:eastAsia="zh-CN" w:bidi="ar-SA"/>
              </w:rPr>
              <w:t>Scoring — For Tutor Use</w:t>
            </w:r>
          </w:p>
        </w:tc>
      </w:tr>
      <w:tr w14:paraId="174D5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6BDCDF0">
            <w:pPr>
              <w:jc w:val="center"/>
            </w:pPr>
            <w:r>
              <w:rPr>
                <w:rFonts w:ascii="Arial" w:hAnsi="Arial" w:eastAsia="Arial" w:cs="Arial"/>
                <w:b/>
                <w:color w:val="000000"/>
                <w:sz w:val="16"/>
                <w:szCs w:val="16"/>
                <w:lang w:val="en-US" w:eastAsia="zh-CN" w:bidi="ar-SA"/>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A874850">
            <w:pPr>
              <w:jc w:val="center"/>
            </w:pPr>
          </w:p>
        </w:tc>
      </w:tr>
      <w:tr w14:paraId="7C566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3C2BDCA">
            <w:pPr>
              <w:jc w:val="center"/>
            </w:pPr>
            <w:r>
              <w:rPr>
                <w:rFonts w:ascii="Arial" w:hAnsi="Arial" w:eastAsia="Arial" w:cs="Arial"/>
                <w:b/>
                <w:color w:val="000000"/>
                <w:sz w:val="16"/>
                <w:szCs w:val="16"/>
                <w:lang w:val="en-US" w:eastAsia="zh-CN" w:bidi="ar-SA"/>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31F1A30">
            <w:pPr>
              <w:jc w:val="center"/>
            </w:pPr>
            <w:r>
              <w:rPr>
                <w:rFonts w:ascii="Arial" w:hAnsi="Arial" w:eastAsia="Arial" w:cs="Arial"/>
                <w:b/>
                <w:color w:val="000000"/>
                <w:sz w:val="16"/>
                <w:szCs w:val="16"/>
                <w:lang w:val="en-US" w:eastAsia="zh-CN" w:bidi="ar-SA"/>
              </w:rPr>
              <w:t>Marker Code</w:t>
            </w:r>
          </w:p>
        </w:tc>
        <w:tc>
          <w:tcPr>
            <w:tcW w:w="1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64C84385">
            <w:pPr>
              <w:jc w:val="center"/>
            </w:pPr>
            <w:r>
              <w:rPr>
                <w:rFonts w:ascii="Arial" w:hAnsi="Arial" w:eastAsia="Arial" w:cs="Arial"/>
                <w:b/>
                <w:color w:val="000000"/>
                <w:sz w:val="16"/>
                <w:szCs w:val="22"/>
                <w:lang w:val="en-US" w:eastAsia="zh-CN" w:bidi="ar-SA"/>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2DDEA4B">
            <w:pPr>
              <w:jc w:val="center"/>
            </w:pPr>
            <w:r>
              <w:rPr>
                <w:rFonts w:ascii="Arial" w:hAnsi="Arial" w:eastAsia="Arial" w:cs="Arial"/>
                <w:b/>
                <w:color w:val="000000"/>
                <w:sz w:val="16"/>
                <w:szCs w:val="16"/>
                <w:lang w:val="en-US" w:eastAsia="zh-CN" w:bidi="ar-SA"/>
              </w:rPr>
              <w:t>Final Score</w:t>
            </w:r>
          </w:p>
        </w:tc>
      </w:tr>
      <w:tr w14:paraId="6A49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5B92C61">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01B816B">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1E50B41A">
            <w:pPr>
              <w:jc w:val="center"/>
            </w:pPr>
            <w:r>
              <w:rPr>
                <w:rFonts w:ascii="Arial" w:hAnsi="Arial" w:eastAsia="Arial" w:cs="Arial"/>
                <w:b/>
                <w:color w:val="000000"/>
                <w:sz w:val="16"/>
                <w:szCs w:val="16"/>
                <w:lang w:val="en-US" w:eastAsia="zh-CN" w:bidi="ar-SA"/>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168B6116">
            <w:pPr>
              <w:jc w:val="center"/>
            </w:pPr>
            <w:r>
              <w:rPr>
                <w:rFonts w:ascii="Arial" w:hAnsi="Arial" w:eastAsia="Arial" w:cs="Arial"/>
                <w:b/>
                <w:color w:val="000000"/>
                <w:sz w:val="16"/>
                <w:szCs w:val="16"/>
                <w:lang w:val="en-US" w:eastAsia="zh-CN" w:bidi="ar-SA"/>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49367EFC">
            <w:pPr>
              <w:jc w:val="center"/>
            </w:pPr>
            <w:r>
              <w:rPr>
                <w:rFonts w:ascii="Arial" w:hAnsi="Arial" w:eastAsia="Arial" w:cs="Arial"/>
                <w:b/>
                <w:color w:val="000000"/>
                <w:sz w:val="16"/>
                <w:szCs w:val="16"/>
                <w:lang w:val="en-US" w:eastAsia="zh-CN" w:bidi="ar-SA"/>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6FC29DBA">
            <w:pPr>
              <w:jc w:val="center"/>
            </w:pPr>
            <w:r>
              <w:rPr>
                <w:rFonts w:ascii="Arial" w:hAnsi="Arial" w:eastAsia="Arial" w:cs="Arial"/>
                <w:b/>
                <w:color w:val="000000"/>
                <w:sz w:val="16"/>
                <w:szCs w:val="16"/>
                <w:lang w:val="en-US" w:eastAsia="zh-CN" w:bidi="ar-SA"/>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41C97541">
            <w:pPr>
              <w:jc w:val="center"/>
            </w:pPr>
            <w:r>
              <w:rPr>
                <w:rFonts w:ascii="Arial" w:hAnsi="Arial" w:eastAsia="Arial" w:cs="Arial"/>
                <w:b/>
                <w:color w:val="000000"/>
                <w:sz w:val="16"/>
                <w:szCs w:val="16"/>
                <w:lang w:val="en-US" w:eastAsia="zh-CN" w:bidi="ar-SA"/>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2783E9F">
            <w:pPr>
              <w:jc w:val="center"/>
            </w:pPr>
          </w:p>
        </w:tc>
      </w:tr>
      <w:tr w14:paraId="58FD3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AD3E9E8">
            <w:r>
              <w:rPr>
                <w:rFonts w:ascii="Arial" w:hAnsi="Arial" w:eastAsia="Arial" w:cs="Arial"/>
                <w:color w:val="000000"/>
                <w:sz w:val="16"/>
                <w:szCs w:val="16"/>
                <w:lang w:val="en-US" w:eastAsia="zh-CN" w:bidi="ar-SA"/>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9C7CA7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693427D">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EECFB2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7B3C466">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E64C61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0625F99">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E24DEAE">
            <w:pPr>
              <w:jc w:val="center"/>
            </w:pPr>
          </w:p>
        </w:tc>
      </w:tr>
      <w:tr w14:paraId="72EE8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1AF0F42">
            <w:r>
              <w:rPr>
                <w:rFonts w:ascii="Arial" w:hAnsi="Arial" w:eastAsia="Arial" w:cs="Arial"/>
                <w:color w:val="000000"/>
                <w:sz w:val="16"/>
                <w:szCs w:val="22"/>
                <w:lang w:val="en-US" w:eastAsia="zh-CN" w:bidi="ar-SA"/>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6E91B67">
            <w:pPr>
              <w:jc w:val="center"/>
            </w:pPr>
            <w:r>
              <w:rPr>
                <w:rFonts w:ascii="Arial" w:hAnsi="Arial" w:eastAsia="Arial" w:cs="Arial"/>
                <w:color w:val="000000"/>
                <w:sz w:val="16"/>
                <w:szCs w:val="16"/>
                <w:lang w:val="en-US" w:eastAsia="zh-CN" w:bidi="ar-SA"/>
              </w:rPr>
              <w:t>IM Initials</w:t>
            </w:r>
          </w:p>
        </w:tc>
        <w:tc>
          <w:tcPr>
            <w:tcW w:w="1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5E35257F">
            <w:r>
              <w:rPr>
                <w:rFonts w:ascii="Calibri" w:hAnsi="Calibri" w:eastAsia="Calibri" w:cs="Calibri"/>
                <w:b/>
                <w:sz w:val="26"/>
                <w:szCs w:val="22"/>
                <w:lang w:val="en-US" w:eastAsia="zh-CN" w:bidi="ar-SA"/>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527AE1">
            <w:pPr>
              <w:jc w:val="center"/>
            </w:pPr>
            <w:r>
              <w:rPr>
                <w:rFonts w:ascii="Arial" w:hAnsi="Arial" w:eastAsia="Arial" w:cs="Arial"/>
                <w:color w:val="000000"/>
                <w:sz w:val="16"/>
                <w:szCs w:val="16"/>
                <w:lang w:val="en-US" w:eastAsia="zh-CN" w:bidi="ar-SA"/>
              </w:rPr>
              <w:t>Y / N</w:t>
            </w:r>
          </w:p>
        </w:tc>
      </w:tr>
      <w:tr w14:paraId="36CB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21BC2DA">
            <w:r>
              <w:rPr>
                <w:rFonts w:ascii="Arial" w:hAnsi="Arial" w:eastAsia="Arial" w:cs="Arial"/>
                <w:color w:val="000000"/>
                <w:sz w:val="16"/>
                <w:szCs w:val="16"/>
                <w:lang w:val="en-US" w:eastAsia="zh-CN" w:bidi="ar-SA"/>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29C92A6">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650539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41AEEB0">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BF9E2F5">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788ADB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EB745FF">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FE07104">
            <w:pPr>
              <w:jc w:val="center"/>
            </w:pPr>
          </w:p>
        </w:tc>
      </w:tr>
    </w:tbl>
    <w:p w14:paraId="077520FA">
      <w:pPr>
        <w:spacing w:before="200"/>
      </w:pPr>
    </w:p>
    <w:p w14:paraId="62102F19">
      <w:pPr>
        <w:jc w:val="center"/>
        <w:rPr>
          <w:rFonts w:hint="eastAsia"/>
        </w:rPr>
        <w:sectPr>
          <w:pgSz w:w="11906" w:h="16838"/>
          <w:pgMar w:top="1000" w:right="980" w:bottom="1200" w:left="980" w:header="708" w:footer="708" w:gutter="0"/>
          <w:cols w:space="720" w:num="1"/>
          <w:docGrid w:linePitch="360" w:charSpace="0"/>
        </w:sectPr>
      </w:pPr>
      <w:r>
        <w:drawing>
          <wp:inline distT="0" distB="0" distL="0" distR="0">
            <wp:extent cx="1905000" cy="390525"/>
            <wp:effectExtent l="0" t="0" r="1905" b="635"/>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9"/>
                    <a:srcRect/>
                    <a:stretch>
                      <a:fillRect/>
                    </a:stretch>
                  </pic:blipFill>
                  <pic:spPr>
                    <a:xfrm>
                      <a:off x="0" y="0"/>
                      <a:ext cx="1905000" cy="390525"/>
                    </a:xfrm>
                    <a:prstGeom prst="rect">
                      <a:avLst/>
                    </a:prstGeom>
                  </pic:spPr>
                </pic:pic>
              </a:graphicData>
            </a:graphic>
          </wp:inline>
        </w:drawing>
      </w:r>
    </w:p>
    <w:p w14:paraId="7ED105AE">
      <w:pPr>
        <w:pStyle w:val="2"/>
      </w:pPr>
      <w:r>
        <w:rPr>
          <w:rFonts w:ascii="Calibri" w:hAnsi="Calibri" w:eastAsia="Calibri" w:cs="Calibri"/>
          <w:b/>
          <w:sz w:val="32"/>
          <w:szCs w:val="22"/>
          <w:lang w:val="en-US" w:eastAsia="zh-CN" w:bidi="ar-SA"/>
        </w:rPr>
        <w:t>Section 1 - The Problem</w:t>
      </w:r>
    </w:p>
    <w:p w14:paraId="02C09B71">
      <w:r>
        <w:rPr>
          <w:rFonts w:ascii="Calibri" w:hAnsi="Calibri" w:eastAsia="Calibri" w:cs="Calibri"/>
          <w:sz w:val="22"/>
          <w:szCs w:val="22"/>
          <w:lang w:val="en-US" w:eastAsia="zh-CN" w:bidi="ar-SA"/>
        </w:rPr>
        <w:t>Fitness beginners frequently struggle with two critical exercise-related challenges that lead to discouragement or even physical injury: incorrect form and lack of training logic. First, beginners find it extremely difficult to judge whether their exercise form is correct—especially for compound movements like squats and bench press. Without real-time feedback, they cannot identify dangerous posture deviations such as insufficient depth, misalignment, or improper joint angles, resulting in inefficient training and high risk of acute or chronic injury. Second, beginners lack structured training logic: they do not know which muscle groups to target on which days, how to select appropriate sets, reps, and intensity, or how to progressively overload safely. Existing solutions—static tutorial videos, generic fitness articles, or basic tracking apps—fail to provide the real-time, personalized guidance beginners need to train both safely and effectively.</w:t>
      </w:r>
    </w:p>
    <w:p w14:paraId="579623CF">
      <w:r>
        <w:rPr>
          <w:rFonts w:ascii="Calibri" w:hAnsi="Calibri" w:eastAsia="Calibri" w:cs="Calibri"/>
          <w:sz w:val="22"/>
          <w:szCs w:val="22"/>
          <w:lang w:val="en-US" w:eastAsia="zh-CN" w:bidi="ar-SA"/>
        </w:rPr>
        <w:t>Currently, beginners attempt to learn proper form by watching tutorial videos, reading fitness articles, or occasionally asking gym staff for quick tips. However, these workarounds fail to address both core issues. For form correction, there is no real-time feedback mechanism to correct posture during actual exercise—users cannot see their own movement from a third-person perspective, and mirrors offer limited angular information. For training logic, generic plans ignore individual factors such as recovery capacity, exercise history, and available equipment, leaving beginners uncertain about whether they are progressing or plateauing. The combination of poor form and unstructured programming not only wastes time but significantly increases the risk of muscle strain, joint injury, and long-term physical damage, causing many beginners to quit within the first three months.</w:t>
      </w:r>
    </w:p>
    <w:p w14:paraId="2D2092BF">
      <w:pPr>
        <w:pStyle w:val="2"/>
      </w:pPr>
      <w:r>
        <w:rPr>
          <w:rFonts w:ascii="Calibri" w:hAnsi="Calibri" w:eastAsia="Calibri" w:cs="Calibri"/>
          <w:b/>
          <w:sz w:val="32"/>
          <w:szCs w:val="22"/>
          <w:lang w:val="en-US" w:eastAsia="zh-CN" w:bidi="ar-SA"/>
        </w:rPr>
        <w:t>Section 2 - Target Users</w:t>
      </w:r>
    </w:p>
    <w:p w14:paraId="7FAB19CB">
      <w:r>
        <w:rPr>
          <w:rFonts w:ascii="Calibri" w:hAnsi="Calibri" w:eastAsia="Calibri" w:cs="Calibri"/>
          <w:sz w:val="22"/>
          <w:szCs w:val="22"/>
          <w:lang w:val="en-US" w:eastAsia="zh-CN" w:bidi="ar-SA"/>
        </w:rPr>
        <w:t>Our primary user is a fitness beginner, typically aged 18-30, who has recently started or is considering starting a regular exercise routine. They may be university students or young professionals who want to improve their physical health but have limited experience with structured workouts. They are tech-comfortable and prefer digital solutions for daily challenges. These users train at home or in commercial gyms, often exercising alone without a training partner or coach to check their form. They are motivated by visible progress and long-term health benefits but frustrated by the gap between "watching a tutorial" and "knowing they are doing it right." They also struggle to design coherent weekly training schedules and often follow random workouts found on social media that lack progressive overload principles.</w:t>
      </w:r>
    </w:p>
    <w:p w14:paraId="0E61C5E2">
      <w:r>
        <w:rPr>
          <w:rFonts w:ascii="Calibri" w:hAnsi="Calibri" w:eastAsia="Calibri" w:cs="Calibri"/>
          <w:sz w:val="22"/>
          <w:szCs w:val="22"/>
          <w:lang w:val="en-US" w:eastAsia="zh-CN" w:bidi="ar-SA"/>
        </w:rPr>
        <w:t>These users are motivated by the desire to exercise safely and effectively without the high cost of personal trainers. They value convenience, data-driven insights, and personalized guidance but feel intimidated by crowded gyms and complex fitness terminology. They do not already use existing solutions because most fitness apps either lack real-time posture correction features, treat workouts as isolated checklists rather than cohesive programs, or require expensive hardware subscriptions. Our solution—FitVision—directly addresses both pain points by combining real-time computer-vision form correction with AI-generated workout logic, giving beginners the equivalent of a personal trainer and strength coach in their pocket at a fraction of the cost.</w:t>
      </w:r>
    </w:p>
    <w:p w14:paraId="0FFD32E5">
      <w:pPr>
        <w:pStyle w:val="2"/>
        <w:outlineLvl w:val="1"/>
      </w:pPr>
      <w:r>
        <w:rPr>
          <w:rFonts w:ascii="Calibri" w:hAnsi="Calibri" w:eastAsia="Calibri" w:cs="Calibri"/>
          <w:b/>
          <w:sz w:val="32"/>
          <w:szCs w:val="22"/>
          <w:lang w:val="en-US" w:eastAsia="zh-CN" w:bidi="ar-SA"/>
        </w:rPr>
        <w:t>Section 3 - Value Proposition</w:t>
      </w:r>
    </w:p>
    <w:p w14:paraId="5A73129A">
      <w:pPr>
        <w:rPr>
          <w:b w:val="0"/>
          <w:bCs/>
        </w:rPr>
      </w:pPr>
      <w:r>
        <w:rPr>
          <w:rFonts w:ascii="Calibri" w:hAnsi="Calibri" w:eastAsia="Calibri" w:cs="Calibri"/>
          <w:b w:val="0"/>
          <w:bCs/>
          <w:sz w:val="22"/>
          <w:szCs w:val="20"/>
          <w:lang w:val="en-US" w:eastAsia="zh-CN" w:bidi="ar-SA"/>
        </w:rPr>
        <w:t>FitVision delivers a unique dual-value proposition that no single competitor currently offers at this price point. First, it eliminates the fear of injury by providing real-time, computer-vision-based posture correction that acts like a personal trainer watching every rep—something static video tutorials and text-based apps cannot do. Users gain confidence because they receive immediate, visual, quantitative feedback (joint angles, depth scores, trajectory plots) rather than vague cues like "go deeper" or "keep your back straight." Second, it removes the guesswork from programming by generating coherent, progressive workout plans through an AI coach that understands the user's goals, constraints, and recovery status. Unlike random social-media workouts, FitVision ensures every session builds logically toward long-term strength and fitness goals.</w:t>
      </w:r>
    </w:p>
    <w:p w14:paraId="7DABFAAC">
      <w:pPr>
        <w:rPr>
          <w:b w:val="0"/>
          <w:bCs/>
        </w:rPr>
      </w:pPr>
      <w:r>
        <w:rPr>
          <w:rFonts w:ascii="Calibri" w:hAnsi="Calibri" w:eastAsia="Calibri" w:cs="Calibri"/>
          <w:b w:val="0"/>
          <w:bCs/>
          <w:sz w:val="22"/>
          <w:szCs w:val="20"/>
          <w:lang w:val="en-US" w:eastAsia="zh-CN" w:bidi="ar-SA"/>
        </w:rPr>
        <w:t>The integration with FitNutrify amplifies this value: for the first time, beginners can manage both their training stimulus and nutritional intake within one connected ecosystem. This holistic approach accelerates results, improves adherence, and differentiates FitVision from fragmented point solutions. In short, FitVision democratizes intelligent personal training—making professional-grade form correction and programming accessible to anyone with a camera and a smartphone.</w:t>
      </w:r>
    </w:p>
    <w:p w14:paraId="5976880B">
      <w:pPr>
        <w:jc w:val="left"/>
        <w:rPr>
          <w:rFonts w:hint="eastAsia"/>
        </w:rPr>
      </w:pP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8B114">
    <w:pPr>
      <w:jc w:val="center"/>
    </w:pPr>
    <w:r>
      <w:fldChar w:fldCharType="begin"/>
    </w:r>
    <w:r>
      <w:instrText xml:space="preserve">PAGE</w:instrText>
    </w:r>
    <w:r>
      <w:fldChar w:fldCharType="separate"/>
    </w:r>
    <w:r>
      <w:t>1</w:t>
    </w:r>
    <w:r>
      <w:fldChar w:fldCharType="end"/>
    </w:r>
    <w:r>
      <w:t xml:space="preserve"> / </w:t>
    </w:r>
    <w:r>
      <w:fldChar w:fldCharType="begin"/>
    </w:r>
    <w:r>
      <w:instrText xml:space="preserve">NUMPAGES</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FB8A9">
    <w:pPr>
      <w:spacing w:after="0"/>
      <w:jc w:val="center"/>
    </w:pPr>
    <w:r>
      <w:rPr>
        <w:color w:val="9E9E9E"/>
        <w:sz w:val="18"/>
      </w:rPr>
      <w:t>Fitness AI Assistant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C38ACD"/>
    <w:multiLevelType w:val="multilevel"/>
    <w:tmpl w:val="69C38ACD"/>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47C"/>
    <w:rsid w:val="00306282"/>
    <w:rsid w:val="00590AE6"/>
    <w:rsid w:val="00AB147C"/>
    <w:rsid w:val="00E756C0"/>
    <w:rsid w:val="0B1F7C3C"/>
    <w:rsid w:val="13206D85"/>
    <w:rsid w:val="40BC6EC2"/>
    <w:rsid w:val="59E446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12" w:lineRule="auto"/>
      <w:jc w:val="both"/>
    </w:pPr>
    <w:rPr>
      <w:rFonts w:ascii="Calibri" w:hAnsi="Calibri" w:eastAsia="宋体" w:cs="Times New Roman"/>
      <w:color w:val="212121"/>
      <w:sz w:val="22"/>
      <w:szCs w:val="22"/>
      <w:lang w:val="en-US" w:eastAsia="zh-CN" w:bidi="ar-SA"/>
    </w:rPr>
  </w:style>
  <w:style w:type="paragraph" w:styleId="2">
    <w:name w:val="heading 1"/>
    <w:basedOn w:val="1"/>
    <w:next w:val="1"/>
    <w:qFormat/>
    <w:uiPriority w:val="0"/>
    <w:pPr>
      <w:keepNext/>
      <w:keepLines/>
      <w:spacing w:before="480" w:after="240" w:line="240" w:lineRule="auto"/>
      <w:outlineLvl w:val="0"/>
    </w:pPr>
    <w:rPr>
      <w:b/>
      <w:color w:val="2E7D32"/>
      <w:sz w:val="32"/>
    </w:rPr>
  </w:style>
  <w:style w:type="paragraph" w:styleId="3">
    <w:name w:val="heading 2"/>
    <w:basedOn w:val="1"/>
    <w:next w:val="1"/>
    <w:unhideWhenUsed/>
    <w:qFormat/>
    <w:uiPriority w:val="0"/>
    <w:pPr>
      <w:keepNext/>
      <w:keepLines/>
      <w:spacing w:before="320" w:after="160"/>
      <w:outlineLvl w:val="1"/>
    </w:pPr>
    <w:rPr>
      <w:b/>
      <w:sz w:val="26"/>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6">
    <w:name w:val="FollowedHyperlink"/>
    <w:basedOn w:val="5"/>
    <w:qFormat/>
    <w:uiPriority w:val="0"/>
    <w:rPr>
      <w:color w:val="800080"/>
      <w:u w:val="single"/>
    </w:rPr>
  </w:style>
  <w:style w:type="character" w:styleId="7">
    <w:name w:val="Hyperlink"/>
    <w:basedOn w:val="5"/>
    <w:qFormat/>
    <w:uiPriority w:val="0"/>
    <w:rPr>
      <w:color w:val="0000FF"/>
      <w:u w:val="single"/>
    </w:rPr>
  </w:style>
  <w:style w:type="paragraph" w:customStyle="1" w:styleId="8">
    <w:name w:val="列表段落1"/>
    <w:qFormat/>
    <w:uiPriority w:val="0"/>
    <w:rPr>
      <w:rFonts w:ascii="Calibri" w:hAnsi="Calibri" w:eastAsia="Calibri" w:cs="Calibri"/>
      <w:sz w:val="24"/>
      <w:szCs w:val="24"/>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1357</Words>
  <Characters>8262</Characters>
  <Lines>137</Lines>
  <Paragraphs>74</Paragraphs>
  <TotalTime>3</TotalTime>
  <ScaleCrop>false</ScaleCrop>
  <LinksUpToDate>false</LinksUpToDate>
  <CharactersWithSpaces>9575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2026-03-27T12:15:00Z</dcterms:created>
  <dc:creator>iPad</dc:creator>
  <cp:lastModifiedBy>竹子</cp:lastModifiedBy>
  <dcterms:modified xsi:type="dcterms:W3CDTF">2026-05-13T07:58:11Z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C9503E83DBF74824B286D5ACDAAB3E30_13</vt:lpwstr>
  </property>
  <property fmtid="{D5CDD505-2E9C-101B-9397-08002B2CF9AE}" pid="4" name="KSOTemplateDocerSaveRecord">
    <vt:lpwstr>eyJoZGlkIjoiZjk0ZjBlMjVhZGMxMDM4ODZkMGY5NTE1Y2QyYmNlY2EiLCJ1c2VySWQiOiI2NDc4NDIyMTAifQ==</vt:lpwstr>
  </property>
</Properties>
</file>