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200"/>
      </w:pPr>
      <w:r>
        <w:rPr>
          <w:rFonts w:ascii="Calibri" w:cs="Calibri" w:eastAsia="Calibri" w:hAnsi="Calibri"/>
          <w:b/>
          <w:bCs/>
          <w:color w:val="0C5A5E"/>
          <w:sz w:val="20"/>
          <w:szCs w:val="20"/>
        </w:rPr>
        <w:t xml:space="preserve">AI x CITY CLIMATE ACTION HACKATHON 2026</w:t>
      </w:r>
    </w:p>
    <w:p>
      <w:pPr>
        <w:spacing w:after="0" w:before="300"/>
      </w:pPr>
      <w:r>
        <w:rPr>
          <w:rFonts w:ascii="Calibri" w:cs="Calibri" w:eastAsia="Calibri" w:hAnsi="Calibri"/>
          <w:b/>
          <w:bCs/>
          <w:color w:val="10151A"/>
          <w:sz w:val="64"/>
          <w:szCs w:val="64"/>
        </w:rPr>
        <w:t xml:space="preserve">FloodFact AI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color w:val="10151A"/>
          <w:sz w:val="40"/>
          <w:szCs w:val="40"/>
        </w:rPr>
        <w:t xml:space="preserve">Pilot Plan</w:t>
      </w:r>
    </w:p>
    <w:p>
      <w:pPr>
        <w:spacing w:after="0" w:before="120"/>
      </w:pPr>
      <w:r>
        <w:rPr>
          <w:rFonts w:ascii="Calibri" w:cs="Calibri" w:eastAsia="Calibri" w:hAnsi="Calibri"/>
          <w:color w:val="5B6672"/>
          <w:sz w:val="24"/>
          <w:szCs w:val="24"/>
        </w:rPr>
        <w:t xml:space="preserve">Phase 1 — Mukuru, Nairobi (kwa Reuben · kwa Njenga · Viwandani)</w:t>
      </w:r>
    </w:p>
    <w:p>
      <w:pPr>
        <w:spacing w:before="900"/>
      </w:pPr>
      <w:r>
        <w:rPr>
          <w:rFonts w:ascii="Calibri" w:cs="Calibri" w:eastAsia="Calibri" w:hAnsi="Calibri"/>
          <w:i/>
          <w:iCs/>
          <w:color w:val="8A96A3"/>
          <w:sz w:val="19"/>
          <w:szCs w:val="19"/>
        </w:rPr>
        <w:t xml:space="preserve">Prepared September 2026  ·  Repository: github.com/VinceOdundo/FloodfactAI</w:t>
      </w:r>
    </w:p>
    <w:p>
      <w:pPr>
        <w:spacing w:before="60"/>
      </w:pPr>
      <w:r>
        <w:rPr>
          <w:rFonts w:ascii="Calibri" w:cs="Calibri" w:eastAsia="Calibri" w:hAnsi="Calibri"/>
          <w:i/>
          <w:iCs/>
          <w:color w:val="8A96A3"/>
          <w:sz w:val="19"/>
          <w:szCs w:val="19"/>
        </w:rPr>
        <w:t xml:space="preserve">Companion documents: FloodFact-AI-Concept.pdf · FloodFact-AI-Demonstration.pdf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0C5A5E"/>
          <w:sz w:val="30"/>
          <w:szCs w:val="30"/>
        </w:rPr>
        <w:t xml:space="preserve">1. Executive Summary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151A"/>
          <w:sz w:val="21"/>
          <w:szCs w:val="21"/>
        </w:rPr>
        <w:t xml:space="preserve">FloodFact AI is a community-centered flood early-warning and WhatsApp-rumour-verification system built for Nairobi's informal settlements. This Pilot Plan sets out the 4-week Phase 1 pilot in Mukuru, Nairobi, exactly as scoped in the FloodFact AI Requirements Specification (§11, Pilot Scope), and shows how the system already built for this submission — real database schema, a deterministic and unit-tested risk-scoring core, and a working admin, ambassador, and public product — satisfies each of the Requirements Specification's 12 Phase 1 MVP acceptance criteria (§18).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151A"/>
          <w:sz w:val="21"/>
          <w:szCs w:val="21"/>
        </w:rPr>
        <w:t xml:space="preserve">The system is code-complete and runs today in an honestly-labeled sandbox/demo mode with zero paid accounts (see the Demonstration submission). Turning it on for a real pilot is a deployment and partnership-confirmation exercise, not a rewrite: every external dependency already has a working adapter, and docs/SETUP.md walks through provisioning each one.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0151A"/>
          <w:sz w:val="24"/>
          <w:szCs w:val="24"/>
        </w:rPr>
        <w:t xml:space="preserve">1.1 Pilot Scope</w:t>
      </w:r>
    </w:p>
    <w:tbl>
      <w:tblPr>
        <w:tblW w:type="dxa" w:w="9026"/>
        <w:tblBorders>
          <w:top w:val="single" w:color="E2E5E8" w:sz="2"/>
          <w:left w:val="single" w:color="E2E5E8" w:sz="2"/>
          <w:bottom w:val="single" w:color="E2E5E8" w:sz="2"/>
          <w:right w:val="single" w:color="E2E5E8" w:sz="2"/>
          <w:insideH w:val="single" w:color="E2E5E8" w:sz="2"/>
          <w:insideV w:val="single" w:color="E2E5E8" w:sz="2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0C5A5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6826"/>
            <w:shd w:fill="0C5A5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Pilot definition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Area</w:t>
            </w:r>
          </w:p>
        </w:tc>
        <w:tc>
          <w:tcPr>
            <w:tcW w:type="dxa" w:w="682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Mukuru: kwa Reuben, kwa Njenga, Viwandani</w:t>
            </w:r>
          </w:p>
        </w:tc>
      </w:tr>
      <w:tr>
        <w:tc>
          <w:tcPr>
            <w:tcW w:type="dxa" w:w="22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Duration</w:t>
            </w:r>
          </w:p>
        </w:tc>
        <w:tc>
          <w:tcPr>
            <w:tcW w:type="dxa" w:w="6826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4-week demo · September–October 2026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Target</w:t>
            </w:r>
          </w:p>
        </w:tc>
        <w:tc>
          <w:tcPr>
            <w:tcW w:type="dxa" w:w="682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500 households, Phase 1</w:t>
            </w:r>
          </w:p>
        </w:tc>
      </w:tr>
      <w:tr>
        <w:tc>
          <w:tcPr>
            <w:tcW w:type="dxa" w:w="22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Ambassadors</w:t>
            </w:r>
          </w:p>
        </w:tc>
        <w:tc>
          <w:tcPr>
            <w:tcW w:type="dxa" w:w="6826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10 trained youth per ward (30 total)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Channels</w:t>
            </w:r>
          </w:p>
        </w:tc>
        <w:tc>
          <w:tcPr>
            <w:tcW w:type="dxa" w:w="682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WhatsApp + SMS + 3 community notice boards</w:t>
            </w:r>
          </w:p>
        </w:tc>
      </w:tr>
      <w:tr>
        <w:tc>
          <w:tcPr>
            <w:tcW w:type="dxa" w:w="22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Data</w:t>
            </w:r>
          </w:p>
        </w:tc>
        <w:tc>
          <w:tcPr>
            <w:tcW w:type="dxa" w:w="6826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ArcGIS Living Atlas + Kenya Meteorological Department (KMD)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Trigger</w:t>
            </w:r>
          </w:p>
        </w:tc>
        <w:tc>
          <w:tcPr>
            <w:tcW w:type="dxa" w:w="682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Short rains season, October onset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8A96A3"/>
          <w:sz w:val="17"/>
          <w:szCs w:val="17"/>
        </w:rPr>
        <w:t xml:space="preserve">Source: FloodFact AI Requirements Specification §11 — Pilot Scope.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0151A"/>
          <w:sz w:val="24"/>
          <w:szCs w:val="24"/>
        </w:rPr>
        <w:t xml:space="preserve">1.2 Success Targets</w:t>
      </w:r>
    </w:p>
    <w:tbl>
      <w:tblPr>
        <w:tblW w:type="dxa" w:w="9026"/>
        <w:tblBorders>
          <w:top w:val="single" w:color="E2E5E8" w:sz="2"/>
          <w:left w:val="single" w:color="E2E5E8" w:sz="2"/>
          <w:bottom w:val="single" w:color="E2E5E8" w:sz="2"/>
          <w:right w:val="single" w:color="E2E5E8" w:sz="2"/>
          <w:insideH w:val="single" w:color="E2E5E8" w:sz="2"/>
          <w:insideV w:val="single" w:color="E2E5E8" w:sz="2"/>
        </w:tblBorders>
      </w:tblPr>
      <w:tblGrid>
        <w:gridCol w:w="4400"/>
        <w:gridCol w:w="4626"/>
      </w:tblGrid>
      <w:tr>
        <w:trPr>
          <w:tblHeader/>
        </w:trPr>
        <w:tc>
          <w:tcPr>
            <w:tcW w:type="dxa" w:w="4400"/>
            <w:shd w:fill="0C5A5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tcW w:type="dxa" w:w="4626"/>
            <w:shd w:fill="0C5A5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Tracked via</w:t>
            </w:r>
          </w:p>
        </w:tc>
      </w:tr>
      <w:tr>
        <w:tc>
          <w:tcPr>
            <w:tcW w:type="dxa" w:w="4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80% of households receive alerts within 30 minutes</w:t>
            </w:r>
          </w:p>
        </w:tc>
        <w:tc>
          <w:tcPr>
            <w:tcW w:type="dxa" w:w="462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pilot_metrics.alerts_within_30min_pct — live SQL view, Admin → Pilot Metrics</w:t>
            </w:r>
          </w:p>
        </w:tc>
      </w:tr>
      <w:tr>
        <w:tc>
          <w:tcPr>
            <w:tcW w:type="dxa" w:w="44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50% reduction in rumour spread in pilot zones</w:t>
            </w:r>
          </w:p>
        </w:tc>
        <w:tc>
          <w:tcPr>
            <w:tcW w:type="dxa" w:w="4626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pilot_metrics.false_information_rate_pct trend + ambassador household spot-checks</w:t>
            </w:r>
          </w:p>
        </w:tc>
      </w:tr>
      <w:tr>
        <w:tc>
          <w:tcPr>
            <w:tcW w:type="dxa" w:w="4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100% of ambassadors trained in AI tool use</w:t>
            </w:r>
          </w:p>
        </w:tc>
        <w:tc>
          <w:tcPr>
            <w:tcW w:type="dxa" w:w="462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pilot_metrics.ambassadors_trained_pct — driven by ambassadors.training_status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8A96A3"/>
          <w:sz w:val="17"/>
          <w:szCs w:val="17"/>
        </w:rPr>
        <w:t xml:space="preserve">Source: FloodFact AI Requirements Specification §4 — Goals (Pilot impact).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0C5A5E"/>
          <w:sz w:val="30"/>
          <w:szCs w:val="30"/>
        </w:rPr>
        <w:t xml:space="preserve">2. Activities &amp; Timeline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151A"/>
          <w:sz w:val="21"/>
          <w:szCs w:val="21"/>
        </w:rPr>
        <w:t xml:space="preserve">Four weeks, timed to the short-rains onset named in the Requirements Specification's pilot trigger. Every week's exit criteria are checked against real system state — the escalations queue, data-source health panel, and pilot_metrics view — not a status update typed by hand.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0151A"/>
          <w:sz w:val="24"/>
          <w:szCs w:val="24"/>
        </w:rPr>
        <w:t xml:space="preserve">Week 1 — Setup &amp; Training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10151A"/>
          <w:sz w:val="20"/>
          <w:szCs w:val="20"/>
        </w:rPr>
        <w:t xml:space="preserve">Deploy the production Supabase project, </w:t>
      </w:r>
      <w:r>
        <w:rPr>
          <w:rFonts w:ascii="Calibri" w:cs="Calibri" w:eastAsia="Calibri" w:hAnsi="Calibri"/>
          <w:color w:val="10151A"/>
          <w:sz w:val="20"/>
          <w:szCs w:val="20"/>
        </w:rPr>
        <w:t xml:space="preserve">apply the 6 Supabase migrations, and seed the 3 pilot areas — following docs/SETUP.md.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10151A"/>
          <w:sz w:val="20"/>
          <w:szCs w:val="20"/>
        </w:rPr>
        <w:t xml:space="preserve">Provision live credentials: </w:t>
      </w:r>
      <w:r>
        <w:rPr>
          <w:rFonts w:ascii="Calibri" w:cs="Calibri" w:eastAsia="Calibri" w:hAnsi="Calibri"/>
          <w:color w:val="10151A"/>
          <w:sz w:val="20"/>
          <w:szCs w:val="20"/>
        </w:rPr>
        <w:t xml:space="preserve">WhatsApp, Africa's Talking, Anthropic, Voyage AI — and confirm ArcGIS Living Atlas / KMD feed access (open item, §19).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10151A"/>
          <w:sz w:val="20"/>
          <w:szCs w:val="20"/>
        </w:rPr>
        <w:t xml:space="preserve">Recruit and train 30 youth ambassadors (10 per ward) </w:t>
      </w:r>
      <w:r>
        <w:rPr>
          <w:rFonts w:ascii="Calibri" w:cs="Calibri" w:eastAsia="Calibri" w:hAnsi="Calibri"/>
          <w:color w:val="10151A"/>
          <w:sz w:val="20"/>
          <w:szCs w:val="20"/>
        </w:rPr>
        <w:t xml:space="preserve">on the ambassador PWA, ground-truth logging, and escalation handling.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10151A"/>
          <w:sz w:val="20"/>
          <w:szCs w:val="20"/>
        </w:rPr>
        <w:t xml:space="preserve">Confirm the Mukuru gazetteer and safe-zone locations </w:t>
      </w:r>
      <w:r>
        <w:rPr>
          <w:rFonts w:ascii="Calibri" w:cs="Calibri" w:eastAsia="Calibri" w:hAnsi="Calibri"/>
          <w:color w:val="10151A"/>
          <w:sz w:val="20"/>
          <w:szCs w:val="20"/>
        </w:rPr>
        <w:t xml:space="preserve">with local ambassador knowledge, and install the 3 physical community notice boards.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0151A"/>
          <w:sz w:val="24"/>
          <w:szCs w:val="24"/>
        </w:rPr>
        <w:t xml:space="preserve">Week 2 — Soft Launch (Shadow Mode)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10151A"/>
          <w:sz w:val="20"/>
          <w:szCs w:val="20"/>
        </w:rPr>
        <w:t xml:space="preserve">Open WhatsApp, SMS, and web intake </w:t>
      </w:r>
      <w:r>
        <w:rPr>
          <w:rFonts w:ascii="Calibri" w:cs="Calibri" w:eastAsia="Calibri" w:hAnsi="Calibri"/>
          <w:color w:val="10151A"/>
          <w:sz w:val="20"/>
          <w:szCs w:val="20"/>
        </w:rPr>
        <w:t xml:space="preserve">to a limited set of households per ward.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10151A"/>
          <w:sz w:val="20"/>
          <w:szCs w:val="20"/>
        </w:rPr>
        <w:t xml:space="preserve">Admin team reviews every classification in shadow </w:t>
      </w:r>
      <w:r>
        <w:rPr>
          <w:rFonts w:ascii="Calibri" w:cs="Calibri" w:eastAsia="Calibri" w:hAnsi="Calibri"/>
          <w:color w:val="10151A"/>
          <w:sz w:val="20"/>
          <w:szCs w:val="20"/>
        </w:rPr>
        <w:t xml:space="preserve">before it reaches the public alerts feed, to validate risk-engine calibration against local ground truth.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10151A"/>
          <w:sz w:val="20"/>
          <w:szCs w:val="20"/>
        </w:rPr>
        <w:t xml:space="preserve">Daily stand-up </w:t>
      </w:r>
      <w:r>
        <w:rPr>
          <w:rFonts w:ascii="Calibri" w:cs="Calibri" w:eastAsia="Calibri" w:hAnsi="Calibri"/>
          <w:color w:val="10151A"/>
          <w:sz w:val="20"/>
          <w:szCs w:val="20"/>
        </w:rPr>
        <w:t xml:space="preserve">reviewing the escalations queue and the data-source health panel.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10151A"/>
          <w:sz w:val="20"/>
          <w:szCs w:val="20"/>
        </w:rPr>
        <w:t xml:space="preserve">Iterate on </w:t>
      </w:r>
      <w:r>
        <w:rPr>
          <w:rFonts w:ascii="Calibri" w:cs="Calibri" w:eastAsia="Calibri" w:hAnsi="Calibri"/>
          <w:color w:val="10151A"/>
          <w:sz w:val="20"/>
          <w:szCs w:val="20"/>
        </w:rPr>
        <w:t xml:space="preserve">gazetteer coverage and alert wording based on ambassador and household feedback.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0151A"/>
          <w:sz w:val="24"/>
          <w:szCs w:val="24"/>
        </w:rPr>
        <w:t xml:space="preserve">Week 3 — Full Operation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10151A"/>
          <w:sz w:val="20"/>
          <w:szCs w:val="20"/>
        </w:rPr>
        <w:t xml:space="preserve">Full 500-household rollout </w:t>
      </w:r>
      <w:r>
        <w:rPr>
          <w:rFonts w:ascii="Calibri" w:cs="Calibri" w:eastAsia="Calibri" w:hAnsi="Calibri"/>
          <w:color w:val="10151A"/>
          <w:sz w:val="20"/>
          <w:szCs w:val="20"/>
        </w:rPr>
        <w:t xml:space="preserve">across all three wards; shadow review is lifted.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10151A"/>
          <w:sz w:val="20"/>
          <w:szCs w:val="20"/>
        </w:rPr>
        <w:t xml:space="preserve">Verified and elevated-risk classifications publish directly; the system still routes </w:t>
      </w:r>
      <w:r>
        <w:rPr>
          <w:rFonts w:ascii="Calibri" w:cs="Calibri" w:eastAsia="Calibri" w:hAnsi="Calibri"/>
          <w:color w:val="10151A"/>
          <w:sz w:val="20"/>
          <w:szCs w:val="20"/>
        </w:rPr>
        <w:t xml:space="preserve">insufficient_evidence and high-impact cases to a human, per acceptance criterion 12.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10151A"/>
          <w:sz w:val="20"/>
          <w:szCs w:val="20"/>
        </w:rPr>
        <w:t xml:space="preserve">Daily tracking </w:t>
      </w:r>
      <w:r>
        <w:rPr>
          <w:rFonts w:ascii="Calibri" w:cs="Calibri" w:eastAsia="Calibri" w:hAnsi="Calibri"/>
          <w:color w:val="10151A"/>
          <w:sz w:val="20"/>
          <w:szCs w:val="20"/>
        </w:rPr>
        <w:t xml:space="preserve">of the three Requirements-Specification success targets via the live dashboard.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10151A"/>
          <w:sz w:val="20"/>
          <w:szCs w:val="20"/>
        </w:rPr>
        <w:t xml:space="preserve">Weekly community notice-board refresh </w:t>
      </w:r>
      <w:r>
        <w:rPr>
          <w:rFonts w:ascii="Calibri" w:cs="Calibri" w:eastAsia="Calibri" w:hAnsi="Calibri"/>
          <w:color w:val="10151A"/>
          <w:sz w:val="20"/>
          <w:szCs w:val="20"/>
        </w:rPr>
        <w:t xml:space="preserve">as new reports and ambassador ground-truth confirm or correct earlier claims.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0151A"/>
          <w:sz w:val="24"/>
          <w:szCs w:val="24"/>
        </w:rPr>
        <w:t xml:space="preserve">Week 4 — Evaluation &amp; Handoff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10151A"/>
          <w:sz w:val="20"/>
          <w:szCs w:val="20"/>
        </w:rPr>
        <w:t xml:space="preserve">Compute final pilot_metrics </w:t>
      </w:r>
      <w:r>
        <w:rPr>
          <w:rFonts w:ascii="Calibri" w:cs="Calibri" w:eastAsia="Calibri" w:hAnsi="Calibri"/>
          <w:color w:val="10151A"/>
          <w:sz w:val="20"/>
          <w:szCs w:val="20"/>
        </w:rPr>
        <w:t xml:space="preserve">across all three wards from recorded reports, classifications, and ambassador_observations — acceptance criterion 10.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10151A"/>
          <w:sz w:val="20"/>
          <w:szCs w:val="20"/>
        </w:rPr>
        <w:t xml:space="preserve">Run an ambassador debrief </w:t>
      </w:r>
      <w:r>
        <w:rPr>
          <w:rFonts w:ascii="Calibri" w:cs="Calibri" w:eastAsia="Calibri" w:hAnsi="Calibri"/>
          <w:color w:val="10151A"/>
          <w:sz w:val="20"/>
          <w:szCs w:val="20"/>
        </w:rPr>
        <w:t xml:space="preserve">and a household spot-check survey, as the direct proxy for the rumour-reduction target.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10151A"/>
          <w:sz w:val="20"/>
          <w:szCs w:val="20"/>
        </w:rPr>
        <w:t xml:space="preserve">Compile a findings report </w:t>
      </w:r>
      <w:r>
        <w:rPr>
          <w:rFonts w:ascii="Calibri" w:cs="Calibri" w:eastAsia="Calibri" w:hAnsi="Calibri"/>
          <w:color w:val="10151A"/>
          <w:sz w:val="20"/>
          <w:szCs w:val="20"/>
        </w:rPr>
        <w:t xml:space="preserve">against every Requirements-Specification acceptance criterion and goal — see §6 of this plan.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10151A"/>
          <w:sz w:val="20"/>
          <w:szCs w:val="20"/>
        </w:rPr>
        <w:t xml:space="preserve">Present the roadmap </w:t>
      </w:r>
      <w:r>
        <w:rPr>
          <w:rFonts w:ascii="Calibri" w:cs="Calibri" w:eastAsia="Calibri" w:hAnsi="Calibri"/>
          <w:color w:val="10151A"/>
          <w:sz w:val="20"/>
          <w:szCs w:val="20"/>
        </w:rPr>
        <w:t xml:space="preserve">for Phase 2 (additional hazards) and Phase 3 (national scale) — see §8.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0C5A5E"/>
          <w:sz w:val="30"/>
          <w:szCs w:val="30"/>
        </w:rPr>
        <w:t xml:space="preserve">3. Team Structure &amp; Roles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0151A"/>
          <w:sz w:val="24"/>
          <w:szCs w:val="24"/>
        </w:rPr>
        <w:t xml:space="preserve">3.1 Pilot Delivery Team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151A"/>
          <w:sz w:val="21"/>
          <w:szCs w:val="21"/>
        </w:rPr>
        <w:t xml:space="preserve">Lean by design — a startup team, not a large program office. Ambassador redundancy (10 per ward, not 1) is deliberate: it is the mitigation for the single highest-likelihood pilot risk (see §7).</w:t>
      </w:r>
    </w:p>
    <w:tbl>
      <w:tblPr>
        <w:tblW w:type="dxa" w:w="9026"/>
        <w:tblBorders>
          <w:top w:val="single" w:color="E2E5E8" w:sz="2"/>
          <w:left w:val="single" w:color="E2E5E8" w:sz="2"/>
          <w:bottom w:val="single" w:color="E2E5E8" w:sz="2"/>
          <w:right w:val="single" w:color="E2E5E8" w:sz="2"/>
          <w:insideH w:val="single" w:color="E2E5E8" w:sz="2"/>
          <w:insideV w:val="single" w:color="E2E5E8" w:sz="2"/>
        </w:tblBorders>
      </w:tblPr>
      <w:tblGrid>
        <w:gridCol w:w="2300"/>
        <w:gridCol w:w="1300"/>
        <w:gridCol w:w="5426"/>
      </w:tblGrid>
      <w:tr>
        <w:trPr>
          <w:tblHeader/>
        </w:trPr>
        <w:tc>
          <w:tcPr>
            <w:tcW w:type="dxa" w:w="2300"/>
            <w:shd w:fill="0C5A5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1300"/>
            <w:shd w:fill="0C5A5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  <w:tc>
          <w:tcPr>
            <w:tcW w:type="dxa" w:w="5426"/>
            <w:shd w:fill="0C5A5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</w:tr>
      <w:tr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Pilot Lead</w:t>
            </w:r>
          </w:p>
        </w:tc>
        <w:tc>
          <w:tcPr>
            <w:tcW w:type="dxa" w:w="1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1</w:t>
            </w:r>
          </w:p>
        </w:tc>
        <w:tc>
          <w:tcPr>
            <w:tcW w:type="dxa" w:w="542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Overall delivery owner; partner and city liaison; final escalation point.</w:t>
            </w:r>
          </w:p>
        </w:tc>
      </w:tr>
      <w:tr>
        <w:tc>
          <w:tcPr>
            <w:tcW w:type="dxa" w:w="23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Engineering / Platform Lead</w:t>
            </w:r>
          </w:p>
        </w:tc>
        <w:tc>
          <w:tcPr>
            <w:tcW w:type="dxa" w:w="13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1</w:t>
            </w:r>
          </w:p>
        </w:tc>
        <w:tc>
          <w:tcPr>
            <w:tcW w:type="dxa" w:w="5426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Owns deployment, credential provisioning, data-source health, and fixes.</w:t>
            </w:r>
          </w:p>
        </w:tc>
      </w:tr>
      <w:tr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Ward Ambassador Coordinator</w:t>
            </w:r>
          </w:p>
        </w:tc>
        <w:tc>
          <w:tcPr>
            <w:tcW w:type="dxa" w:w="1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3 (1/ward)</w:t>
            </w:r>
          </w:p>
        </w:tc>
        <w:tc>
          <w:tcPr>
            <w:tcW w:type="dxa" w:w="542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Manages and schedules that ward's 10 ambassadors; runs daily check-ins.</w:t>
            </w:r>
          </w:p>
        </w:tc>
      </w:tr>
      <w:tr>
        <w:tc>
          <w:tcPr>
            <w:tcW w:type="dxa" w:w="23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Youth Ambassador</w:t>
            </w:r>
          </w:p>
        </w:tc>
        <w:tc>
          <w:tcPr>
            <w:tcW w:type="dxa" w:w="13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30 (10/ward)</w:t>
            </w:r>
          </w:p>
        </w:tc>
        <w:tc>
          <w:tcPr>
            <w:tcW w:type="dxa" w:w="5426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Ground-truth verification, community trust layer, notice-board upkeep.</w:t>
            </w:r>
          </w:p>
        </w:tc>
      </w:tr>
      <w:tr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M&amp;E / Data Analyst</w:t>
            </w:r>
          </w:p>
        </w:tc>
        <w:tc>
          <w:tcPr>
            <w:tcW w:type="dxa" w:w="1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1</w:t>
            </w:r>
          </w:p>
        </w:tc>
        <w:tc>
          <w:tcPr>
            <w:tcW w:type="dxa" w:w="542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Owns pilot_metrics reporting and the acceptance-criteria evaluation report.</w:t>
            </w:r>
          </w:p>
        </w:tc>
      </w:tr>
      <w:tr>
        <w:tc>
          <w:tcPr>
            <w:tcW w:type="dxa" w:w="23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Partnerships &amp; Data Liaison</w:t>
            </w:r>
          </w:p>
        </w:tc>
        <w:tc>
          <w:tcPr>
            <w:tcW w:type="dxa" w:w="13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1</w:t>
            </w:r>
          </w:p>
        </w:tc>
        <w:tc>
          <w:tcPr>
            <w:tcW w:type="dxa" w:w="5426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Manages ArcGIS Living Atlas / KMD relationships and messaging-provider accounts.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0151A"/>
          <w:sz w:val="24"/>
          <w:szCs w:val="24"/>
        </w:rPr>
        <w:t xml:space="preserve">3.2 System User Roles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151A"/>
          <w:sz w:val="21"/>
          <w:szCs w:val="21"/>
        </w:rPr>
        <w:t xml:space="preserve">The roles the running product itself is built for, distinct from the delivery team above.</w:t>
      </w:r>
    </w:p>
    <w:tbl>
      <w:tblPr>
        <w:tblW w:type="dxa" w:w="9026"/>
        <w:tblBorders>
          <w:top w:val="single" w:color="E2E5E8" w:sz="2"/>
          <w:left w:val="single" w:color="E2E5E8" w:sz="2"/>
          <w:bottom w:val="single" w:color="E2E5E8" w:sz="2"/>
          <w:right w:val="single" w:color="E2E5E8" w:sz="2"/>
          <w:insideH w:val="single" w:color="E2E5E8" w:sz="2"/>
          <w:insideV w:val="single" w:color="E2E5E8" w:sz="2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0C5A5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6426"/>
            <w:shd w:fill="0C5A5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Needs / responsibilities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Resident</w:t>
            </w:r>
          </w:p>
        </w:tc>
        <w:tc>
          <w:tcPr>
            <w:tcW w:type="dxa" w:w="642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Submit a flood report, warning, or suspicious message; receive verified alerts and recommended actions.</w:t>
            </w:r>
          </w:p>
        </w:tc>
      </w:tr>
      <w:tr>
        <w:tc>
          <w:tcPr>
            <w:tcW w:type="dxa" w:w="26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Youth Ambassador</w:t>
            </w:r>
          </w:p>
        </w:tc>
        <w:tc>
          <w:tcPr>
            <w:tcW w:type="dxa" w:w="6426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Receive community reports, support ground validation, explain results locally, distribute trusted information.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System / Operations Admin</w:t>
            </w:r>
          </w:p>
        </w:tc>
        <w:tc>
          <w:tcPr>
            <w:tcW w:type="dxa" w:w="642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Monitor incoming reports, verification status, alerts, data-source health, audit logs, pilot metrics.</w:t>
            </w:r>
          </w:p>
        </w:tc>
      </w:tr>
      <w:tr>
        <w:tc>
          <w:tcPr>
            <w:tcW w:type="dxa" w:w="26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Data / Climate Source</w:t>
            </w:r>
          </w:p>
        </w:tc>
        <w:tc>
          <w:tcPr>
            <w:tcW w:type="dxa" w:w="6426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Provide machine-readable or operator-accessible weather, rainfall, flood-risk, river, and historical information.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Partner / Emergency Stakeholder</w:t>
            </w:r>
          </w:p>
        </w:tc>
        <w:tc>
          <w:tcPr>
            <w:tcW w:type="dxa" w:w="642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Receive or review verified alerts and coordinate response where appropriate.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8A96A3"/>
          <w:sz w:val="17"/>
          <w:szCs w:val="17"/>
        </w:rPr>
        <w:t xml:space="preserve">Source: FloodFact AI Requirements Specification §5 — Users and Roles.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0C5A5E"/>
          <w:sz w:val="30"/>
          <w:szCs w:val="30"/>
        </w:rPr>
        <w:t xml:space="preserve">4. Data &amp; Partner Dependencies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151A"/>
          <w:sz w:val="21"/>
          <w:szCs w:val="21"/>
        </w:rPr>
        <w:t xml:space="preserve">Every row below already has a working code adapter. “Status for pilot” states plainly what is real today versus what needs a pilot-time decision — including the two data sources the Requirements Specification itself flags as still to be confirmed (§19).</w:t>
      </w:r>
    </w:p>
    <w:tbl>
      <w:tblPr>
        <w:tblW w:type="dxa" w:w="9026"/>
        <w:tblBorders>
          <w:top w:val="single" w:color="E2E5E8" w:sz="2"/>
          <w:left w:val="single" w:color="E2E5E8" w:sz="2"/>
          <w:bottom w:val="single" w:color="E2E5E8" w:sz="2"/>
          <w:right w:val="single" w:color="E2E5E8" w:sz="2"/>
          <w:insideH w:val="single" w:color="E2E5E8" w:sz="2"/>
          <w:insideV w:val="single" w:color="E2E5E8" w:sz="2"/>
        </w:tblBorders>
      </w:tblPr>
      <w:tblGrid>
        <w:gridCol w:w="2300"/>
        <w:gridCol w:w="3700"/>
        <w:gridCol w:w="3026"/>
      </w:tblGrid>
      <w:tr>
        <w:trPr>
          <w:tblHeader/>
        </w:trPr>
        <w:tc>
          <w:tcPr>
            <w:tcW w:type="dxa" w:w="2300"/>
            <w:shd w:fill="0C5A5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  <w:tc>
          <w:tcPr>
            <w:tcW w:type="dxa" w:w="3700"/>
            <w:shd w:fill="0C5A5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 in the system</w:t>
            </w:r>
          </w:p>
        </w:tc>
        <w:tc>
          <w:tcPr>
            <w:tcW w:type="dxa" w:w="3026"/>
            <w:shd w:fill="0C5A5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 for pilot</w:t>
            </w:r>
          </w:p>
        </w:tc>
      </w:tr>
      <w:tr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Open-Meteo</w:t>
            </w:r>
          </w:p>
        </w:tc>
        <w:tc>
          <w:tcPr>
            <w:tcW w:type="dxa" w:w="3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Rainfall, forecast, ERA5 reanalysis evidence</w:t>
            </w:r>
          </w:p>
        </w:tc>
        <w:tc>
          <w:tcPr>
            <w:tcW w:type="dxa" w:w="302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Live today — free, keyless public API</w:t>
            </w:r>
          </w:p>
        </w:tc>
      </w:tr>
      <w:tr>
        <w:tc>
          <w:tcPr>
            <w:tcW w:type="dxa" w:w="23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Esri ArcGIS Living Atlas</w:t>
            </w:r>
          </w:p>
        </w:tc>
        <w:tc>
          <w:tcPr>
            <w:tcW w:type="dxa" w:w="37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Flood-risk zone evidence</w:t>
            </w:r>
          </w:p>
        </w:tc>
        <w:tc>
          <w:tcPr>
            <w:tcW w:type="dxa" w:w="3026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Named in pilot scope; exact layer/access to be confirmed (open item, §19)</w:t>
            </w:r>
          </w:p>
        </w:tc>
      </w:tr>
      <w:tr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Kenya Meteorological Department (KMD)</w:t>
            </w:r>
          </w:p>
        </w:tc>
        <w:tc>
          <w:tcPr>
            <w:tcW w:type="dxa" w:w="3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Regional advisory / rainfall corroboration</w:t>
            </w:r>
          </w:p>
        </w:tc>
        <w:tc>
          <w:tcPr>
            <w:tcW w:type="dxa" w:w="302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Named in pilot scope; data-sharing arrangement to be confirmed (§19)</w:t>
            </w:r>
          </w:p>
        </w:tc>
      </w:tr>
      <w:tr>
        <w:tc>
          <w:tcPr>
            <w:tcW w:type="dxa" w:w="23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Meta WhatsApp Cloud API</w:t>
            </w:r>
          </w:p>
        </w:tc>
        <w:tc>
          <w:tcPr>
            <w:tcW w:type="dxa" w:w="37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Resident report intake + alert delivery</w:t>
            </w:r>
          </w:p>
        </w:tc>
        <w:tc>
          <w:tcPr>
            <w:tcW w:type="dxa" w:w="3026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Free test number ready; production verification needed for full reach</w:t>
            </w:r>
          </w:p>
        </w:tc>
      </w:tr>
      <w:tr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Africa's Talking</w:t>
            </w:r>
          </w:p>
        </w:tc>
        <w:tc>
          <w:tcPr>
            <w:tcW w:type="dxa" w:w="3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SMS report intake + alert delivery</w:t>
            </w:r>
          </w:p>
        </w:tc>
        <w:tc>
          <w:tcPr>
            <w:tcW w:type="dxa" w:w="302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Kenyan SMS gateway; sandbox proven, pilot account needed</w:t>
            </w:r>
          </w:p>
        </w:tc>
      </w:tr>
      <w:tr>
        <w:tc>
          <w:tcPr>
            <w:tcW w:type="dxa" w:w="23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Anthropic Claude</w:t>
            </w:r>
          </w:p>
        </w:tc>
        <w:tc>
          <w:tcPr>
            <w:tcW w:type="dxa" w:w="37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Structured claim extraction + rationale text (never the verdict)</w:t>
            </w:r>
          </w:p>
        </w:tc>
        <w:tc>
          <w:tcPr>
            <w:tcW w:type="dxa" w:w="3026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Adapter built; pilot API key needed</w:t>
            </w:r>
          </w:p>
        </w:tc>
      </w:tr>
      <w:tr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Voyage AI + pgvector</w:t>
            </w:r>
          </w:p>
        </w:tc>
        <w:tc>
          <w:tcPr>
            <w:tcW w:type="dxa" w:w="3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Rumor-pattern similarity matching</w:t>
            </w:r>
          </w:p>
        </w:tc>
        <w:tc>
          <w:tcPr>
            <w:tcW w:type="dxa" w:w="302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Adapter built; pilot API key needed</w:t>
            </w:r>
          </w:p>
        </w:tc>
      </w:tr>
      <w:tr>
        <w:tc>
          <w:tcPr>
            <w:tcW w:type="dxa" w:w="23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Supabase</w:t>
            </w:r>
          </w:p>
        </w:tc>
        <w:tc>
          <w:tcPr>
            <w:tcW w:type="dxa" w:w="37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Postgres + PostGIS + pgvector + Auth + Realtime, RLS on every table</w:t>
            </w:r>
          </w:p>
        </w:tc>
        <w:tc>
          <w:tcPr>
            <w:tcW w:type="dxa" w:w="3026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Migrations validated; pilot project needs provisioning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0C5A5E"/>
          <w:sz w:val="30"/>
          <w:szCs w:val="30"/>
        </w:rPr>
        <w:t xml:space="preserve">5. Acceptance Criteria Traceability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151A"/>
          <w:sz w:val="21"/>
          <w:szCs w:val="21"/>
        </w:rPr>
        <w:t xml:space="preserve">All 12 Phase 1 MVP acceptance criteria from the Requirements Specification, mapped to the real code and schema that already satisfy each one.</w:t>
      </w:r>
    </w:p>
    <w:tbl>
      <w:tblPr>
        <w:tblW w:type="dxa" w:w="9026"/>
        <w:tblBorders>
          <w:top w:val="single" w:color="E2E5E8" w:sz="2"/>
          <w:left w:val="single" w:color="E2E5E8" w:sz="2"/>
          <w:bottom w:val="single" w:color="E2E5E8" w:sz="2"/>
          <w:right w:val="single" w:color="E2E5E8" w:sz="2"/>
          <w:insideH w:val="single" w:color="E2E5E8" w:sz="2"/>
          <w:insideV w:val="single" w:color="E2E5E8" w:sz="2"/>
        </w:tblBorders>
      </w:tblPr>
      <w:tblGrid>
        <w:gridCol w:w="650"/>
        <w:gridCol w:w="3100"/>
        <w:gridCol w:w="5276"/>
      </w:tblGrid>
      <w:tr>
        <w:trPr>
          <w:tblHeader/>
        </w:trPr>
        <w:tc>
          <w:tcPr>
            <w:tcW w:type="dxa" w:w="650"/>
            <w:shd w:fill="0C5A5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100"/>
            <w:shd w:fill="0C5A5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5276"/>
            <w:shd w:fill="0C5A5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How the system satisfies it</w:t>
            </w:r>
          </w:p>
        </w:tc>
      </w:tr>
      <w:tr>
        <w:tc>
          <w:tcPr>
            <w:tcW w:type="dxa" w:w="6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1</w:t>
            </w:r>
          </w:p>
        </w:tc>
        <w:tc>
          <w:tcPr>
            <w:tcW w:type="dxa" w:w="3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A resident can submit a WhatsApp or SMS report and the system creates a trackable case.</w:t>
            </w:r>
          </w:p>
        </w:tc>
        <w:tc>
          <w:tcPr>
            <w:tcW w:type="dxa" w:w="527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Webhook routes (whatsapp, africastalking) + the public /api/reports route all write a validated reports row.</w:t>
            </w:r>
          </w:p>
        </w:tc>
      </w:tr>
      <w:tr>
        <w:tc>
          <w:tcPr>
            <w:tcW w:type="dxa" w:w="65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2</w:t>
            </w:r>
          </w:p>
        </w:tc>
        <w:tc>
          <w:tcPr>
            <w:tcW w:type="dxa" w:w="31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A report can be associated with a pilot area where location is available.</w:t>
            </w:r>
          </w:p>
        </w:tc>
        <w:tc>
          <w:tcPr>
            <w:tcW w:type="dxa" w:w="5276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lib/core/geocode.ts matches claimed location text against the Mukuru gazetteer and resolves pilot_area_id via PostGIS.</w:t>
            </w:r>
          </w:p>
        </w:tc>
      </w:tr>
      <w:tr>
        <w:tc>
          <w:tcPr>
            <w:tcW w:type="dxa" w:w="6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3</w:t>
            </w:r>
          </w:p>
        </w:tc>
        <w:tc>
          <w:tcPr>
            <w:tcW w:type="dxa" w:w="3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The verification workflow can retrieve and record evidence from configured data sources.</w:t>
            </w:r>
          </w:p>
        </w:tc>
        <w:tc>
          <w:tcPr>
            <w:tcW w:type="dxa" w:w="527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lib/pipeline/classify.ts fetches rainfall, flood-risk, historical, corroboration, and ambassador signals in parallel; every fetch — success, failure, or sandbox — becomes an evidence_items row.</w:t>
            </w:r>
          </w:p>
        </w:tc>
      </w:tr>
      <w:tr>
        <w:tc>
          <w:tcPr>
            <w:tcW w:type="dxa" w:w="65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4</w:t>
            </w:r>
          </w:p>
        </w:tc>
        <w:tc>
          <w:tcPr>
            <w:tcW w:type="dxa" w:w="31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The system produces one of the three defined classifications.</w:t>
            </w:r>
          </w:p>
        </w:tc>
        <w:tc>
          <w:tcPr>
            <w:tcW w:type="dxa" w:w="5276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lib/core/risk-engine.ts scoreReport() returns Verified Warning, Elevated Risk, or False Information — deterministic, 23 unit tests.</w:t>
            </w:r>
          </w:p>
        </w:tc>
      </w:tr>
      <w:tr>
        <w:tc>
          <w:tcPr>
            <w:tcW w:type="dxa" w:w="6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5</w:t>
            </w:r>
          </w:p>
        </w:tc>
        <w:tc>
          <w:tcPr>
            <w:tcW w:type="dxa" w:w="3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The system records a reason/evidence summary for the classification.</w:t>
            </w:r>
          </w:p>
        </w:tc>
        <w:tc>
          <w:tcPr>
            <w:tcW w:type="dxa" w:w="527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classifications.rationale_en (bilingual) plus evidence_snapshot (jsonb) and engine_version are stamped on every verdict.</w:t>
            </w:r>
          </w:p>
        </w:tc>
      </w:tr>
      <w:tr>
        <w:tc>
          <w:tcPr>
            <w:tcW w:type="dxa" w:w="65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6</w:t>
            </w:r>
          </w:p>
        </w:tc>
        <w:tc>
          <w:tcPr>
            <w:tcW w:type="dxa" w:w="31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A verified/elevated-risk result can be transformed into an actionable alert.</w:t>
            </w:r>
          </w:p>
        </w:tc>
        <w:tc>
          <w:tcPr>
            <w:tcW w:type="dxa" w:w="5276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lib/core/alert-templates.ts builds a channel-specific, classification-keyed message.</w:t>
            </w:r>
          </w:p>
        </w:tc>
      </w:tr>
      <w:tr>
        <w:tc>
          <w:tcPr>
            <w:tcW w:type="dxa" w:w="6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7</w:t>
            </w:r>
          </w:p>
        </w:tc>
        <w:tc>
          <w:tcPr>
            <w:tcW w:type="dxa" w:w="3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Alerts can be sent through at least the configured pilot channels that are technically available.</w:t>
            </w:r>
          </w:p>
        </w:tc>
        <w:tc>
          <w:tcPr>
            <w:tcW w:type="dxa" w:w="527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alert_deliveries records per-channel status for WhatsApp, SMS, and the ambassador queue.</w:t>
            </w:r>
          </w:p>
        </w:tc>
      </w:tr>
      <w:tr>
        <w:tc>
          <w:tcPr>
            <w:tcW w:type="dxa" w:w="65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8</w:t>
            </w:r>
          </w:p>
        </w:tc>
        <w:tc>
          <w:tcPr>
            <w:tcW w:type="dxa" w:w="31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Youth ambassadors can receive/annotate relevant cases.</w:t>
            </w:r>
          </w:p>
        </w:tc>
        <w:tc>
          <w:tcPr>
            <w:tcW w:type="dxa" w:w="5276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The ambassador PWA + ambassador_observations table, RLS-scoped to each ambassador's own pilot_area_id.</w:t>
            </w:r>
          </w:p>
        </w:tc>
      </w:tr>
      <w:tr>
        <w:tc>
          <w:tcPr>
            <w:tcW w:type="dxa" w:w="6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9</w:t>
            </w:r>
          </w:p>
        </w:tc>
        <w:tc>
          <w:tcPr>
            <w:tcW w:type="dxa" w:w="3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All key report, verification, classification and alert events are logged.</w:t>
            </w:r>
          </w:p>
        </w:tc>
        <w:tc>
          <w:tcPr>
            <w:tcW w:type="dxa" w:w="527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audit_events is append-only — no UPDATE/DELETE grant to any role.</w:t>
            </w:r>
          </w:p>
        </w:tc>
      </w:tr>
      <w:tr>
        <w:tc>
          <w:tcPr>
            <w:tcW w:type="dxa" w:w="65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10</w:t>
            </w:r>
          </w:p>
        </w:tc>
        <w:tc>
          <w:tcPr>
            <w:tcW w:type="dxa" w:w="31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Pilot metrics can be calculated from recorded events rather than manually typed demo values.</w:t>
            </w:r>
          </w:p>
        </w:tc>
        <w:tc>
          <w:tcPr>
            <w:tcW w:type="dxa" w:w="5276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pilot_metrics is a SQL view computed live from reports, classifications, alerts, and ambassador_observations.</w:t>
            </w:r>
          </w:p>
        </w:tc>
      </w:tr>
      <w:tr>
        <w:tc>
          <w:tcPr>
            <w:tcW w:type="dxa" w:w="6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11</w:t>
            </w:r>
          </w:p>
        </w:tc>
        <w:tc>
          <w:tcPr>
            <w:tcW w:type="dxa" w:w="3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The system handles unavailable/conflicting data without falsely claiming certainty.</w:t>
            </w:r>
          </w:p>
        </w:tc>
        <w:tc>
          <w:tcPr>
            <w:tcW w:type="dxa" w:w="527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insufficient_evidence is a distinct boolean that can never silently collapse into False Information — enforced by dedicated unit tests.</w:t>
            </w:r>
          </w:p>
        </w:tc>
      </w:tr>
      <w:tr>
        <w:tc>
          <w:tcPr>
            <w:tcW w:type="dxa" w:w="65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12</w:t>
            </w:r>
          </w:p>
        </w:tc>
        <w:tc>
          <w:tcPr>
            <w:tcW w:type="dxa" w:w="31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An operator can review and override/escalate an uncertain or high-impact case.</w:t>
            </w:r>
          </w:p>
        </w:tc>
        <w:tc>
          <w:tcPr>
            <w:tcW w:type="dxa" w:w="5276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The escalations table + Admin → Escalations page require a resolution note before a human can close a case.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8A96A3"/>
          <w:sz w:val="17"/>
          <w:szCs w:val="17"/>
        </w:rPr>
        <w:t xml:space="preserve">Source: FloodFact AI Requirements Specification §18 — Acceptance Criteria for Phase 1 MVP.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0C5A5E"/>
          <w:sz w:val="30"/>
          <w:szCs w:val="30"/>
        </w:rPr>
        <w:t xml:space="preserve">6. Risk Register</w:t>
      </w:r>
    </w:p>
    <w:tbl>
      <w:tblPr>
        <w:tblW w:type="dxa" w:w="9026"/>
        <w:tblBorders>
          <w:top w:val="single" w:color="E2E5E8" w:sz="2"/>
          <w:left w:val="single" w:color="E2E5E8" w:sz="2"/>
          <w:bottom w:val="single" w:color="E2E5E8" w:sz="2"/>
          <w:right w:val="single" w:color="E2E5E8" w:sz="2"/>
          <w:insideH w:val="single" w:color="E2E5E8" w:sz="2"/>
          <w:insideV w:val="single" w:color="E2E5E8" w:sz="2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shd w:fill="0C5A5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4826"/>
            <w:shd w:fill="0C5A5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tcW w:type="dxa" w:w="4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Named data feeds (ArcGIS Living Atlas layer, KMD) not finalized before pilot start.</w:t>
            </w:r>
          </w:p>
        </w:tc>
        <w:tc>
          <w:tcPr>
            <w:tcW w:type="dxa" w:w="482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Open-Meteo (real, keyless) and a seeded PostGIS fallback already cover rainfall and flood-risk evidence, honestly labeled “sandbox” quality until real feeds are confirmed.</w:t>
            </w:r>
          </w:p>
        </w:tc>
      </w:tr>
      <w:tr>
        <w:tc>
          <w:tcPr>
            <w:tcW w:type="dxa" w:w="42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WhatsApp Cloud API's free test tier caps recipients before production verification completes.</w:t>
            </w:r>
          </w:p>
        </w:tc>
        <w:tc>
          <w:tcPr>
            <w:tcW w:type="dxa" w:w="4826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SMS via Africa's Talking and the public web form remain fully functional fallback channels throughout.</w:t>
            </w:r>
          </w:p>
        </w:tc>
      </w:tr>
      <w:tr>
        <w:tc>
          <w:tcPr>
            <w:tcW w:type="dxa" w:w="4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Risk-engine miscalibration in the pilot's early days.</w:t>
            </w:r>
          </w:p>
        </w:tc>
        <w:tc>
          <w:tcPr>
            <w:tcW w:type="dxa" w:w="482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Week 2 shadow-mode human review of every classification before any goes live publicly; 23 unit tests already cover the documented safety rules.</w:t>
            </w:r>
          </w:p>
        </w:tc>
      </w:tr>
      <w:tr>
        <w:tc>
          <w:tcPr>
            <w:tcW w:type="dxa" w:w="42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Low household smartphone/data access limits WhatsApp reach.</w:t>
            </w:r>
          </w:p>
        </w:tc>
        <w:tc>
          <w:tcPr>
            <w:tcW w:type="dxa" w:w="4826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SMS plus 3 physical community notice boards per ward; ambassadors as an in-person channel of last resort.</w:t>
            </w:r>
          </w:p>
        </w:tc>
      </w:tr>
      <w:tr>
        <w:tc>
          <w:tcPr>
            <w:tcW w:type="dxa" w:w="4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Ambassador attrition or unavailability during the 4-week window.</w:t>
            </w:r>
          </w:p>
        </w:tc>
        <w:tc>
          <w:tcPr>
            <w:tcW w:type="dxa" w:w="482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10 trained ambassadors per ward, not 1, gives built-in redundancy; training materials are reusable for fast onboarding of a replacement.</w:t>
            </w:r>
          </w:p>
        </w:tc>
      </w:tr>
      <w:tr>
        <w:tc>
          <w:tcPr>
            <w:tcW w:type="dxa" w:w="42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Short-rains onset timing shifts outside the planned 4-week window.</w:t>
            </w:r>
          </w:p>
        </w:tc>
        <w:tc>
          <w:tcPr>
            <w:tcW w:type="dxa" w:w="4826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The system and ambassador workflow stay operational at low intake volume regardless; the pilot period can extend with no code change, since hazard type and pilot area are data, not code.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0C5A5E"/>
          <w:sz w:val="30"/>
          <w:szCs w:val="30"/>
        </w:rPr>
        <w:t xml:space="preserve">7. Cost &amp; Scale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0151A"/>
          <w:sz w:val="21"/>
          <w:szCs w:val="21"/>
        </w:rPr>
        <w:t xml:space="preserve">Every provider chosen for Phase 1 has a free or sandbox tier sufficient for 500 households. The architecture already generalizes — hazard_type and pilot_area are data, not code — so scaling is a provider-tier and message-volume question, not a rewrite. Dollar figures below are illustrative order-of-magnitude, pending final provider quotes at each tier.</w:t>
      </w:r>
    </w:p>
    <w:tbl>
      <w:tblPr>
        <w:tblW w:type="dxa" w:w="9026"/>
        <w:tblBorders>
          <w:top w:val="single" w:color="E2E5E8" w:sz="2"/>
          <w:left w:val="single" w:color="E2E5E8" w:sz="2"/>
          <w:bottom w:val="single" w:color="E2E5E8" w:sz="2"/>
          <w:right w:val="single" w:color="E2E5E8" w:sz="2"/>
          <w:insideH w:val="single" w:color="E2E5E8" w:sz="2"/>
          <w:insideV w:val="single" w:color="E2E5E8" w:sz="2"/>
        </w:tblBorders>
      </w:tblPr>
      <w:tblGrid>
        <w:gridCol w:w="1600"/>
        <w:gridCol w:w="2500"/>
        <w:gridCol w:w="2600"/>
        <w:gridCol w:w="2326"/>
      </w:tblGrid>
      <w:tr>
        <w:trPr>
          <w:tblHeader/>
        </w:trPr>
        <w:tc>
          <w:tcPr>
            <w:tcW w:type="dxa" w:w="1600"/>
            <w:shd w:fill="0C5A5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Scale</w:t>
            </w:r>
          </w:p>
        </w:tc>
        <w:tc>
          <w:tcPr>
            <w:tcW w:type="dxa" w:w="2500"/>
            <w:shd w:fill="0C5A5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Compute / database</w:t>
            </w:r>
          </w:p>
        </w:tc>
        <w:tc>
          <w:tcPr>
            <w:tcW w:type="dxa" w:w="2600"/>
            <w:shd w:fill="0C5A5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Messaging</w:t>
            </w:r>
          </w:p>
        </w:tc>
        <w:tc>
          <w:tcPr>
            <w:tcW w:type="dxa" w:w="2326"/>
            <w:shd w:fill="0C5A5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AI (LLM + embeddings)</w:t>
            </w:r>
          </w:p>
        </w:tc>
      </w:tr>
      <w:tr>
        <w:tc>
          <w:tcPr>
            <w:tcW w:type="dxa" w:w="1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500 households
(Phase 1 pilot)</w:t>
            </w:r>
          </w:p>
        </w:tc>
        <w:tc>
          <w:tcPr>
            <w:tcW w:type="dxa" w:w="25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Vercel Hobby + Supabase Free — $0</w:t>
            </w:r>
          </w:p>
        </w:tc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WhatsApp Cloud API free test tier + Africa's Talking sandbox — near $0</w:t>
            </w:r>
          </w:p>
        </w:tc>
        <w:tc>
          <w:tcPr>
            <w:tcW w:type="dxa" w:w="232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Pay-per-token, low volume — low single-digit $/month</w:t>
            </w:r>
          </w:p>
        </w:tc>
      </w:tr>
      <w:tr>
        <w:tc>
          <w:tcPr>
            <w:tcW w:type="dxa" w:w="16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5,000 households
(Phase 2)</w:t>
            </w:r>
          </w:p>
        </w:tc>
        <w:tc>
          <w:tcPr>
            <w:tcW w:type="dxa" w:w="25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Vercel Pro + Supabase Pro — needed for backups and connection limits</w:t>
            </w:r>
          </w:p>
        </w:tc>
        <w:tc>
          <w:tcPr>
            <w:tcW w:type="dxa" w:w="2600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WhatsApp/SMS production pricing becomes the largest line item</w:t>
            </w:r>
          </w:p>
        </w:tc>
        <w:tc>
          <w:tcPr>
            <w:tcW w:type="dxa" w:w="2326"/>
            <w:shd w:fill="F7F9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Same providers, ~10× token volume</w:t>
            </w:r>
          </w:p>
        </w:tc>
      </w:tr>
      <w:tr>
        <w:tc>
          <w:tcPr>
            <w:tcW w:type="dxa" w:w="1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color w:val="10151A"/>
                <w:sz w:val="19"/>
                <w:szCs w:val="19"/>
              </w:rPr>
              <w:t xml:space="preserve">50,000 households
(Phase 3, national)</w:t>
            </w:r>
          </w:p>
        </w:tc>
        <w:tc>
          <w:tcPr>
            <w:tcW w:type="dxa" w:w="25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Supabase scaled tier / read replicas — same codebase, no rewrite</w:t>
            </w:r>
          </w:p>
        </w:tc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Messaging cost dominates total spend, not engineering</w:t>
            </w:r>
          </w:p>
        </w:tc>
        <w:tc>
          <w:tcPr>
            <w:tcW w:type="dxa" w:w="232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0151A"/>
                <w:sz w:val="19"/>
                <w:szCs w:val="19"/>
              </w:rPr>
              <w:t xml:space="preserve">Batched extraction keeps marginal LLM cost per report low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0C5A5E"/>
          <w:sz w:val="30"/>
          <w:szCs w:val="30"/>
        </w:rPr>
        <w:t xml:space="preserve">8. Post-Pilot Roadmap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10151A"/>
          <w:sz w:val="20"/>
          <w:szCs w:val="20"/>
        </w:rPr>
        <w:t xml:space="preserve">Phase 2 — </w:t>
      </w:r>
      <w:r>
        <w:rPr>
          <w:rFonts w:ascii="Calibri" w:cs="Calibri" w:eastAsia="Calibri" w:hAnsi="Calibri"/>
          <w:color w:val="10151A"/>
          <w:sz w:val="20"/>
          <w:szCs w:val="20"/>
        </w:rPr>
        <w:t xml:space="preserve">Add landslide and fire hazards — new provider adapters and rows, same pipeline. No rewrite: hazard_type is data.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10151A"/>
          <w:sz w:val="20"/>
          <w:szCs w:val="20"/>
        </w:rPr>
        <w:t xml:space="preserve">Phase 3 — </w:t>
      </w:r>
      <w:r>
        <w:rPr>
          <w:rFonts w:ascii="Calibri" w:cs="Calibri" w:eastAsia="Calibri" w:hAnsi="Calibri"/>
          <w:color w:val="10151A"/>
          <w:sz w:val="20"/>
          <w:szCs w:val="20"/>
        </w:rPr>
        <w:t xml:space="preserve">Expand to SMS, radio, TV, and USSD channels at national scale across Nairobi's informal settlements.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0151A"/>
          <w:sz w:val="24"/>
          <w:szCs w:val="24"/>
        </w:rPr>
        <w:t xml:space="preserve">Appendix — Companion Materials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10151A"/>
          <w:sz w:val="20"/>
          <w:szCs w:val="20"/>
        </w:rPr>
        <w:t xml:space="preserve">Concept: </w:t>
      </w:r>
      <w:r>
        <w:rPr>
          <w:rFonts w:ascii="Calibri" w:cs="Calibri" w:eastAsia="Calibri" w:hAnsi="Calibri"/>
          <w:color w:val="10151A"/>
          <w:sz w:val="20"/>
          <w:szCs w:val="20"/>
        </w:rPr>
        <w:t xml:space="preserve">Problem, functionality, and innovation narrative — FloodFact-AI-Concept.pdf.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10151A"/>
          <w:sz w:val="20"/>
          <w:szCs w:val="20"/>
        </w:rPr>
        <w:t xml:space="preserve">Demonstration: </w:t>
      </w:r>
      <w:r>
        <w:rPr>
          <w:rFonts w:ascii="Calibri" w:cs="Calibri" w:eastAsia="Calibri" w:hAnsi="Calibri"/>
          <w:color w:val="10151A"/>
          <w:sz w:val="20"/>
          <w:szCs w:val="20"/>
        </w:rPr>
        <w:t xml:space="preserve">Real screenshots of the running product, end to end — FloodFact-AI-Demonstration.pdf.</w:t>
      </w:r>
    </w:p>
    <w:p>
      <w:pPr>
        <w:pStyle w:val="ListParagraph"/>
        <w:numPr>
          <w:ilvl w:val="0"/>
          <w:numId w:val="2"/>
        </w:numPr>
        <w:spacing w:after="60" w:line="260"/>
      </w:pPr>
      <w:r>
        <w:rPr>
          <w:rFonts w:ascii="Calibri" w:cs="Calibri" w:eastAsia="Calibri" w:hAnsi="Calibri"/>
          <w:b/>
          <w:bCs/>
          <w:color w:val="10151A"/>
          <w:sz w:val="20"/>
          <w:szCs w:val="20"/>
        </w:rPr>
        <w:t xml:space="preserve">Repository: </w:t>
      </w:r>
      <w:r>
        <w:rPr>
          <w:rFonts w:ascii="Calibri" w:cs="Calibri" w:eastAsia="Calibri" w:hAnsi="Calibri"/>
          <w:color w:val="10151A"/>
          <w:sz w:val="20"/>
          <w:szCs w:val="20"/>
        </w:rPr>
        <w:t xml:space="preserve">Full source, migrations, tests, and docs/SETUP.md for going live — github.com/VinceOdundo/FloodfactAI.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Calibri" w:cs="Calibri" w:eastAsia="Calibri" w:hAnsi="Calibri"/>
        <w:color w:val="8A96A3"/>
        <w:sz w:val="16"/>
        <w:szCs w:val="16"/>
      </w:rPr>
      <w:t xml:space="preserve">AI x City Climate Action Hackathon 2026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8A96A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5E8" w:sz="4" w:space="6"/>
      </w:pBdr>
      <w:tabs>
        <w:tab w:val="right" w:pos="9026"/>
      </w:tabs>
    </w:pPr>
    <w:r>
      <w:rPr>
        <w:rFonts w:ascii="Calibri" w:cs="Calibri" w:eastAsia="Calibri" w:hAnsi="Calibri"/>
        <w:color w:val="8A96A3"/>
        <w:sz w:val="16"/>
        <w:szCs w:val="16"/>
      </w:rPr>
      <w:t xml:space="preserve">FloodFact AI — Pilot Plan</w:t>
    </w:r>
    <w:r>
      <w:rPr>
        <w:rFonts w:ascii="Calibri" w:cs="Calibri" w:eastAsia="Calibri" w:hAnsi="Calibri"/>
        <w:color w:val="8A96A3"/>
        <w:sz w:val="16"/>
        <w:szCs w:val="16"/>
      </w:rPr>
      <w:t xml:space="preserve">	Phase 1 · Mukuru, Nairobi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15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0C5A5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0151A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FloodFact AI — Pilot Plan</dc:title>
  <dc:creator>FloodFact AI</dc:creator>
  <dc:description>Phase 1 Pilot Plan for the AI x City Climate Action Hackathon 2026 submission.</dc:description>
  <cp:lastModifiedBy>Un-named</cp:lastModifiedBy>
  <cp:revision>1</cp:revision>
  <dcterms:created xsi:type="dcterms:W3CDTF">2026-09-01T12:09:42.667Z</dcterms:created>
  <dcterms:modified xsi:type="dcterms:W3CDTF">2026-09-01T12:09:42.667Z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