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0A10" w14:textId="3E3028C6" w:rsidR="00B746C1" w:rsidRDefault="00B746C1">
      <w:pPr>
        <w:rPr>
          <w:b/>
          <w:bCs/>
        </w:rPr>
      </w:pPr>
      <w:r w:rsidRPr="003E4B84">
        <w:rPr>
          <w:b/>
          <w:bCs/>
        </w:rPr>
        <w:t>Projet Deep Learning – DSTI</w:t>
      </w:r>
    </w:p>
    <w:p w14:paraId="5A8C48E8" w14:textId="03E96068" w:rsidR="00F84599" w:rsidRDefault="00F84599">
      <w:pPr>
        <w:rPr>
          <w:b/>
          <w:bCs/>
        </w:rPr>
      </w:pPr>
      <w:r>
        <w:rPr>
          <w:b/>
          <w:bCs/>
        </w:rPr>
        <w:t xml:space="preserve">Participants : </w:t>
      </w:r>
    </w:p>
    <w:p w14:paraId="22643C46" w14:textId="1027054D" w:rsidR="00F84599" w:rsidRDefault="005F3EAA" w:rsidP="00496CD7">
      <w:pPr>
        <w:jc w:val="both"/>
        <w:rPr>
          <w:rStyle w:val="ui-provider"/>
        </w:rPr>
      </w:pPr>
      <w:r>
        <w:rPr>
          <w:rStyle w:val="ui-provider"/>
        </w:rPr>
        <w:t>Alex Stephane Yeinko Tago</w:t>
      </w:r>
    </w:p>
    <w:p w14:paraId="4CB1B461" w14:textId="31245CE4" w:rsidR="005F3EAA" w:rsidRDefault="00496CD7" w:rsidP="00496CD7">
      <w:pPr>
        <w:jc w:val="both"/>
        <w:rPr>
          <w:rStyle w:val="ui-provider"/>
        </w:rPr>
      </w:pPr>
      <w:r>
        <w:rPr>
          <w:rStyle w:val="ui-provider"/>
        </w:rPr>
        <w:t>Hassane Kadri Dodo</w:t>
      </w:r>
    </w:p>
    <w:p w14:paraId="3C430F81" w14:textId="71DF760B" w:rsidR="00496CD7" w:rsidRPr="003E4B84" w:rsidRDefault="00496CD7" w:rsidP="00496CD7">
      <w:pPr>
        <w:jc w:val="both"/>
        <w:rPr>
          <w:b/>
          <w:bCs/>
        </w:rPr>
      </w:pPr>
      <w:r>
        <w:rPr>
          <w:rStyle w:val="ui-provider"/>
        </w:rPr>
        <w:t>Vincent Weber</w:t>
      </w:r>
    </w:p>
    <w:p w14:paraId="6735BD34" w14:textId="77777777" w:rsidR="00B746C1" w:rsidRDefault="00B746C1"/>
    <w:p w14:paraId="022256B5" w14:textId="50CEFC7E" w:rsidR="00B746C1" w:rsidRPr="00B746C1" w:rsidRDefault="00B746C1">
      <w:pPr>
        <w:rPr>
          <w:b/>
          <w:bCs/>
        </w:rPr>
      </w:pPr>
      <w:r w:rsidRPr="00B746C1">
        <w:rPr>
          <w:b/>
          <w:bCs/>
        </w:rPr>
        <w:t>Question :</w:t>
      </w:r>
    </w:p>
    <w:p w14:paraId="75B778C5" w14:textId="755DE27E" w:rsidR="00B746C1" w:rsidRDefault="00B746C1">
      <w:r>
        <w:t>Peut-on prévoir à partir de méthodes de DEEP LEARNING, NLP les prochaines activités médicales de patients dans le cadre d’une prise en charge complète de cancérologie ?</w:t>
      </w:r>
    </w:p>
    <w:p w14:paraId="448FA539" w14:textId="77777777" w:rsidR="00B746C1" w:rsidRDefault="00B746C1"/>
    <w:p w14:paraId="193965FA" w14:textId="779B01CA" w:rsidR="00B746C1" w:rsidRPr="00B746C1" w:rsidRDefault="00B746C1">
      <w:pPr>
        <w:rPr>
          <w:b/>
          <w:bCs/>
        </w:rPr>
      </w:pPr>
      <w:r w:rsidRPr="00B746C1">
        <w:rPr>
          <w:b/>
          <w:bCs/>
        </w:rPr>
        <w:t>Jeu de données</w:t>
      </w:r>
      <w:r>
        <w:rPr>
          <w:b/>
          <w:bCs/>
        </w:rPr>
        <w:t xml:space="preserve"> disponible</w:t>
      </w:r>
      <w:r w:rsidRPr="00B746C1">
        <w:rPr>
          <w:b/>
          <w:bCs/>
        </w:rPr>
        <w:t> :</w:t>
      </w:r>
    </w:p>
    <w:p w14:paraId="1AAAB5F6" w14:textId="15E4E2CC" w:rsidR="00B746C1" w:rsidRDefault="00B746C1">
      <w:r>
        <w:t>Activité de patients enregistrée pendant 3 an</w:t>
      </w:r>
      <w:r w:rsidR="007C0DAF">
        <w:t>s</w:t>
      </w:r>
      <w:r>
        <w:t xml:space="preserve">, </w:t>
      </w:r>
      <w:r w:rsidR="00707F6E">
        <w:t xml:space="preserve">(environ 500 patients) </w:t>
      </w:r>
      <w:r>
        <w:t>sur les années de 2019, 2020 et 2021, rassemblée dans un tableau « log » qui comporte les colonnes suivantes :</w:t>
      </w:r>
    </w:p>
    <w:p w14:paraId="6D260535" w14:textId="77777777" w:rsidR="00B746C1" w:rsidRDefault="00B74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746C1" w14:paraId="33AF803C" w14:textId="77777777" w:rsidTr="00B746C1">
        <w:tc>
          <w:tcPr>
            <w:tcW w:w="1132" w:type="dxa"/>
          </w:tcPr>
          <w:p w14:paraId="0F513397" w14:textId="775A80C0" w:rsidR="00B746C1" w:rsidRDefault="00B746C1" w:rsidP="00B746C1">
            <w:pPr>
              <w:jc w:val="center"/>
            </w:pPr>
            <w:r>
              <w:t>NIP</w:t>
            </w:r>
          </w:p>
        </w:tc>
        <w:tc>
          <w:tcPr>
            <w:tcW w:w="1132" w:type="dxa"/>
          </w:tcPr>
          <w:p w14:paraId="3934F2DC" w14:textId="0E61A721" w:rsidR="00B746C1" w:rsidRDefault="00B746C1" w:rsidP="00B746C1">
            <w:pPr>
              <w:jc w:val="center"/>
            </w:pPr>
            <w:r>
              <w:t>Date début</w:t>
            </w:r>
          </w:p>
        </w:tc>
        <w:tc>
          <w:tcPr>
            <w:tcW w:w="1133" w:type="dxa"/>
          </w:tcPr>
          <w:p w14:paraId="5E239F2A" w14:textId="79F20A5F" w:rsidR="00B746C1" w:rsidRDefault="00B746C1" w:rsidP="00B746C1">
            <w:pPr>
              <w:jc w:val="center"/>
            </w:pPr>
            <w:r>
              <w:t>Date</w:t>
            </w:r>
          </w:p>
          <w:p w14:paraId="3F55B4F1" w14:textId="6A807C0B" w:rsidR="00B746C1" w:rsidRDefault="00B746C1" w:rsidP="00B746C1">
            <w:pPr>
              <w:jc w:val="center"/>
            </w:pPr>
            <w:r>
              <w:t>fin</w:t>
            </w:r>
          </w:p>
        </w:tc>
        <w:tc>
          <w:tcPr>
            <w:tcW w:w="1133" w:type="dxa"/>
          </w:tcPr>
          <w:p w14:paraId="560B6548" w14:textId="5B000895" w:rsidR="00B746C1" w:rsidRDefault="00B746C1" w:rsidP="00B746C1">
            <w:pPr>
              <w:jc w:val="center"/>
            </w:pPr>
            <w:r>
              <w:t>Code Acte</w:t>
            </w:r>
          </w:p>
        </w:tc>
        <w:tc>
          <w:tcPr>
            <w:tcW w:w="1133" w:type="dxa"/>
          </w:tcPr>
          <w:p w14:paraId="0E394BEF" w14:textId="5ACE6E07" w:rsidR="00B746C1" w:rsidRDefault="00B746C1" w:rsidP="00B746C1">
            <w:pPr>
              <w:jc w:val="center"/>
            </w:pPr>
            <w:r>
              <w:t>Service</w:t>
            </w:r>
          </w:p>
        </w:tc>
        <w:tc>
          <w:tcPr>
            <w:tcW w:w="1133" w:type="dxa"/>
          </w:tcPr>
          <w:p w14:paraId="4722BBF5" w14:textId="09E34DDB" w:rsidR="00B746C1" w:rsidRDefault="00B746C1" w:rsidP="00B746C1">
            <w:pPr>
              <w:jc w:val="center"/>
            </w:pPr>
            <w:r>
              <w:t>Activité</w:t>
            </w:r>
          </w:p>
        </w:tc>
        <w:tc>
          <w:tcPr>
            <w:tcW w:w="1133" w:type="dxa"/>
          </w:tcPr>
          <w:p w14:paraId="1A917F52" w14:textId="219BE3F2" w:rsidR="00B746C1" w:rsidRDefault="00B746C1" w:rsidP="00B746C1">
            <w:pPr>
              <w:jc w:val="center"/>
            </w:pPr>
            <w:r>
              <w:t>Phase</w:t>
            </w:r>
          </w:p>
        </w:tc>
        <w:tc>
          <w:tcPr>
            <w:tcW w:w="1133" w:type="dxa"/>
          </w:tcPr>
          <w:p w14:paraId="5ACE340B" w14:textId="7BA2BDDB" w:rsidR="00B746C1" w:rsidRDefault="00B746C1" w:rsidP="00B746C1">
            <w:pPr>
              <w:jc w:val="center"/>
            </w:pPr>
            <w:r>
              <w:t>Code Médecin</w:t>
            </w:r>
          </w:p>
        </w:tc>
      </w:tr>
      <w:tr w:rsidR="00B746C1" w14:paraId="7522DC58" w14:textId="77777777" w:rsidTr="00B746C1">
        <w:tc>
          <w:tcPr>
            <w:tcW w:w="1132" w:type="dxa"/>
          </w:tcPr>
          <w:p w14:paraId="6ED74966" w14:textId="77777777" w:rsidR="00B746C1" w:rsidRDefault="00B746C1"/>
        </w:tc>
        <w:tc>
          <w:tcPr>
            <w:tcW w:w="1132" w:type="dxa"/>
          </w:tcPr>
          <w:p w14:paraId="5427B275" w14:textId="77777777" w:rsidR="00B746C1" w:rsidRDefault="00B746C1"/>
        </w:tc>
        <w:tc>
          <w:tcPr>
            <w:tcW w:w="1133" w:type="dxa"/>
          </w:tcPr>
          <w:p w14:paraId="11F61BA2" w14:textId="77777777" w:rsidR="00B746C1" w:rsidRDefault="00B746C1"/>
        </w:tc>
        <w:tc>
          <w:tcPr>
            <w:tcW w:w="1133" w:type="dxa"/>
          </w:tcPr>
          <w:p w14:paraId="298EC343" w14:textId="77777777" w:rsidR="00B746C1" w:rsidRDefault="00B746C1"/>
        </w:tc>
        <w:tc>
          <w:tcPr>
            <w:tcW w:w="1133" w:type="dxa"/>
          </w:tcPr>
          <w:p w14:paraId="64E597A9" w14:textId="77777777" w:rsidR="00B746C1" w:rsidRDefault="00B746C1"/>
        </w:tc>
        <w:tc>
          <w:tcPr>
            <w:tcW w:w="1133" w:type="dxa"/>
          </w:tcPr>
          <w:p w14:paraId="56F822AF" w14:textId="77777777" w:rsidR="00B746C1" w:rsidRDefault="00B746C1"/>
        </w:tc>
        <w:tc>
          <w:tcPr>
            <w:tcW w:w="1133" w:type="dxa"/>
          </w:tcPr>
          <w:p w14:paraId="085769D2" w14:textId="77777777" w:rsidR="00B746C1" w:rsidRDefault="00B746C1"/>
        </w:tc>
        <w:tc>
          <w:tcPr>
            <w:tcW w:w="1133" w:type="dxa"/>
          </w:tcPr>
          <w:p w14:paraId="1C835364" w14:textId="77777777" w:rsidR="00B746C1" w:rsidRDefault="00B746C1"/>
        </w:tc>
      </w:tr>
      <w:tr w:rsidR="00B746C1" w14:paraId="272F79D0" w14:textId="77777777" w:rsidTr="00B746C1">
        <w:tc>
          <w:tcPr>
            <w:tcW w:w="1132" w:type="dxa"/>
          </w:tcPr>
          <w:p w14:paraId="556C24F0" w14:textId="77777777" w:rsidR="00B746C1" w:rsidRDefault="00B746C1"/>
        </w:tc>
        <w:tc>
          <w:tcPr>
            <w:tcW w:w="1132" w:type="dxa"/>
          </w:tcPr>
          <w:p w14:paraId="30D1E687" w14:textId="77777777" w:rsidR="00B746C1" w:rsidRDefault="00B746C1"/>
        </w:tc>
        <w:tc>
          <w:tcPr>
            <w:tcW w:w="1133" w:type="dxa"/>
          </w:tcPr>
          <w:p w14:paraId="7F858CA0" w14:textId="77777777" w:rsidR="00B746C1" w:rsidRDefault="00B746C1"/>
        </w:tc>
        <w:tc>
          <w:tcPr>
            <w:tcW w:w="1133" w:type="dxa"/>
          </w:tcPr>
          <w:p w14:paraId="4170D02F" w14:textId="77777777" w:rsidR="00B746C1" w:rsidRDefault="00B746C1"/>
        </w:tc>
        <w:tc>
          <w:tcPr>
            <w:tcW w:w="1133" w:type="dxa"/>
          </w:tcPr>
          <w:p w14:paraId="1FEF70DF" w14:textId="77777777" w:rsidR="00B746C1" w:rsidRDefault="00B746C1"/>
        </w:tc>
        <w:tc>
          <w:tcPr>
            <w:tcW w:w="1133" w:type="dxa"/>
          </w:tcPr>
          <w:p w14:paraId="3FC9CDAA" w14:textId="77777777" w:rsidR="00B746C1" w:rsidRDefault="00B746C1"/>
        </w:tc>
        <w:tc>
          <w:tcPr>
            <w:tcW w:w="1133" w:type="dxa"/>
          </w:tcPr>
          <w:p w14:paraId="3BE3C481" w14:textId="77777777" w:rsidR="00B746C1" w:rsidRDefault="00B746C1"/>
        </w:tc>
        <w:tc>
          <w:tcPr>
            <w:tcW w:w="1133" w:type="dxa"/>
          </w:tcPr>
          <w:p w14:paraId="2BF66939" w14:textId="77777777" w:rsidR="00B746C1" w:rsidRDefault="00B746C1"/>
        </w:tc>
      </w:tr>
    </w:tbl>
    <w:p w14:paraId="0A5EB309" w14:textId="77777777" w:rsidR="00B746C1" w:rsidRDefault="00B746C1"/>
    <w:p w14:paraId="7CD22E83" w14:textId="77777777" w:rsidR="00B746C1" w:rsidRDefault="00B746C1"/>
    <w:p w14:paraId="684951F1" w14:textId="6C877D1F" w:rsidR="00B746C1" w:rsidRPr="003E4B84" w:rsidRDefault="00B746C1">
      <w:pPr>
        <w:rPr>
          <w:b/>
          <w:bCs/>
        </w:rPr>
      </w:pPr>
      <w:r w:rsidRPr="00B746C1">
        <w:rPr>
          <w:b/>
          <w:bCs/>
        </w:rPr>
        <w:t>Approche envisagée :</w:t>
      </w:r>
    </w:p>
    <w:p w14:paraId="123BEC23" w14:textId="39F71DC8" w:rsidR="003E4B84" w:rsidRDefault="003E4B84" w:rsidP="00B746C1">
      <w:pPr>
        <w:pStyle w:val="ListParagraph"/>
        <w:numPr>
          <w:ilvl w:val="0"/>
          <w:numId w:val="1"/>
        </w:numPr>
      </w:pPr>
      <w:proofErr w:type="spellStart"/>
      <w:r w:rsidRPr="003E4B84">
        <w:rPr>
          <w:b/>
          <w:bCs/>
        </w:rPr>
        <w:t>Feature</w:t>
      </w:r>
      <w:proofErr w:type="spellEnd"/>
      <w:r w:rsidRPr="003E4B84">
        <w:rPr>
          <w:b/>
          <w:bCs/>
        </w:rPr>
        <w:t xml:space="preserve"> Engineering</w:t>
      </w:r>
      <w:r>
        <w:t> : Création d’une « phrase » de parcours patient</w:t>
      </w:r>
    </w:p>
    <w:p w14:paraId="1C2B7213" w14:textId="70596823" w:rsidR="00B746C1" w:rsidRDefault="00B746C1" w:rsidP="003E4B84">
      <w:r>
        <w:t xml:space="preserve">A partir des enregistrement de « log », créer une « phrase » correspondant au parcours </w:t>
      </w:r>
      <w:r w:rsidR="00707F6E">
        <w:t xml:space="preserve">d’un </w:t>
      </w:r>
      <w:r>
        <w:t>patient, intégrant l’ensemble des données du patient :</w:t>
      </w:r>
    </w:p>
    <w:p w14:paraId="3612D9EF" w14:textId="616AABB3" w:rsidR="00B746C1" w:rsidRDefault="00B746C1" w:rsidP="00B746C1">
      <w:r>
        <w:t>Par exemple : chaque ligne du jeu de donnée sera transformée en un code particulier intégrant les caractéristiques de l’acte réalisé.</w:t>
      </w:r>
    </w:p>
    <w:p w14:paraId="321E2748" w14:textId="3DBD8DD4" w:rsidR="00B746C1" w:rsidRDefault="00B746C1" w:rsidP="00B746C1">
      <w:r>
        <w:t>L’aspect temporel sera implémenté dans le sens de lecture de la « phrase », le premier code correspond au premier acte du parcours de soins</w:t>
      </w:r>
      <w:r w:rsidR="003E4B84">
        <w:t>.</w:t>
      </w:r>
    </w:p>
    <w:p w14:paraId="3972EAD5" w14:textId="15AEC5E2" w:rsidR="003E4B84" w:rsidRDefault="003E4B84" w:rsidP="00B746C1">
      <w:r>
        <w:t>Les périodes sans activité seront matérialisées par un code spécifique matérialisant une non activité pendant une période donnée.</w:t>
      </w:r>
    </w:p>
    <w:p w14:paraId="6DA7B4A6" w14:textId="3A64366D" w:rsidR="003E4B84" w:rsidRDefault="003E4B84" w:rsidP="00B746C1">
      <w:r>
        <w:t>L’ordre des actes réalisés dans une même journée est un paramètre à considérer.</w:t>
      </w:r>
    </w:p>
    <w:p w14:paraId="67359F41" w14:textId="77777777" w:rsidR="003E4B84" w:rsidRDefault="003E4B84" w:rsidP="00B746C1"/>
    <w:p w14:paraId="4BC9FFF0" w14:textId="6D54FA1B" w:rsidR="003E4B84" w:rsidRDefault="003E4B84" w:rsidP="00B746C1">
      <w:r>
        <w:t xml:space="preserve">2 – </w:t>
      </w:r>
      <w:r w:rsidRPr="003E4B84">
        <w:rPr>
          <w:b/>
          <w:bCs/>
        </w:rPr>
        <w:t>Création des training et test sets :</w:t>
      </w:r>
    </w:p>
    <w:p w14:paraId="58297943" w14:textId="63133775" w:rsidR="00B746C1" w:rsidRDefault="003E4B84" w:rsidP="00B746C1">
      <w:r>
        <w:t xml:space="preserve">De façon analogue à la réalisation des prévisions de Time Séries, il faut créer une base d’entrainement composée d’une longueur définie </w:t>
      </w:r>
      <w:r w:rsidR="0082351E">
        <w:t xml:space="preserve">du parcours </w:t>
      </w:r>
      <w:r>
        <w:t>en vecteur X, puis de demander au modèle de deviner le prochain acte de la série</w:t>
      </w:r>
      <w:r w:rsidR="0082351E">
        <w:t xml:space="preserve">, puis avancer pour chaque nouveau </w:t>
      </w:r>
      <w:proofErr w:type="spellStart"/>
      <w:r w:rsidR="00E528CC">
        <w:t>timestep</w:t>
      </w:r>
      <w:proofErr w:type="spellEnd"/>
      <w:r w:rsidR="00E528CC">
        <w:t xml:space="preserve"> du parcours.</w:t>
      </w:r>
    </w:p>
    <w:p w14:paraId="7EEFD621" w14:textId="1DDB850C" w:rsidR="00E528CC" w:rsidRPr="007D412B" w:rsidRDefault="006B2F0F" w:rsidP="00B746C1">
      <w:pPr>
        <w:rPr>
          <w:b/>
          <w:bCs/>
        </w:rPr>
      </w:pPr>
      <w:r w:rsidRPr="007D412B">
        <w:rPr>
          <w:b/>
          <w:bCs/>
        </w:rPr>
        <w:t xml:space="preserve">3 – Applications de modèles </w:t>
      </w:r>
      <w:r w:rsidR="007D412B" w:rsidRPr="007D412B">
        <w:rPr>
          <w:b/>
          <w:bCs/>
        </w:rPr>
        <w:t>ML linéaires :</w:t>
      </w:r>
    </w:p>
    <w:p w14:paraId="55390382" w14:textId="4D071294" w:rsidR="007D412B" w:rsidRDefault="007D412B" w:rsidP="007D412B">
      <w:pPr>
        <w:pStyle w:val="ListParagraph"/>
        <w:numPr>
          <w:ilvl w:val="0"/>
          <w:numId w:val="2"/>
        </w:numPr>
      </w:pPr>
      <w:r>
        <w:t>RF/ SVM / NN</w:t>
      </w:r>
    </w:p>
    <w:p w14:paraId="2B66523D" w14:textId="4FEFE0B1" w:rsidR="003E4B84" w:rsidRPr="003E4B84" w:rsidRDefault="007D412B" w:rsidP="00B746C1">
      <w:pPr>
        <w:rPr>
          <w:b/>
          <w:bCs/>
        </w:rPr>
      </w:pPr>
      <w:r>
        <w:rPr>
          <w:b/>
          <w:bCs/>
        </w:rPr>
        <w:t>4</w:t>
      </w:r>
      <w:r w:rsidR="003E4B84" w:rsidRPr="003E4B84">
        <w:rPr>
          <w:b/>
          <w:bCs/>
        </w:rPr>
        <w:t xml:space="preserve"> – Application d’un modèle de Deep Learning type NLP</w:t>
      </w:r>
    </w:p>
    <w:p w14:paraId="0D952336" w14:textId="216E815F" w:rsidR="003E4B84" w:rsidRDefault="007D412B" w:rsidP="007D412B">
      <w:pPr>
        <w:pStyle w:val="ListParagraph"/>
        <w:numPr>
          <w:ilvl w:val="0"/>
          <w:numId w:val="2"/>
        </w:numPr>
      </w:pPr>
      <w:r>
        <w:t>Choix du modèle</w:t>
      </w:r>
    </w:p>
    <w:p w14:paraId="0B2A6CE8" w14:textId="2CDA7939" w:rsidR="007D412B" w:rsidRDefault="00237DF2" w:rsidP="007D412B">
      <w:pPr>
        <w:pStyle w:val="ListParagraph"/>
        <w:numPr>
          <w:ilvl w:val="0"/>
          <w:numId w:val="2"/>
        </w:numPr>
      </w:pPr>
      <w:r>
        <w:t>Entrainement</w:t>
      </w:r>
    </w:p>
    <w:p w14:paraId="67F948E7" w14:textId="4F27C5AD" w:rsidR="00237DF2" w:rsidRDefault="00237DF2" w:rsidP="007D412B">
      <w:pPr>
        <w:pStyle w:val="ListParagraph"/>
        <w:numPr>
          <w:ilvl w:val="0"/>
          <w:numId w:val="2"/>
        </w:numPr>
      </w:pPr>
      <w:r>
        <w:t xml:space="preserve">Prédiction + Test + </w:t>
      </w:r>
      <w:proofErr w:type="spellStart"/>
      <w:r>
        <w:t>Crossvalidation</w:t>
      </w:r>
      <w:proofErr w:type="spellEnd"/>
    </w:p>
    <w:p w14:paraId="69F1C16A" w14:textId="3F17F2B8" w:rsidR="003E4B84" w:rsidRDefault="007D412B" w:rsidP="00B746C1">
      <w:pPr>
        <w:rPr>
          <w:b/>
          <w:bCs/>
        </w:rPr>
      </w:pPr>
      <w:r w:rsidRPr="007D412B">
        <w:rPr>
          <w:b/>
          <w:bCs/>
        </w:rPr>
        <w:t>5- Comparaison et conclusion</w:t>
      </w:r>
    </w:p>
    <w:p w14:paraId="41B3826B" w14:textId="77777777" w:rsidR="00B1653F" w:rsidRDefault="00B1653F" w:rsidP="00B746C1">
      <w:pPr>
        <w:rPr>
          <w:b/>
          <w:bCs/>
        </w:rPr>
      </w:pPr>
    </w:p>
    <w:p w14:paraId="572EDA08" w14:textId="77777777" w:rsidR="00B1653F" w:rsidRDefault="00B1653F" w:rsidP="00B746C1">
      <w:pPr>
        <w:rPr>
          <w:b/>
          <w:bCs/>
        </w:rPr>
      </w:pPr>
    </w:p>
    <w:p w14:paraId="38731848" w14:textId="327745D1" w:rsidR="00B1653F" w:rsidRDefault="00B1653F">
      <w:pPr>
        <w:rPr>
          <w:b/>
          <w:bCs/>
        </w:rPr>
      </w:pPr>
      <w:r>
        <w:rPr>
          <w:b/>
          <w:bCs/>
        </w:rPr>
        <w:br w:type="page"/>
      </w:r>
    </w:p>
    <w:p w14:paraId="338A7D99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1000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0122EF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3DA6082F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proofErr w:type="spellStart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T_Actes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NIP</w:t>
      </w:r>
      <w:proofErr w:type="spellEnd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NIP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94D95A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[DD_A]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Date_acte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632936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[DF_A]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[DD_A]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Duree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30DC74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T_UFX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860DD4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T_UFX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Activite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Activite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D66FD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T_UFX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Phase_Parcours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4E41C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Code_Medecin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DFC4BC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T_Code_Acte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Cle_Encode_acte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Code_Acte</w:t>
      </w:r>
      <w:proofErr w:type="spellEnd"/>
    </w:p>
    <w:p w14:paraId="758B53D5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1C162D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ICO_Activite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Tmp_Acte_Encoding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T_Code_Acte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8BA9AB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ICO_Activite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[Listing_UF_V3]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T_UFX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F8DF8F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ICO_Activite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Tmp_A_Actes_Table_Analyse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proofErr w:type="spellEnd"/>
    </w:p>
    <w:p w14:paraId="0FA55402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48926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T_Code_Acte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615E4806" w14:textId="77777777" w:rsid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T_Actes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UFX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T_UFX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UFX_Code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78FE0A7C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T_Actes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NIP</w:t>
      </w:r>
      <w:proofErr w:type="spellEnd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4E51E00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[NIP]</w:t>
      </w:r>
    </w:p>
    <w:p w14:paraId="24BCAFA8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ICO_Activite</w:t>
      </w:r>
      <w:proofErr w:type="spellEnd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[Mlflow_Exp_NIP_Cl_P1_CPP]</w:t>
      </w:r>
    </w:p>
    <w:p w14:paraId="75AB88B5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Cl_P</w:t>
      </w:r>
      <w:proofErr w:type="spellEnd"/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</w:p>
    <w:p w14:paraId="50A88F4C" w14:textId="77777777" w:rsidR="00B1653F" w:rsidRPr="00B1653F" w:rsidRDefault="00B1653F" w:rsidP="00B1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B165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4BE3D97" w14:textId="6D8E4713" w:rsidR="00B1653F" w:rsidRPr="00B1653F" w:rsidRDefault="00B1653F" w:rsidP="00B1653F">
      <w:pPr>
        <w:rPr>
          <w:b/>
          <w:bCs/>
          <w:lang w:val="en-US"/>
        </w:rPr>
      </w:pP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165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NIP </w:t>
      </w:r>
      <w:proofErr w:type="spellStart"/>
      <w:r w:rsidRPr="00B165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proofErr w:type="spellEnd"/>
    </w:p>
    <w:sectPr w:rsidR="00B1653F" w:rsidRPr="00B1653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6E4"/>
    <w:multiLevelType w:val="hybridMultilevel"/>
    <w:tmpl w:val="3D1256EA"/>
    <w:lvl w:ilvl="0" w:tplc="C4EE6996">
      <w:start w:val="3"/>
      <w:numFmt w:val="bullet"/>
      <w:lvlText w:val="-"/>
      <w:lvlJc w:val="left"/>
      <w:pPr>
        <w:ind w:left="1071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71F80922"/>
    <w:multiLevelType w:val="hybridMultilevel"/>
    <w:tmpl w:val="D0946944"/>
    <w:lvl w:ilvl="0" w:tplc="597C5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783017">
    <w:abstractNumId w:val="1"/>
  </w:num>
  <w:num w:numId="2" w16cid:durableId="183946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C1"/>
    <w:rsid w:val="001D3D61"/>
    <w:rsid w:val="00237DF2"/>
    <w:rsid w:val="002E7E8A"/>
    <w:rsid w:val="003307EE"/>
    <w:rsid w:val="003E4B84"/>
    <w:rsid w:val="00496CD7"/>
    <w:rsid w:val="005F3EAA"/>
    <w:rsid w:val="006B2F0F"/>
    <w:rsid w:val="00707F6E"/>
    <w:rsid w:val="007C0DAF"/>
    <w:rsid w:val="007D412B"/>
    <w:rsid w:val="0082351E"/>
    <w:rsid w:val="00B1653F"/>
    <w:rsid w:val="00B746C1"/>
    <w:rsid w:val="00E528CC"/>
    <w:rsid w:val="00F8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A0C1"/>
  <w15:chartTrackingRefBased/>
  <w15:docId w15:val="{8396418B-2D70-4323-8550-AF783A59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F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A4AF5E7D73E40A5D1734B76C2D204" ma:contentTypeVersion="12" ma:contentTypeDescription="Create a new document." ma:contentTypeScope="" ma:versionID="77610a11f650f1b67204ca998460d319">
  <xsd:schema xmlns:xsd="http://www.w3.org/2001/XMLSchema" xmlns:xs="http://www.w3.org/2001/XMLSchema" xmlns:p="http://schemas.microsoft.com/office/2006/metadata/properties" xmlns:ns3="5ca5d0b6-dbcf-463a-88a1-fc0d3a8bb511" xmlns:ns4="06b78f3f-8879-4bc5-848e-3f7d6dd1fcfb" targetNamespace="http://schemas.microsoft.com/office/2006/metadata/properties" ma:root="true" ma:fieldsID="c546567c051785b63d192248c967063c" ns3:_="" ns4:_="">
    <xsd:import namespace="5ca5d0b6-dbcf-463a-88a1-fc0d3a8bb511"/>
    <xsd:import namespace="06b78f3f-8879-4bc5-848e-3f7d6dd1f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5d0b6-dbcf-463a-88a1-fc0d3a8bb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78f3f-8879-4bc5-848e-3f7d6dd1f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a5d0b6-dbcf-463a-88a1-fc0d3a8bb511" xsi:nil="true"/>
  </documentManagement>
</p:properties>
</file>

<file path=customXml/itemProps1.xml><?xml version="1.0" encoding="utf-8"?>
<ds:datastoreItem xmlns:ds="http://schemas.openxmlformats.org/officeDocument/2006/customXml" ds:itemID="{C2BC43DD-CE66-42BD-8D17-864DF7844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96E9EC-F50F-442E-A01D-D0EA2283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5d0b6-dbcf-463a-88a1-fc0d3a8bb511"/>
    <ds:schemaRef ds:uri="06b78f3f-8879-4bc5-848e-3f7d6dd1f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6DE79-987A-4B10-ABC1-17596D0BEA55}">
  <ds:schemaRefs>
    <ds:schemaRef ds:uri="http://purl.org/dc/terms/"/>
    <ds:schemaRef ds:uri="http://purl.org/dc/elements/1.1/"/>
    <ds:schemaRef ds:uri="http://schemas.microsoft.com/office/2006/metadata/properties"/>
    <ds:schemaRef ds:uri="06b78f3f-8879-4bc5-848e-3f7d6dd1fcfb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ca5d0b6-dbcf-463a-88a1-fc0d3a8bb51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Weber</dc:creator>
  <cp:keywords/>
  <dc:description/>
  <cp:lastModifiedBy>Vincent Weber</cp:lastModifiedBy>
  <cp:revision>2</cp:revision>
  <dcterms:created xsi:type="dcterms:W3CDTF">2024-01-25T13:21:00Z</dcterms:created>
  <dcterms:modified xsi:type="dcterms:W3CDTF">2024-01-25T13:21:00Z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0x01010070BA4AF5E7D73E40A5D1734B76C2D204</vt:lpwstr>
  </property>
</Properties>
</file>