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D973" w14:textId="77777777" w:rsidR="007A6D90" w:rsidRPr="007A6D90" w:rsidRDefault="007A6D90" w:rsidP="007A6D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6D90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7A6D90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7A6D90">
        <w:rPr>
          <w:rFonts w:ascii="Times New Roman" w:hAnsi="Times New Roman" w:cs="Times New Roman"/>
          <w:b/>
          <w:sz w:val="24"/>
          <w:szCs w:val="24"/>
        </w:rPr>
        <w:t>8</w:t>
      </w:r>
    </w:p>
    <w:p w14:paraId="4862FAA7" w14:textId="77777777" w:rsidR="007A6D90" w:rsidRPr="007A6D90" w:rsidRDefault="007A6D90" w:rsidP="007A6D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36A579" w14:textId="77777777" w:rsidR="007A6D90" w:rsidRPr="007A6D90" w:rsidRDefault="007A6D90" w:rsidP="007A6D90">
      <w:pPr>
        <w:jc w:val="both"/>
        <w:rPr>
          <w:rFonts w:ascii="Times New Roman" w:hAnsi="Times New Roman" w:cs="Times New Roman"/>
          <w:sz w:val="24"/>
          <w:szCs w:val="24"/>
        </w:rPr>
      </w:pPr>
      <w:r w:rsidRPr="007A6D90">
        <w:rPr>
          <w:rFonts w:ascii="Times New Roman" w:hAnsi="Times New Roman" w:cs="Times New Roman"/>
          <w:sz w:val="24"/>
          <w:szCs w:val="24"/>
        </w:rPr>
        <w:t>1. Метод статистической суммы.</w:t>
      </w:r>
    </w:p>
    <w:p w14:paraId="0376CD68" w14:textId="77777777" w:rsidR="007A6D90" w:rsidRPr="007A6D90" w:rsidRDefault="007A6D90" w:rsidP="007A6D90">
      <w:pPr>
        <w:pStyle w:val="a"/>
        <w:numPr>
          <w:ilvl w:val="0"/>
          <w:numId w:val="0"/>
        </w:numPr>
        <w:spacing w:after="160" w:line="259" w:lineRule="auto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7A6D90">
        <w:rPr>
          <w:rFonts w:ascii="Times New Roman" w:hAnsi="Times New Roman"/>
          <w:b w:val="0"/>
          <w:sz w:val="24"/>
          <w:szCs w:val="24"/>
          <w:lang w:val="ru-RU"/>
        </w:rPr>
        <w:t xml:space="preserve">2. </w:t>
      </w:r>
      <w:r w:rsidRPr="007A6D90">
        <w:rPr>
          <w:rFonts w:ascii="Times New Roman" w:hAnsi="Times New Roman"/>
          <w:b w:val="0"/>
          <w:sz w:val="24"/>
          <w:szCs w:val="24"/>
        </w:rPr>
        <w:t>Кинетическая теория переноса Больцмана. Кинетическое уравнение Больцмана</w:t>
      </w:r>
      <w:r w:rsidRPr="007A6D90">
        <w:rPr>
          <w:rFonts w:ascii="Times New Roman" w:hAnsi="Times New Roman"/>
          <w:b w:val="0"/>
          <w:sz w:val="24"/>
          <w:szCs w:val="24"/>
          <w:lang w:val="ru-RU"/>
        </w:rPr>
        <w:t xml:space="preserve">. </w:t>
      </w:r>
    </w:p>
    <w:p w14:paraId="7FB2B5F7" w14:textId="77777777" w:rsidR="007A6D90" w:rsidRPr="007A6D90" w:rsidRDefault="007A6D90" w:rsidP="007A6D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6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Смесь из двух идеальных газов, состоящих из одинакового числа частиц, но с разными массами атомов </w:t>
      </w:r>
      <w:r w:rsidRPr="007A6D90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300" w:dyaOrig="360" w14:anchorId="4ADE4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85pt" o:ole="">
            <v:imagedata r:id="rId6" o:title=""/>
          </v:shape>
          <o:OLEObject Type="Embed" ProgID="Equation.DSMT4" ShapeID="_x0000_i1025" DrawAspect="Content" ObjectID="_1654284559" r:id="rId7"/>
        </w:object>
      </w:r>
      <w:r w:rsidRPr="007A6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Pr="007A6D90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320" w:dyaOrig="360" w14:anchorId="4C376485">
          <v:shape id="_x0000_i1026" type="#_x0000_t75" style="width:16.15pt;height:17.85pt" o:ole="">
            <v:imagedata r:id="rId8" o:title=""/>
          </v:shape>
          <o:OLEObject Type="Embed" ProgID="Equation.DSMT4" ShapeID="_x0000_i1026" DrawAspect="Content" ObjectID="_1654284560" r:id="rId9"/>
        </w:object>
      </w:r>
      <w:r w:rsidRPr="007A6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заключена в цилиндр радиуса </w:t>
      </w:r>
      <w:r w:rsidRPr="007A6D90">
        <w:rPr>
          <w:rFonts w:ascii="Times New Roman" w:hAnsi="Times New Roman" w:cs="Times New Roman"/>
          <w:position w:val="-4"/>
          <w:sz w:val="24"/>
          <w:szCs w:val="24"/>
          <w:shd w:val="clear" w:color="auto" w:fill="FFFFFF"/>
        </w:rPr>
        <w:object w:dxaOrig="240" w:dyaOrig="260" w14:anchorId="04182E4B">
          <v:shape id="_x0000_i1027" type="#_x0000_t75" style="width:12.1pt;height:13.25pt" o:ole="">
            <v:imagedata r:id="rId10" o:title=""/>
          </v:shape>
          <o:OLEObject Type="Embed" ProgID="Equation.DSMT4" ShapeID="_x0000_i1027" DrawAspect="Content" ObjectID="_1654284561" r:id="rId11"/>
        </w:object>
      </w:r>
      <w:r w:rsidRPr="007A6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высотой </w:t>
      </w:r>
      <w:r w:rsidRPr="007A6D90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00" w:dyaOrig="279" w14:anchorId="2EB49CE8">
          <v:shape id="_x0000_i1028" type="#_x0000_t75" style="width:9.8pt;height:13.8pt" o:ole="">
            <v:imagedata r:id="rId12" o:title=""/>
          </v:shape>
          <o:OLEObject Type="Embed" ProgID="Equation.DSMT4" ShapeID="_x0000_i1028" DrawAspect="Content" ObjectID="_1654284562" r:id="rId13"/>
        </w:object>
      </w:r>
      <w:r w:rsidRPr="007A6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помещена в поле тяжести Земли. Определить центр тяжести данной системы. </w:t>
      </w:r>
    </w:p>
    <w:p w14:paraId="05FBC4DD" w14:textId="77777777" w:rsidR="007A6D90" w:rsidRPr="007A6D90" w:rsidRDefault="007A6D90" w:rsidP="007A6D90">
      <w:pPr>
        <w:jc w:val="both"/>
        <w:rPr>
          <w:rFonts w:ascii="Times New Roman" w:hAnsi="Times New Roman" w:cs="Times New Roman"/>
          <w:sz w:val="24"/>
          <w:szCs w:val="24"/>
        </w:rPr>
      </w:pPr>
      <w:r w:rsidRPr="007A6D90">
        <w:rPr>
          <w:rFonts w:ascii="Times New Roman" w:hAnsi="Times New Roman" w:cs="Times New Roman"/>
          <w:sz w:val="24"/>
          <w:szCs w:val="24"/>
        </w:rPr>
        <w:t xml:space="preserve">4. Найти число ударов частиц идеального ферми-газа о стенку сосуда площадью </w:t>
      </w:r>
      <w:r w:rsidRPr="007A6D90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61F449D2">
          <v:shape id="_x0000_i1029" type="#_x0000_t75" style="width:12.1pt;height:10.95pt" o:ole="">
            <v:imagedata r:id="rId14" o:title=""/>
          </v:shape>
          <o:OLEObject Type="Embed" ProgID="Equation.3" ShapeID="_x0000_i1029" DrawAspect="Content" ObjectID="_1654284563" r:id="rId15"/>
        </w:object>
      </w:r>
      <w:r w:rsidRPr="007A6D90">
        <w:rPr>
          <w:rFonts w:ascii="Times New Roman" w:hAnsi="Times New Roman" w:cs="Times New Roman"/>
          <w:sz w:val="24"/>
          <w:szCs w:val="24"/>
        </w:rPr>
        <w:t xml:space="preserve"> при абсолютном нуле температуры.</w:t>
      </w:r>
    </w:p>
    <w:p w14:paraId="13F6F561" w14:textId="77777777" w:rsidR="007A6D90" w:rsidRPr="007A6D90" w:rsidRDefault="007A6D90" w:rsidP="007A6D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04FDA" w14:textId="77777777" w:rsidR="007A6D90" w:rsidRPr="007A6D90" w:rsidRDefault="007A6D90" w:rsidP="007A6D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7A6D90" w:rsidRPr="007A6D90" w14:paraId="0564BAC9" w14:textId="77777777" w:rsidTr="00C747B2">
        <w:tc>
          <w:tcPr>
            <w:tcW w:w="4785" w:type="dxa"/>
          </w:tcPr>
          <w:p w14:paraId="4C7407DB" w14:textId="77777777" w:rsidR="007A6D90" w:rsidRPr="007A6D90" w:rsidRDefault="007A6D90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A6D90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1A5E361A" w14:textId="05B0D8C1" w:rsidR="007A6D90" w:rsidRPr="007A6D90" w:rsidRDefault="007A6D90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7A6D90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6433BB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7A6D90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2B4E393F" w14:textId="77777777" w:rsidR="007A6D90" w:rsidRPr="007A6D90" w:rsidRDefault="007A6D90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2F6E965" w14:textId="77777777" w:rsidR="007A6D90" w:rsidRPr="007A6D90" w:rsidRDefault="007A6D90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6D90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A4728" w:rsidRDefault="001C1C08" w:rsidP="00FA4728"/>
    <w:sectPr w:rsidR="001C1C08" w:rsidRPr="00FA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926A3"/>
    <w:rsid w:val="001C1C08"/>
    <w:rsid w:val="002B4E54"/>
    <w:rsid w:val="006433BB"/>
    <w:rsid w:val="006F19DE"/>
    <w:rsid w:val="007A6D90"/>
    <w:rsid w:val="00966FED"/>
    <w:rsid w:val="00B05DE3"/>
    <w:rsid w:val="00D51EAA"/>
    <w:rsid w:val="00D654CE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ABF4-7BB8-4F1E-AD47-AD503314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2020-06-21T19:27:00Z</dcterms:created>
  <dcterms:modified xsi:type="dcterms:W3CDTF">2020-06-21T19:43:00Z</dcterms:modified>
</cp:coreProperties>
</file>