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DF6B" w14:textId="68CB6C50" w:rsidR="003721D0" w:rsidRDefault="00484AB1" w:rsidP="003721D0">
      <w:pPr>
        <w:pStyle w:val="Title"/>
        <w:ind w:firstLine="0"/>
      </w:pPr>
      <w:r>
        <w:t xml:space="preserve">An Experiment with </w:t>
      </w:r>
      <w:r w:rsidR="003721D0">
        <w:t>Objective Metrics</w:t>
      </w:r>
    </w:p>
    <w:p w14:paraId="11299925" w14:textId="0FDFF4F8" w:rsidR="003721D0" w:rsidRDefault="008034DE" w:rsidP="003721D0">
      <w:pPr>
        <w:pStyle w:val="Subtitle"/>
        <w:ind w:firstLine="0"/>
      </w:pPr>
      <w:r>
        <w:t xml:space="preserve">Sharpe and </w:t>
      </w:r>
      <w:r w:rsidR="003721D0">
        <w:t>Information Ratio May Not Be Best</w:t>
      </w:r>
    </w:p>
    <w:p w14:paraId="5CE9C19C" w14:textId="60E58F7E" w:rsidR="003024BF" w:rsidRDefault="00265B9C" w:rsidP="00BA6482">
      <w:pPr>
        <w:rPr>
          <w:rStyle w:val="Hyperlink"/>
        </w:rPr>
      </w:pPr>
      <w:r>
        <w:t xml:space="preserve">Source Code: </w:t>
      </w:r>
      <w:hyperlink r:id="rId8" w:history="1">
        <w:r w:rsidR="003024BF" w:rsidRPr="008676AF">
          <w:rPr>
            <w:rStyle w:val="Hyperlink"/>
          </w:rPr>
          <w:t>https://github.com/Vincent-Chin/Risk_Perspective_Paper</w:t>
        </w:r>
      </w:hyperlink>
    </w:p>
    <w:p w14:paraId="61BEB8E0" w14:textId="77777777" w:rsidR="00C13FED" w:rsidRPr="00265B9C" w:rsidRDefault="00C13FED" w:rsidP="00C13FED">
      <w:pPr>
        <w:ind w:firstLine="0"/>
      </w:pPr>
    </w:p>
    <w:p w14:paraId="58291261" w14:textId="350EBB06" w:rsidR="00904ECA" w:rsidRDefault="00904ECA" w:rsidP="0048257C">
      <w:pPr>
        <w:pStyle w:val="Heading1"/>
        <w:ind w:firstLine="0"/>
      </w:pPr>
      <w:r>
        <w:t>Summary</w:t>
      </w:r>
    </w:p>
    <w:p w14:paraId="3AB2FED6" w14:textId="77777777" w:rsidR="00904ECA" w:rsidRDefault="00904ECA" w:rsidP="00904ECA">
      <w:pPr>
        <w:ind w:firstLine="0"/>
      </w:pPr>
    </w:p>
    <w:p w14:paraId="7FE72B49" w14:textId="15AB3F52" w:rsidR="00FC4F88" w:rsidRDefault="00FC4F88" w:rsidP="00904ECA">
      <w:pPr>
        <w:ind w:firstLine="720"/>
      </w:pPr>
      <w:r>
        <w:t xml:space="preserve">In active portfolio management, </w:t>
      </w:r>
      <w:r w:rsidR="008034DE">
        <w:t xml:space="preserve">Sharpe Ratio and </w:t>
      </w:r>
      <w:r>
        <w:t xml:space="preserve">Information Ratio </w:t>
      </w:r>
      <w:r w:rsidR="008034DE">
        <w:t>are</w:t>
      </w:r>
      <w:r>
        <w:t xml:space="preserve"> commonly </w:t>
      </w:r>
      <w:r w:rsidR="00904ECA">
        <w:t xml:space="preserve">used as a criterion to infer the future quality of an investment </w:t>
      </w:r>
      <w:r w:rsidR="008B5EB2">
        <w:t>strategy</w:t>
      </w:r>
      <w:r w:rsidR="00904ECA">
        <w:t>.  This paper conducts e</w:t>
      </w:r>
      <w:r w:rsidR="0058128F">
        <w:t xml:space="preserve">xperiments </w:t>
      </w:r>
      <w:r w:rsidR="00600C29">
        <w:t xml:space="preserve">using a hypothetical active selection strategy </w:t>
      </w:r>
      <w:r w:rsidR="00904ECA">
        <w:t xml:space="preserve">to evaluate </w:t>
      </w:r>
      <w:r w:rsidR="0058128F">
        <w:t>these ratios</w:t>
      </w:r>
      <w:r w:rsidR="00904ECA">
        <w:t xml:space="preserve"> as predictor</w:t>
      </w:r>
      <w:r w:rsidR="008034DE">
        <w:t>s</w:t>
      </w:r>
      <w:r w:rsidR="00904ECA">
        <w:t xml:space="preserve"> </w:t>
      </w:r>
      <w:r w:rsidR="008034DE">
        <w:t>for</w:t>
      </w:r>
      <w:r w:rsidR="00904ECA">
        <w:t xml:space="preserve"> out-of-sample performance, along with</w:t>
      </w:r>
      <w:r w:rsidR="008034DE">
        <w:t xml:space="preserve"> the </w:t>
      </w:r>
      <w:proofErr w:type="spellStart"/>
      <w:r w:rsidR="008034DE">
        <w:t>Sortino</w:t>
      </w:r>
      <w:proofErr w:type="spellEnd"/>
      <w:r w:rsidR="008034DE">
        <w:t xml:space="preserve"> and MAR Ratios</w:t>
      </w:r>
      <w:r w:rsidR="00904ECA">
        <w:t>.</w:t>
      </w:r>
    </w:p>
    <w:p w14:paraId="62747DAA" w14:textId="2B11507A" w:rsidR="00904ECA" w:rsidRDefault="00904ECA" w:rsidP="00904ECA">
      <w:pPr>
        <w:ind w:firstLine="720"/>
      </w:pPr>
    </w:p>
    <w:p w14:paraId="524928CB" w14:textId="39279437" w:rsidR="00C13FED" w:rsidRDefault="00581A53" w:rsidP="00904ECA">
      <w:pPr>
        <w:ind w:firstLine="720"/>
      </w:pPr>
      <w:r>
        <w:t xml:space="preserve">Through </w:t>
      </w:r>
      <w:r w:rsidR="00663279">
        <w:t xml:space="preserve">these </w:t>
      </w:r>
      <w:r w:rsidR="0058128F">
        <w:t>experiments</w:t>
      </w:r>
      <w:r>
        <w:t xml:space="preserve">, </w:t>
      </w:r>
      <w:r w:rsidR="008B5EB2">
        <w:t xml:space="preserve">I observe </w:t>
      </w:r>
      <w:r>
        <w:t xml:space="preserve">that while </w:t>
      </w:r>
      <w:r w:rsidR="008034DE">
        <w:t xml:space="preserve">both Sharpe and </w:t>
      </w:r>
      <w:r>
        <w:t xml:space="preserve">Information Ratio </w:t>
      </w:r>
      <w:r w:rsidR="008034DE">
        <w:t>are</w:t>
      </w:r>
      <w:r>
        <w:t xml:space="preserve"> interesting backward-looking metric</w:t>
      </w:r>
      <w:r w:rsidR="008034DE">
        <w:t>s</w:t>
      </w:r>
      <w:r w:rsidR="00D85769">
        <w:t xml:space="preserve">, </w:t>
      </w:r>
      <w:r w:rsidR="008034DE">
        <w:t>both</w:t>
      </w:r>
      <w:r w:rsidR="00D85769">
        <w:t xml:space="preserve"> chronically underperform</w:t>
      </w:r>
      <w:r w:rsidR="00132E08">
        <w:t xml:space="preserve"> when used as portfolio predictor</w:t>
      </w:r>
      <w:r w:rsidR="0058128F">
        <w:t>s</w:t>
      </w:r>
      <w:r w:rsidR="00132E08">
        <w:t xml:space="preserve"> on a walk-forward basis.  </w:t>
      </w:r>
      <w:r w:rsidR="00831C6C">
        <w:t>I</w:t>
      </w:r>
      <w:r w:rsidR="00132E08">
        <w:t xml:space="preserve"> find similar results in both traditional walk-forward testing and </w:t>
      </w:r>
      <w:r w:rsidR="00647A6D">
        <w:t>quasi-M</w:t>
      </w:r>
      <w:r w:rsidR="00132E08">
        <w:t>onte</w:t>
      </w:r>
      <w:r w:rsidR="00647A6D">
        <w:t xml:space="preserve"> C</w:t>
      </w:r>
      <w:r w:rsidR="00132E08">
        <w:t>arlo walk-forward testing.</w:t>
      </w:r>
    </w:p>
    <w:p w14:paraId="3E6DC56B" w14:textId="77777777" w:rsidR="00C13FED" w:rsidRDefault="00C13FED">
      <w:r>
        <w:br w:type="page"/>
      </w:r>
    </w:p>
    <w:p w14:paraId="5A6AABB6" w14:textId="17D5DCD6" w:rsidR="00632DBD" w:rsidRDefault="0048257C" w:rsidP="00B04421">
      <w:pPr>
        <w:pStyle w:val="Heading1"/>
        <w:ind w:firstLine="0"/>
      </w:pPr>
      <w:r>
        <w:lastRenderedPageBreak/>
        <w:t>Methodology</w:t>
      </w:r>
    </w:p>
    <w:p w14:paraId="0285CBF9" w14:textId="77777777" w:rsidR="00B04421" w:rsidRPr="00B04421" w:rsidRDefault="00B04421" w:rsidP="00B04421">
      <w:pPr>
        <w:ind w:firstLine="0"/>
      </w:pPr>
    </w:p>
    <w:p w14:paraId="1BC10C11" w14:textId="7D9213AC" w:rsidR="00632DBD" w:rsidRDefault="00632DBD" w:rsidP="00632DBD">
      <w:pPr>
        <w:pStyle w:val="Heading2"/>
        <w:ind w:firstLine="0"/>
      </w:pPr>
      <w:r>
        <w:t>Experiment Setup</w:t>
      </w:r>
    </w:p>
    <w:p w14:paraId="2DA5D8CE" w14:textId="304A9B7E" w:rsidR="008F5DE0" w:rsidRDefault="00632DBD" w:rsidP="00632DBD">
      <w:pPr>
        <w:ind w:firstLine="0"/>
      </w:pPr>
      <w:r>
        <w:tab/>
        <w:t>This experiment takes place over all the US trading dates between 1/1/2014 and 12/31/2018.  There are a total of 1304 trading dates in that timespan.</w:t>
      </w:r>
    </w:p>
    <w:p w14:paraId="63F0B215" w14:textId="77777777" w:rsidR="008F5DE0" w:rsidRDefault="008F5DE0" w:rsidP="00632DBD">
      <w:pPr>
        <w:ind w:firstLine="0"/>
      </w:pPr>
    </w:p>
    <w:p w14:paraId="57F8A145" w14:textId="629C2C7C" w:rsidR="00632DBD" w:rsidRDefault="00632DBD" w:rsidP="008F5DE0">
      <w:pPr>
        <w:ind w:firstLine="720"/>
      </w:pPr>
      <w:r>
        <w:t xml:space="preserve">For each trading date, I re-evaluate each permutation </w:t>
      </w:r>
      <w:r w:rsidR="00983DAD">
        <w:t xml:space="preserve">(one permutation being a ‘potential’ strategy) </w:t>
      </w:r>
      <w:r>
        <w:t>of the search universe using a 100-day lookback.  I adopt the best-performing permutation for each date.  The trades belonging to that exact date I designate as our ‘in-sample’ trades, and the trades for that permutation that would occur on the following date I designate as our ‘out-</w:t>
      </w:r>
      <w:r w:rsidR="008E0B7A">
        <w:t>of-</w:t>
      </w:r>
      <w:r>
        <w:t>sample’ trades.</w:t>
      </w:r>
      <w:r w:rsidR="00A92F42">
        <w:t xml:space="preserve">  This corresponds to a fairly standard walk-forward optimization</w:t>
      </w:r>
      <w:r w:rsidR="00A92F42">
        <w:rPr>
          <w:rStyle w:val="FootnoteReference"/>
        </w:rPr>
        <w:footnoteReference w:id="1"/>
      </w:r>
      <w:r w:rsidR="00A92F42">
        <w:t>.</w:t>
      </w:r>
    </w:p>
    <w:p w14:paraId="784FBDA3" w14:textId="77777777" w:rsidR="00632DBD" w:rsidRDefault="00632DBD" w:rsidP="00632DBD">
      <w:pPr>
        <w:ind w:firstLine="0"/>
      </w:pPr>
    </w:p>
    <w:p w14:paraId="1DF7E3D8" w14:textId="1FF5744B" w:rsidR="00FF7415" w:rsidRDefault="00632DBD" w:rsidP="00632DBD">
      <w:pPr>
        <w:ind w:firstLine="0"/>
      </w:pPr>
      <w:r>
        <w:tab/>
        <w:t>I then analyze the aggregated performance of the in-sample trades and compare it against the aggregated performance against the out-</w:t>
      </w:r>
      <w:r w:rsidR="00C35B66">
        <w:t>of-</w:t>
      </w:r>
      <w:r>
        <w:t>sample trades.</w:t>
      </w:r>
      <w:r w:rsidR="00264246">
        <w:t xml:space="preserve">  </w:t>
      </w:r>
      <w:r w:rsidR="00FF7415">
        <w:t>The behavior of interest is the contrast between the in-sample and out-</w:t>
      </w:r>
      <w:r w:rsidR="00C35B66">
        <w:t>of-</w:t>
      </w:r>
      <w:r w:rsidR="00FF7415">
        <w:t xml:space="preserve">sample performance when holding the </w:t>
      </w:r>
      <w:r w:rsidR="00264246">
        <w:t>objective metric constant.</w:t>
      </w:r>
    </w:p>
    <w:p w14:paraId="06173D31" w14:textId="44934536" w:rsidR="00264246" w:rsidRDefault="00264246" w:rsidP="00632DBD">
      <w:pPr>
        <w:ind w:firstLine="0"/>
      </w:pPr>
    </w:p>
    <w:p w14:paraId="60D2FC3C" w14:textId="335972C3" w:rsidR="00264246" w:rsidRPr="00B566B7" w:rsidRDefault="00264246" w:rsidP="00632DBD">
      <w:pPr>
        <w:ind w:firstLine="0"/>
      </w:pPr>
      <w:r>
        <w:tab/>
      </w:r>
      <w:r w:rsidR="008F5DE0">
        <w:t xml:space="preserve">I conduct this experiment twice: first, with a traditional linear </w:t>
      </w:r>
      <w:r w:rsidR="00911966">
        <w:t>evaluation</w:t>
      </w:r>
      <w:r w:rsidR="00082158">
        <w:t xml:space="preserve"> – where </w:t>
      </w:r>
      <w:r w:rsidR="004D60E8">
        <w:t>I</w:t>
      </w:r>
      <w:r w:rsidR="00082158">
        <w:t xml:space="preserve"> look at the last 100 trading days </w:t>
      </w:r>
      <w:r w:rsidR="00F5149C">
        <w:t>and assess their performance to choose a strategy permutation</w:t>
      </w:r>
      <w:r w:rsidR="008044E7">
        <w:t xml:space="preserve">.  </w:t>
      </w:r>
      <w:r w:rsidR="00082158">
        <w:t xml:space="preserve">And then second, with a </w:t>
      </w:r>
      <w:r w:rsidR="00FD333D">
        <w:t>quasi</w:t>
      </w:r>
      <w:r w:rsidR="0018511F">
        <w:t>-</w:t>
      </w:r>
      <w:r w:rsidR="00A40B13">
        <w:t>M</w:t>
      </w:r>
      <w:r w:rsidR="00082158">
        <w:t>onte</w:t>
      </w:r>
      <w:r w:rsidR="00A40B13">
        <w:t xml:space="preserve"> C</w:t>
      </w:r>
      <w:r w:rsidR="00082158">
        <w:t>arlo</w:t>
      </w:r>
      <w:r w:rsidR="00FD333D">
        <w:rPr>
          <w:rStyle w:val="FootnoteReference"/>
        </w:rPr>
        <w:footnoteReference w:id="2"/>
      </w:r>
      <w:r w:rsidR="00082158">
        <w:t xml:space="preserve"> </w:t>
      </w:r>
      <w:r w:rsidR="003D7B3A">
        <w:t xml:space="preserve">generated evaluation </w:t>
      </w:r>
      <w:r w:rsidR="00082158">
        <w:t xml:space="preserve">– where </w:t>
      </w:r>
      <w:r w:rsidR="004D60E8">
        <w:t>I</w:t>
      </w:r>
      <w:r w:rsidR="00082158">
        <w:t xml:space="preserve"> assemble 50 </w:t>
      </w:r>
      <w:r w:rsidR="0018511F">
        <w:t xml:space="preserve">random </w:t>
      </w:r>
      <w:r w:rsidR="00082158">
        <w:t>sampl</w:t>
      </w:r>
      <w:r w:rsidR="0018511F">
        <w:t>ings</w:t>
      </w:r>
      <w:r w:rsidR="009F7683">
        <w:t xml:space="preserve"> of the last 100 trading days and average the performances of each sample, and then used those averaged performances to select </w:t>
      </w:r>
      <w:r w:rsidR="00F5149C">
        <w:t>a strategy permutation.</w:t>
      </w:r>
    </w:p>
    <w:p w14:paraId="710BD5E8" w14:textId="624AEA3A" w:rsidR="009C085F" w:rsidRDefault="009C085F" w:rsidP="009C085F">
      <w:pPr>
        <w:ind w:firstLine="0"/>
      </w:pPr>
    </w:p>
    <w:p w14:paraId="4D327AB0" w14:textId="5BAAE68A" w:rsidR="00974255" w:rsidRDefault="00974255" w:rsidP="002B6D71">
      <w:pPr>
        <w:pStyle w:val="Heading2"/>
        <w:ind w:firstLine="0"/>
      </w:pPr>
      <w:r>
        <w:t>Data Environment</w:t>
      </w:r>
    </w:p>
    <w:p w14:paraId="7B95BDCB" w14:textId="4DEF1774" w:rsidR="009C085F" w:rsidRDefault="005A2B30" w:rsidP="00BD27B2">
      <w:pPr>
        <w:ind w:firstLine="720"/>
      </w:pPr>
      <w:r>
        <w:t xml:space="preserve">To conduct this experiment, I </w:t>
      </w:r>
      <w:r w:rsidR="00161299">
        <w:t>selected</w:t>
      </w:r>
      <w:r w:rsidR="00E742F1">
        <w:t xml:space="preserve"> the stocks making up the SP100 index as of 4/2</w:t>
      </w:r>
      <w:r w:rsidR="00161299">
        <w:t>7</w:t>
      </w:r>
      <w:r w:rsidR="00E742F1">
        <w:t>/2019</w:t>
      </w:r>
      <w:r w:rsidR="00161299">
        <w:t>, except for: BRK.B, DOW, FOX, FOXA</w:t>
      </w:r>
      <w:r w:rsidR="00717A0F">
        <w:t xml:space="preserve">, due to difficulties obtaining </w:t>
      </w:r>
      <w:r w:rsidR="000E56BC">
        <w:t xml:space="preserve">data for </w:t>
      </w:r>
      <w:r w:rsidR="00717A0F">
        <w:t>those tickers</w:t>
      </w:r>
      <w:r w:rsidR="00161299">
        <w:t>.</w:t>
      </w:r>
      <w:r w:rsidR="00974255">
        <w:t xml:space="preserve">  I also selected the SPY ETF to act as a </w:t>
      </w:r>
      <w:r w:rsidR="00267DAD">
        <w:t xml:space="preserve">general </w:t>
      </w:r>
      <w:r w:rsidR="00974255">
        <w:t xml:space="preserve">performance benchmark.  For each of the chosen stocks, </w:t>
      </w:r>
      <w:r w:rsidR="00012DBC">
        <w:t xml:space="preserve">I </w:t>
      </w:r>
      <w:r w:rsidR="001F7E3C">
        <w:t>obtained</w:t>
      </w:r>
      <w:r w:rsidR="00012DBC">
        <w:t xml:space="preserve"> the daily adjusted-close (inclusive of dividends and splits) from </w:t>
      </w:r>
      <w:r w:rsidR="00250BC3">
        <w:t xml:space="preserve">1/1/2014 to </w:t>
      </w:r>
      <w:r w:rsidR="002177E8">
        <w:t>12/31/2018 and</w:t>
      </w:r>
      <w:r w:rsidR="001F0686">
        <w:t xml:space="preserve"> used those adjusted-closes to generate returns calculations.</w:t>
      </w:r>
    </w:p>
    <w:p w14:paraId="6863AC2F" w14:textId="52D16841" w:rsidR="00125871" w:rsidRDefault="00125871" w:rsidP="00BD27B2">
      <w:pPr>
        <w:ind w:firstLine="720"/>
      </w:pPr>
    </w:p>
    <w:p w14:paraId="46997601" w14:textId="3EDD7C9C" w:rsidR="00125871" w:rsidRDefault="008874B0" w:rsidP="00BD27B2">
      <w:pPr>
        <w:ind w:firstLine="720"/>
      </w:pPr>
      <w:r>
        <w:t xml:space="preserve">I noted </w:t>
      </w:r>
      <w:r w:rsidR="00125871">
        <w:t xml:space="preserve">that using a </w:t>
      </w:r>
      <w:r w:rsidR="0082494C">
        <w:t xml:space="preserve">2019 snapshot does not reflect the adds and removes from the SP100 index over time, so there is a degree of tracking error </w:t>
      </w:r>
      <w:r w:rsidR="00B85876">
        <w:t xml:space="preserve">when using the SPY as a benchmark.  I considered it an acceptable compromise </w:t>
      </w:r>
      <w:r>
        <w:t xml:space="preserve">given that our primary objective </w:t>
      </w:r>
      <w:r w:rsidR="000C370A">
        <w:t>is about comparing performance metrics rather than the benchmark itself.</w:t>
      </w:r>
    </w:p>
    <w:p w14:paraId="52BE9E98" w14:textId="5CFAA150" w:rsidR="00286EED" w:rsidRDefault="00286EED" w:rsidP="00974255">
      <w:pPr>
        <w:ind w:firstLine="0"/>
      </w:pPr>
    </w:p>
    <w:p w14:paraId="57786220" w14:textId="0339E78A" w:rsidR="00286EED" w:rsidRDefault="008F5DE0" w:rsidP="00267DAD">
      <w:pPr>
        <w:pStyle w:val="Heading2"/>
        <w:ind w:firstLine="0"/>
      </w:pPr>
      <w:r>
        <w:t>Search Universe, Strategy Dimensions, and Position Accounting</w:t>
      </w:r>
    </w:p>
    <w:p w14:paraId="321E3A4F" w14:textId="4CAFAE62" w:rsidR="003D0665" w:rsidRDefault="00BD27B2" w:rsidP="00BD27B2">
      <w:pPr>
        <w:ind w:firstLine="0"/>
      </w:pPr>
      <w:r>
        <w:tab/>
      </w:r>
      <w:r w:rsidR="00E25EFA">
        <w:t>For this experiment, I devised a</w:t>
      </w:r>
      <w:r w:rsidR="00960607">
        <w:t xml:space="preserve"> simpl</w:t>
      </w:r>
      <w:r w:rsidR="00767EF2">
        <w:t>e</w:t>
      </w:r>
      <w:r w:rsidR="00960607">
        <w:t xml:space="preserve"> </w:t>
      </w:r>
      <w:r w:rsidR="004951D9">
        <w:t xml:space="preserve">long-only </w:t>
      </w:r>
      <w:r w:rsidR="00960607">
        <w:t>momentum strategy</w:t>
      </w:r>
      <w:r w:rsidR="00907C2A">
        <w:t xml:space="preserve"> that uses two moving averages: the 20-day and the 200-day.</w:t>
      </w:r>
      <w:r w:rsidR="00401B02">
        <w:t xml:space="preserve">  For any given trading day, </w:t>
      </w:r>
      <w:r w:rsidR="004951D9">
        <w:t xml:space="preserve">this strategy calculates </w:t>
      </w:r>
      <w:r w:rsidR="003D0665">
        <w:t xml:space="preserve">the following </w:t>
      </w:r>
      <w:r w:rsidR="00331413">
        <w:t>value</w:t>
      </w:r>
      <w:r w:rsidR="003D0665">
        <w:t xml:space="preserve"> for both averages</w:t>
      </w:r>
      <w:r w:rsidR="00331413">
        <w:t>:</w:t>
      </w:r>
    </w:p>
    <w:p w14:paraId="0AC1BC99" w14:textId="77777777" w:rsidR="003D0665" w:rsidRDefault="003D0665" w:rsidP="00BD27B2">
      <w:pPr>
        <w:ind w:firstLine="0"/>
      </w:pPr>
    </w:p>
    <w:p w14:paraId="6B84CE8A" w14:textId="1CEBF31E" w:rsidR="00267DAD" w:rsidRPr="003D0665" w:rsidRDefault="003D0665" w:rsidP="003D0665">
      <w:pPr>
        <w:ind w:firstLine="720"/>
        <w:rPr>
          <w:i/>
        </w:rPr>
      </w:pPr>
      <w:r w:rsidRPr="003D0665">
        <w:rPr>
          <w:i/>
        </w:rPr>
        <w:t>T</w:t>
      </w:r>
      <w:r w:rsidR="004951D9" w:rsidRPr="003D0665">
        <w:rPr>
          <w:i/>
        </w:rPr>
        <w:t>he closing price</w:t>
      </w:r>
      <w:r w:rsidR="00A26872" w:rsidRPr="003D0665">
        <w:rPr>
          <w:i/>
        </w:rPr>
        <w:t xml:space="preserve">’s distance from the n-day mean, </w:t>
      </w:r>
      <w:r w:rsidR="0092054D">
        <w:rPr>
          <w:i/>
        </w:rPr>
        <w:t xml:space="preserve">normalized </w:t>
      </w:r>
      <w:r w:rsidR="00A26872" w:rsidRPr="003D0665">
        <w:rPr>
          <w:i/>
        </w:rPr>
        <w:t>in terms of the n-day standard deviation.</w:t>
      </w:r>
    </w:p>
    <w:p w14:paraId="7E429EB1" w14:textId="0255591B" w:rsidR="00767EF2" w:rsidRDefault="00767EF2" w:rsidP="00BD27B2">
      <w:pPr>
        <w:ind w:firstLine="0"/>
      </w:pPr>
    </w:p>
    <w:p w14:paraId="25669846" w14:textId="77777777" w:rsidR="007D654F" w:rsidRDefault="003D0665" w:rsidP="00BD27B2">
      <w:pPr>
        <w:ind w:firstLine="0"/>
      </w:pPr>
      <w:r>
        <w:lastRenderedPageBreak/>
        <w:tab/>
      </w:r>
      <w:r w:rsidR="00B92A44">
        <w:t>These values are generally bounded at -2.5 to +2.5 standard deviations.</w:t>
      </w:r>
      <w:r w:rsidR="002433D1">
        <w:t xml:space="preserve">  From here, I build a search universe</w:t>
      </w:r>
      <w:r w:rsidR="002864FB">
        <w:t xml:space="preserve"> where every permutation in the search universe </w:t>
      </w:r>
      <w:r w:rsidR="00235716">
        <w:t>exercises one possible filter.</w:t>
      </w:r>
    </w:p>
    <w:p w14:paraId="69084C5D" w14:textId="77777777" w:rsidR="007D654F" w:rsidRDefault="007D654F" w:rsidP="00BD27B2">
      <w:pPr>
        <w:ind w:firstLine="0"/>
      </w:pPr>
    </w:p>
    <w:p w14:paraId="0D8A8A39" w14:textId="77777777" w:rsidR="007D654F" w:rsidRDefault="007D654F" w:rsidP="007D654F">
      <w:pPr>
        <w:ind w:firstLine="0"/>
      </w:pPr>
      <w:r>
        <w:tab/>
        <w:t>In the search universe, I test every increment of 0.5 standard deviations from -2.5 to 2.5 for both the 20-day and 200-day averages, and I also test both permutations of the relationships themselves (greater than as a signal, and less than as a signal.)  This generates a search universe of 400 possible total permutations.</w:t>
      </w:r>
    </w:p>
    <w:p w14:paraId="16E55F36" w14:textId="77777777" w:rsidR="007D654F" w:rsidRDefault="007D654F" w:rsidP="007D654F">
      <w:pPr>
        <w:ind w:firstLine="0"/>
      </w:pPr>
    </w:p>
    <w:p w14:paraId="16D6ECC1" w14:textId="3B80CE15" w:rsidR="00235716" w:rsidRDefault="00235716" w:rsidP="0002518E">
      <w:pPr>
        <w:ind w:firstLine="720"/>
      </w:pPr>
      <w:r>
        <w:t>For example, one combination might be:</w:t>
      </w:r>
    </w:p>
    <w:p w14:paraId="2E4C5B54" w14:textId="77777777" w:rsidR="009E64A1" w:rsidRDefault="00235716" w:rsidP="009E64A1">
      <w:pPr>
        <w:ind w:firstLine="720"/>
        <w:rPr>
          <w:i/>
        </w:rPr>
      </w:pPr>
      <w:r w:rsidRPr="00A22046">
        <w:rPr>
          <w:i/>
        </w:rPr>
        <w:t>Enter long if</w:t>
      </w:r>
      <w:r w:rsidR="00A22046" w:rsidRPr="00A22046">
        <w:rPr>
          <w:i/>
        </w:rPr>
        <w:t>:</w:t>
      </w:r>
      <w:r w:rsidR="009E64A1">
        <w:rPr>
          <w:i/>
        </w:rPr>
        <w:t xml:space="preserve"> </w:t>
      </w:r>
      <w:r w:rsidR="00A22046" w:rsidRPr="00A22046">
        <w:rPr>
          <w:i/>
        </w:rPr>
        <w:t>(</w:t>
      </w:r>
      <w:r w:rsidRPr="00A22046">
        <w:rPr>
          <w:i/>
        </w:rPr>
        <w:t xml:space="preserve">20-day </w:t>
      </w:r>
      <w:r w:rsidR="00A22046" w:rsidRPr="00A22046">
        <w:rPr>
          <w:i/>
        </w:rPr>
        <w:t>distance &gt; 2.0 20-day standard deviations)</w:t>
      </w:r>
    </w:p>
    <w:p w14:paraId="54A10F7E" w14:textId="3C053198" w:rsidR="00235716" w:rsidRPr="009E64A1" w:rsidRDefault="00A22046" w:rsidP="009E64A1">
      <w:pPr>
        <w:ind w:left="720" w:firstLine="720"/>
        <w:rPr>
          <w:i/>
        </w:rPr>
      </w:pPr>
      <w:r w:rsidRPr="00A22046">
        <w:rPr>
          <w:i/>
        </w:rPr>
        <w:t>and (200-day distance &lt; -1.5 200-day standard deviations)</w:t>
      </w:r>
    </w:p>
    <w:p w14:paraId="2DA29131" w14:textId="50A8BEDF" w:rsidR="004D32F8" w:rsidRDefault="004D32F8" w:rsidP="004D32F8"/>
    <w:p w14:paraId="74AF4215" w14:textId="46F28C14" w:rsidR="004D32F8" w:rsidRDefault="004D32F8" w:rsidP="004D32F8">
      <w:pPr>
        <w:ind w:firstLine="0"/>
      </w:pPr>
      <w:r>
        <w:tab/>
        <w:t xml:space="preserve">For any given day, this filter generates a subset of stocks </w:t>
      </w:r>
      <w:r w:rsidR="00C52428">
        <w:t xml:space="preserve">in the universe that I can take a long position in.  I allocate </w:t>
      </w:r>
      <w:r w:rsidR="003E318D">
        <w:t>to each stock equally such that the overall return is a simple average</w:t>
      </w:r>
      <w:r w:rsidR="00CA6112">
        <w:t xml:space="preserve"> of the component stocks’ returns.  (i.e. if there are five stocks</w:t>
      </w:r>
      <w:r w:rsidR="0085462F">
        <w:t xml:space="preserve"> remaining after filtering</w:t>
      </w:r>
      <w:r w:rsidR="00CA6112">
        <w:t>, then the portfolio will be exactly 20% exposed to each stock.)</w:t>
      </w:r>
    </w:p>
    <w:p w14:paraId="61F4B33B" w14:textId="038CC1B8" w:rsidR="00464611" w:rsidRDefault="00464611" w:rsidP="004D32F8">
      <w:pPr>
        <w:ind w:firstLine="0"/>
      </w:pPr>
    </w:p>
    <w:p w14:paraId="719AF7C1" w14:textId="77777777" w:rsidR="00754ECF" w:rsidRDefault="00464611" w:rsidP="004D32F8">
      <w:pPr>
        <w:ind w:firstLine="0"/>
      </w:pPr>
      <w:r>
        <w:tab/>
        <w:t>Positions ar</w:t>
      </w:r>
      <w:r w:rsidR="00D67CF5">
        <w:t xml:space="preserve">e </w:t>
      </w:r>
      <w:r w:rsidR="00635664">
        <w:t>rebalanced daily</w:t>
      </w:r>
      <w:r w:rsidR="008A0FE2">
        <w:t>; returns are calculated as close-to-close and assumed to happen without commissions.</w:t>
      </w:r>
    </w:p>
    <w:p w14:paraId="14FE3036" w14:textId="77777777" w:rsidR="00754ECF" w:rsidRDefault="00754ECF" w:rsidP="004D32F8">
      <w:pPr>
        <w:ind w:firstLine="0"/>
      </w:pPr>
    </w:p>
    <w:p w14:paraId="49F056CE" w14:textId="7F591E63" w:rsidR="00464611" w:rsidRPr="004D32F8" w:rsidRDefault="00BD1270" w:rsidP="00754ECF">
      <w:pPr>
        <w:ind w:firstLine="720"/>
      </w:pPr>
      <w:r>
        <w:t>T</w:t>
      </w:r>
      <w:r w:rsidR="00DD5E58">
        <w:t xml:space="preserve">hese conditions </w:t>
      </w:r>
      <w:r>
        <w:t>are somewhat unr</w:t>
      </w:r>
      <w:r w:rsidR="00DD5E58">
        <w:t>ealistic in reality</w:t>
      </w:r>
      <w:r w:rsidR="005966CA">
        <w:t>.  In practice, by the time a computer system will have calculated the new position structure, the market will have already closed, making it impossible to obtain the prior closing price</w:t>
      </w:r>
      <w:r w:rsidR="000673A4">
        <w:t xml:space="preserve"> to initiate the new positions.  It is also highly unlikely that a strategist is able to trade for free</w:t>
      </w:r>
      <w:r w:rsidR="00FB203B">
        <w:t xml:space="preserve"> or able to perfectly allocate evenly between stocks</w:t>
      </w:r>
      <w:r w:rsidR="000673A4">
        <w:t xml:space="preserve">.  However, </w:t>
      </w:r>
      <w:r w:rsidR="00DD5E58">
        <w:t xml:space="preserve">since </w:t>
      </w:r>
      <w:r w:rsidR="00C201F9">
        <w:t>I</w:t>
      </w:r>
      <w:r w:rsidR="00DD5E58">
        <w:t xml:space="preserve"> </w:t>
      </w:r>
      <w:r w:rsidR="000673A4">
        <w:t>am</w:t>
      </w:r>
      <w:r w:rsidR="00DD5E58">
        <w:t xml:space="preserve"> only attempting to measure relative performance bet</w:t>
      </w:r>
      <w:r w:rsidR="00061A55">
        <w:t>we</w:t>
      </w:r>
      <w:r w:rsidR="00DD5E58">
        <w:t xml:space="preserve">en several objective metrics for the same strategy, I did not consider </w:t>
      </w:r>
      <w:r>
        <w:t>these</w:t>
      </w:r>
      <w:r w:rsidR="00DD5E58">
        <w:t xml:space="preserve"> </w:t>
      </w:r>
      <w:r w:rsidR="00864A49">
        <w:t>to be critical issue</w:t>
      </w:r>
      <w:r>
        <w:t>s</w:t>
      </w:r>
      <w:r w:rsidR="00864A49">
        <w:t>.</w:t>
      </w:r>
    </w:p>
    <w:p w14:paraId="155BEFF0" w14:textId="062C1F87" w:rsidR="00D701B9" w:rsidRDefault="00D701B9" w:rsidP="00BD27B2">
      <w:pPr>
        <w:ind w:firstLine="0"/>
      </w:pPr>
    </w:p>
    <w:p w14:paraId="55BC7F9F" w14:textId="77777777" w:rsidR="00DC535A" w:rsidRDefault="00DC535A" w:rsidP="00DC535A">
      <w:pPr>
        <w:pStyle w:val="Heading2"/>
        <w:ind w:firstLine="0"/>
      </w:pPr>
      <w:r>
        <w:t>Objective Metrics</w:t>
      </w:r>
    </w:p>
    <w:p w14:paraId="3B78D519" w14:textId="77777777" w:rsidR="00DC535A" w:rsidRDefault="00DC535A" w:rsidP="00DC535A">
      <w:pPr>
        <w:ind w:firstLine="0"/>
      </w:pPr>
      <w:r>
        <w:tab/>
        <w:t xml:space="preserve">I test four different objective metrics in this experiment, Sharpe Ratio, </w:t>
      </w:r>
      <w:proofErr w:type="spellStart"/>
      <w:r>
        <w:t>Sortino</w:t>
      </w:r>
      <w:proofErr w:type="spellEnd"/>
      <w:r>
        <w:t xml:space="preserve"> Ratio, MAR (Drawdown) Ratio, and Information Ratio.</w:t>
      </w:r>
    </w:p>
    <w:p w14:paraId="2593EDDC" w14:textId="77777777" w:rsidR="00DC535A" w:rsidRDefault="00DC535A" w:rsidP="00DC535A">
      <w:pPr>
        <w:ind w:firstLine="0"/>
      </w:pPr>
    </w:p>
    <w:p w14:paraId="3718D93B" w14:textId="77777777" w:rsidR="00DC535A" w:rsidRDefault="00DC535A" w:rsidP="00DC535A">
      <w:pPr>
        <w:ind w:firstLine="0"/>
      </w:pPr>
      <w:r>
        <w:t>The ratios are defined as follows:</w:t>
      </w:r>
    </w:p>
    <w:p w14:paraId="4F526AC6" w14:textId="77777777" w:rsidR="00DC535A" w:rsidRDefault="00DC535A" w:rsidP="00DC535A">
      <w:pPr>
        <w:ind w:firstLine="0"/>
      </w:pPr>
    </w:p>
    <w:p w14:paraId="27D70C91" w14:textId="77777777" w:rsidR="00DC535A" w:rsidRDefault="00DC535A" w:rsidP="00DC535A">
      <w:pPr>
        <w:ind w:firstLine="0"/>
      </w:pPr>
      <w:r>
        <w:tab/>
      </w:r>
      <w:r w:rsidRPr="003202CC">
        <w:rPr>
          <w:u w:val="single"/>
        </w:rPr>
        <w:t>Sharpe Ratio</w:t>
      </w:r>
      <w:r>
        <w:t>: annualized arithmetic return</w:t>
      </w:r>
    </w:p>
    <w:p w14:paraId="0009D9F7" w14:textId="77777777" w:rsidR="00DC535A" w:rsidRDefault="00DC535A" w:rsidP="00DC535A">
      <w:pPr>
        <w:ind w:left="720" w:firstLine="720"/>
      </w:pPr>
      <w:r>
        <w:t>/ annualized standard deviation of return</w:t>
      </w:r>
    </w:p>
    <w:p w14:paraId="14FB908E" w14:textId="77777777" w:rsidR="00DC535A" w:rsidRDefault="00DC535A" w:rsidP="00DC535A">
      <w:pPr>
        <w:ind w:firstLine="0"/>
      </w:pPr>
    </w:p>
    <w:p w14:paraId="11E5576E" w14:textId="77777777" w:rsidR="00DC535A" w:rsidRDefault="00DC535A" w:rsidP="00DC535A">
      <w:pPr>
        <w:ind w:firstLine="0"/>
      </w:pPr>
      <w:r>
        <w:tab/>
      </w:r>
      <w:proofErr w:type="spellStart"/>
      <w:r w:rsidRPr="003202CC">
        <w:rPr>
          <w:u w:val="single"/>
        </w:rPr>
        <w:t>Sortino</w:t>
      </w:r>
      <w:proofErr w:type="spellEnd"/>
      <w:r w:rsidRPr="003202CC">
        <w:rPr>
          <w:u w:val="single"/>
        </w:rPr>
        <w:t xml:space="preserve"> Ratio</w:t>
      </w:r>
      <w:r>
        <w:t>: annualized arithmetic return</w:t>
      </w:r>
    </w:p>
    <w:p w14:paraId="2657CECE" w14:textId="77777777" w:rsidR="00DC535A" w:rsidRDefault="00DC535A" w:rsidP="00DC535A">
      <w:pPr>
        <w:ind w:left="720" w:firstLine="720"/>
      </w:pPr>
      <w:r>
        <w:t>/ annualized semi-standard deviation of return,</w:t>
      </w:r>
    </w:p>
    <w:p w14:paraId="11A56CD4" w14:textId="77777777" w:rsidR="00DC535A" w:rsidRDefault="00DC535A" w:rsidP="00DC535A">
      <w:pPr>
        <w:ind w:firstLine="0"/>
      </w:pPr>
      <w:r>
        <w:tab/>
      </w:r>
      <w:r>
        <w:tab/>
        <w:t>Where all returns &gt; 0 are replaced by 0 when calculating the semi-standard deviation</w:t>
      </w:r>
    </w:p>
    <w:p w14:paraId="124CC6ED" w14:textId="77777777" w:rsidR="00DC535A" w:rsidRDefault="00DC535A" w:rsidP="00DC535A">
      <w:pPr>
        <w:ind w:firstLine="0"/>
      </w:pPr>
    </w:p>
    <w:p w14:paraId="267837A2" w14:textId="77777777" w:rsidR="00DC535A" w:rsidRDefault="00DC535A" w:rsidP="00DC535A">
      <w:pPr>
        <w:ind w:firstLine="0"/>
      </w:pPr>
      <w:r>
        <w:tab/>
      </w:r>
      <w:r w:rsidRPr="003202CC">
        <w:rPr>
          <w:u w:val="single"/>
        </w:rPr>
        <w:t>MAR Ratio</w:t>
      </w:r>
      <w:r>
        <w:t>: annualized arithmetic return</w:t>
      </w:r>
    </w:p>
    <w:p w14:paraId="6CFB0AE7" w14:textId="77777777" w:rsidR="00DC535A" w:rsidRDefault="00DC535A" w:rsidP="00DC535A">
      <w:pPr>
        <w:ind w:left="720" w:firstLine="720"/>
      </w:pPr>
      <w:r>
        <w:t>/ greatest observed peak-to-trough drawdown</w:t>
      </w:r>
    </w:p>
    <w:p w14:paraId="75DE43F0" w14:textId="77777777" w:rsidR="00DC535A" w:rsidRDefault="00DC535A" w:rsidP="00DC535A">
      <w:pPr>
        <w:ind w:firstLine="0"/>
      </w:pPr>
    </w:p>
    <w:p w14:paraId="6AE1507C" w14:textId="77777777" w:rsidR="00DC535A" w:rsidRDefault="00DC535A" w:rsidP="00DC535A">
      <w:pPr>
        <w:ind w:firstLine="0"/>
      </w:pPr>
      <w:r>
        <w:tab/>
      </w:r>
      <w:r w:rsidRPr="003202CC">
        <w:rPr>
          <w:u w:val="single"/>
        </w:rPr>
        <w:t>Info Ratio</w:t>
      </w:r>
      <w:r>
        <w:t>: annualized daily performance differences vs SPY benchmark</w:t>
      </w:r>
    </w:p>
    <w:p w14:paraId="60D9A074" w14:textId="77777777" w:rsidR="00DC535A" w:rsidRDefault="00DC535A" w:rsidP="00DC535A">
      <w:pPr>
        <w:ind w:left="720" w:firstLine="720"/>
      </w:pPr>
      <w:r>
        <w:t>/ standard deviation of daily performance differences vs SPY benchmark</w:t>
      </w:r>
    </w:p>
    <w:p w14:paraId="17ED6247" w14:textId="77777777" w:rsidR="00DC535A" w:rsidRDefault="00DC535A" w:rsidP="00DC535A">
      <w:pPr>
        <w:ind w:firstLine="0"/>
      </w:pPr>
    </w:p>
    <w:p w14:paraId="6BC4E593" w14:textId="625CE275" w:rsidR="00B566B7" w:rsidRDefault="00DC535A" w:rsidP="00632DBD">
      <w:pPr>
        <w:ind w:firstLine="720"/>
      </w:pPr>
      <w:r>
        <w:lastRenderedPageBreak/>
        <w:t>I assume a risk-free rate of 0 for all ratios, as the performance versus the benchmark itself is not central to the results of this experiment.</w:t>
      </w:r>
    </w:p>
    <w:p w14:paraId="47A7C0B5" w14:textId="49FE874D" w:rsidR="007742A1" w:rsidRDefault="00856551" w:rsidP="007742A1">
      <w:pPr>
        <w:pStyle w:val="Heading1"/>
        <w:ind w:firstLine="0"/>
      </w:pPr>
      <w:r>
        <w:t>Observations and Findings</w:t>
      </w:r>
    </w:p>
    <w:p w14:paraId="7B7A2B54" w14:textId="18DD2636" w:rsidR="00916CDA" w:rsidRDefault="00916CDA" w:rsidP="00916CDA">
      <w:pPr>
        <w:ind w:firstLine="0"/>
      </w:pPr>
    </w:p>
    <w:p w14:paraId="770FA048" w14:textId="7007E855" w:rsidR="00AA15B8" w:rsidRDefault="00F03C09" w:rsidP="00F03C09">
      <w:pPr>
        <w:ind w:firstLine="720"/>
      </w:pPr>
      <w:r>
        <w:t>The most obvious finding</w:t>
      </w:r>
      <w:r w:rsidR="00C242BA">
        <w:t xml:space="preserve"> </w:t>
      </w:r>
      <w:r w:rsidR="005F1FB6">
        <w:t>is that this moving average strategy is not a very good one.</w:t>
      </w:r>
      <w:r w:rsidR="00D61D4A">
        <w:t xml:space="preserve">  Under both experimental paradigms (traditional and </w:t>
      </w:r>
      <w:r w:rsidR="00CF2BEF">
        <w:t>M</w:t>
      </w:r>
      <w:r w:rsidR="00D61D4A">
        <w:t xml:space="preserve">onte </w:t>
      </w:r>
      <w:r w:rsidR="00CF2BEF">
        <w:t>C</w:t>
      </w:r>
      <w:r w:rsidR="00D61D4A">
        <w:t xml:space="preserve">arlo), the out-of-sample performance </w:t>
      </w:r>
      <w:r w:rsidR="001E0F29">
        <w:t xml:space="preserve">is mostly negative </w:t>
      </w:r>
      <w:r w:rsidR="00D61D4A">
        <w:t>regardless of objective metric</w:t>
      </w:r>
      <w:r w:rsidR="001E0F29">
        <w:t xml:space="preserve"> used.</w:t>
      </w:r>
      <w:r w:rsidR="00AA15B8">
        <w:t xml:space="preserve">  (See appendix </w:t>
      </w:r>
      <w:r w:rsidR="00E041F9">
        <w:t>2</w:t>
      </w:r>
      <w:r w:rsidR="005D3A62">
        <w:t xml:space="preserve"> and </w:t>
      </w:r>
      <w:r w:rsidR="00E041F9">
        <w:t>3</w:t>
      </w:r>
      <w:r w:rsidR="00AA15B8">
        <w:t>.)</w:t>
      </w:r>
    </w:p>
    <w:p w14:paraId="63FA6C66" w14:textId="53FFB36C" w:rsidR="00AA15B8" w:rsidRDefault="00AA15B8" w:rsidP="0009106E">
      <w:pPr>
        <w:ind w:firstLine="0"/>
      </w:pPr>
    </w:p>
    <w:p w14:paraId="68B08C15" w14:textId="1D721410" w:rsidR="00F53D26" w:rsidRDefault="007A0F65" w:rsidP="0009106E">
      <w:pPr>
        <w:ind w:firstLine="0"/>
      </w:pPr>
      <w:r>
        <w:tab/>
      </w:r>
      <w:r w:rsidR="00F32484">
        <w:t>Of more interest</w:t>
      </w:r>
      <w:r w:rsidR="001C677D">
        <w:t>, however, are</w:t>
      </w:r>
      <w:r w:rsidR="00F32484">
        <w:t xml:space="preserve"> Tables 1 and 2, which </w:t>
      </w:r>
      <w:r w:rsidR="004F0FF3">
        <w:t>show us the performance difference</w:t>
      </w:r>
      <w:r w:rsidR="00C343B9">
        <w:t>s between out-of-sample and in-sample in both absolute (table 1) and relative (table 2) terms.</w:t>
      </w:r>
      <w:r w:rsidR="00D06F7F">
        <w:t xml:space="preserve">  Here, </w:t>
      </w:r>
      <w:r w:rsidR="004D60E8">
        <w:t>I</w:t>
      </w:r>
      <w:r w:rsidR="00D06F7F">
        <w:t xml:space="preserve"> see that</w:t>
      </w:r>
      <w:r w:rsidR="0008360D">
        <w:t xml:space="preserve"> as objective metrics,</w:t>
      </w:r>
      <w:r w:rsidR="00D06F7F">
        <w:t xml:space="preserve"> </w:t>
      </w:r>
      <w:r w:rsidR="00DF1740">
        <w:t>both Sharpe and Information Ratio suffer from the largest percentage drop-offs on all metrics except for Information Ratio</w:t>
      </w:r>
      <w:r w:rsidR="00E4457F">
        <w:t>, denoted in the column ‘Avg Loss (</w:t>
      </w:r>
      <w:proofErr w:type="spellStart"/>
      <w:r w:rsidR="00E4457F">
        <w:t>exInfo</w:t>
      </w:r>
      <w:proofErr w:type="spellEnd"/>
      <w:r w:rsidR="00E4457F">
        <w:t>)’</w:t>
      </w:r>
      <w:r w:rsidR="004B31EB">
        <w:t xml:space="preserve">.  This is </w:t>
      </w:r>
      <w:r w:rsidR="006967ED">
        <w:t>uniform for both the traditional test and the Monte Carlo test.</w:t>
      </w:r>
    </w:p>
    <w:p w14:paraId="35E7F412" w14:textId="1E8B290A" w:rsidR="006967ED" w:rsidRDefault="006967ED" w:rsidP="0009106E">
      <w:pPr>
        <w:ind w:firstLine="0"/>
      </w:pPr>
    </w:p>
    <w:p w14:paraId="5BB21795" w14:textId="56E6E770" w:rsidR="006967ED" w:rsidRDefault="006967ED" w:rsidP="0009106E">
      <w:pPr>
        <w:ind w:firstLine="0"/>
      </w:pPr>
      <w:r>
        <w:tab/>
      </w:r>
      <w:r w:rsidR="004B31EB">
        <w:t xml:space="preserve">The MAR </w:t>
      </w:r>
      <w:r w:rsidR="00ED6B8E">
        <w:t>R</w:t>
      </w:r>
      <w:r w:rsidR="004B31EB">
        <w:t>atio, by contrast, seems to lose the least</w:t>
      </w:r>
      <w:r w:rsidR="00723BFA">
        <w:t xml:space="preserve"> – suffering a </w:t>
      </w:r>
      <w:r w:rsidR="008E5B7E">
        <w:t>~</w:t>
      </w:r>
      <w:r w:rsidR="00C61C6A">
        <w:t>15</w:t>
      </w:r>
      <w:r w:rsidR="00723BFA">
        <w:t xml:space="preserve">% smaller performance hit in the traditional method </w:t>
      </w:r>
      <w:r w:rsidR="008E5B7E">
        <w:t>and ~</w:t>
      </w:r>
      <w:r w:rsidR="000B253F">
        <w:t>53</w:t>
      </w:r>
      <w:r w:rsidR="00ED6B8E">
        <w:t>% smaller performance hit in the Monte Carlo method, as compared to the Information Ratio.</w:t>
      </w:r>
      <w:r w:rsidR="00C94960">
        <w:t xml:space="preserve">  The </w:t>
      </w:r>
      <w:proofErr w:type="spellStart"/>
      <w:r w:rsidR="00C94960">
        <w:t>Sortino</w:t>
      </w:r>
      <w:proofErr w:type="spellEnd"/>
      <w:r w:rsidR="00C94960">
        <w:t xml:space="preserve"> ratio has similar (though slightly worse) performance.</w:t>
      </w:r>
    </w:p>
    <w:p w14:paraId="5721B2CD" w14:textId="42D55736" w:rsidR="00C94960" w:rsidRDefault="00C94960" w:rsidP="0009106E">
      <w:pPr>
        <w:ind w:firstLine="0"/>
      </w:pPr>
    </w:p>
    <w:p w14:paraId="0CC44355" w14:textId="77777777" w:rsidR="00A47348" w:rsidRDefault="00C94960" w:rsidP="0009106E">
      <w:pPr>
        <w:ind w:firstLine="0"/>
      </w:pPr>
      <w:r>
        <w:tab/>
      </w:r>
      <w:r w:rsidR="00754799">
        <w:t>As an interesting aside</w:t>
      </w:r>
      <w:r>
        <w:t xml:space="preserve">, </w:t>
      </w:r>
      <w:r w:rsidR="006035C5">
        <w:t xml:space="preserve">the absolute drop-offs for all objective metrics </w:t>
      </w:r>
      <w:r w:rsidR="00754799">
        <w:t>are much smaller when using the Monte Carlo method.</w:t>
      </w:r>
      <w:r w:rsidR="003C5356">
        <w:t xml:space="preserve">  This would imply that </w:t>
      </w:r>
      <w:r w:rsidR="00BA3586">
        <w:t xml:space="preserve">the Monte Carlo approach that I’ve </w:t>
      </w:r>
      <w:r w:rsidR="00FE2D42">
        <w:t xml:space="preserve">employed </w:t>
      </w:r>
      <w:r w:rsidR="00502776">
        <w:t xml:space="preserve">is much more trustworthy </w:t>
      </w:r>
      <w:r w:rsidR="00784EE0">
        <w:t>than</w:t>
      </w:r>
      <w:r w:rsidR="00FE2D42">
        <w:t xml:space="preserve"> traditional walk-forward</w:t>
      </w:r>
      <w:r w:rsidR="00A62267">
        <w:t xml:space="preserve"> simulation</w:t>
      </w:r>
      <w:r w:rsidR="00784EE0">
        <w:t>, on a forward-looking basis</w:t>
      </w:r>
      <w:r w:rsidR="00E1117E">
        <w:t>.</w:t>
      </w:r>
    </w:p>
    <w:p w14:paraId="23FD6EEC" w14:textId="17C10AF7" w:rsidR="00A47348" w:rsidRDefault="00A47348" w:rsidP="0009106E">
      <w:pPr>
        <w:ind w:firstLine="0"/>
      </w:pPr>
    </w:p>
    <w:p w14:paraId="63CE5216" w14:textId="5E8C531F" w:rsidR="00A47348" w:rsidRDefault="00A47348" w:rsidP="0009106E">
      <w:pPr>
        <w:ind w:firstLine="0"/>
      </w:pPr>
      <w:r>
        <w:tab/>
        <w:t xml:space="preserve">Appendix 4 shows </w:t>
      </w:r>
      <w:r w:rsidR="002B7000">
        <w:t>this visually.  In</w:t>
      </w:r>
      <w:r w:rsidR="001C710E">
        <w:t xml:space="preserve"> traditional walk-forward, </w:t>
      </w:r>
      <w:r>
        <w:t>our in-sample performance</w:t>
      </w:r>
      <w:r w:rsidR="001C710E">
        <w:t xml:space="preserve"> massively outperforms the SPY benchmark (in gray), </w:t>
      </w:r>
      <w:r w:rsidR="004040D1">
        <w:t>but of our corresponding out-of-sample performances (in pastels), only MAR manages to roughly even match the benchmark.  The rest come in below.</w:t>
      </w:r>
    </w:p>
    <w:p w14:paraId="7081EC0E" w14:textId="4349CF85" w:rsidR="004040D1" w:rsidRDefault="004040D1" w:rsidP="0009106E">
      <w:pPr>
        <w:ind w:firstLine="0"/>
      </w:pPr>
    </w:p>
    <w:p w14:paraId="01AAF3AB" w14:textId="71D063D8" w:rsidR="004040D1" w:rsidRDefault="004040D1" w:rsidP="0009106E">
      <w:pPr>
        <w:ind w:firstLine="0"/>
      </w:pPr>
      <w:r>
        <w:tab/>
        <w:t>Appendix 5</w:t>
      </w:r>
      <w:r w:rsidR="007A3797">
        <w:t xml:space="preserve"> shows that </w:t>
      </w:r>
      <w:r>
        <w:t xml:space="preserve">by contrast, </w:t>
      </w:r>
      <w:r w:rsidR="007A3797">
        <w:t xml:space="preserve">using the Monte Carlo method </w:t>
      </w:r>
      <w:r w:rsidR="004D60E8">
        <w:t>I</w:t>
      </w:r>
      <w:r w:rsidR="007A3797">
        <w:t xml:space="preserve"> have a much more similar performance between in-sample and out-of-sample</w:t>
      </w:r>
      <w:r w:rsidR="00476228">
        <w:t xml:space="preserve"> methods</w:t>
      </w:r>
      <w:r w:rsidR="00C4633F">
        <w:t>, to the extent that it is unclear which are in-sample and which are out-of-sample without first looking at the key.</w:t>
      </w:r>
    </w:p>
    <w:p w14:paraId="0C64F2BE" w14:textId="77777777" w:rsidR="00A47348" w:rsidRDefault="00A47348" w:rsidP="0009106E">
      <w:pPr>
        <w:ind w:firstLine="0"/>
      </w:pPr>
    </w:p>
    <w:p w14:paraId="3E44C052" w14:textId="09CBB10E" w:rsidR="001C2A6C" w:rsidRDefault="00E1117E" w:rsidP="00876CDF">
      <w:pPr>
        <w:ind w:firstLine="720"/>
      </w:pPr>
      <w:r>
        <w:t>The exemp</w:t>
      </w:r>
      <w:r w:rsidR="00502776">
        <w:t>lary in-sample performance numbers from the traditional walk-forward simulation are very misleading</w:t>
      </w:r>
      <w:r w:rsidR="00784EE0">
        <w:t>, considering how similar the out-of-sample performance numbers are for both methods.</w:t>
      </w:r>
    </w:p>
    <w:p w14:paraId="0D9D1DE2" w14:textId="77777777" w:rsidR="003E1675" w:rsidRDefault="003E1675" w:rsidP="0009106E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75"/>
        <w:gridCol w:w="1468"/>
        <w:gridCol w:w="854"/>
        <w:gridCol w:w="884"/>
        <w:gridCol w:w="740"/>
        <w:gridCol w:w="1062"/>
        <w:gridCol w:w="1758"/>
        <w:gridCol w:w="995"/>
      </w:tblGrid>
      <w:tr w:rsidR="00E70FC0" w:rsidRPr="000C2AB8" w14:paraId="3DC63CDA" w14:textId="77777777" w:rsidTr="00E70FC0">
        <w:trPr>
          <w:cantSplit/>
          <w:trHeight w:val="292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BDFD2" w14:textId="2F9EB043" w:rsidR="00E70FC0" w:rsidRPr="000C2AB8" w:rsidRDefault="00E70FC0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675">
              <w:rPr>
                <w:b/>
              </w:rPr>
              <w:t xml:space="preserve">Table 1: Performance Difference </w:t>
            </w:r>
            <w:r>
              <w:rPr>
                <w:b/>
              </w:rPr>
              <w:t>of</w:t>
            </w:r>
            <w:r w:rsidRPr="003E1675">
              <w:rPr>
                <w:b/>
              </w:rPr>
              <w:t xml:space="preserve"> Out-of-Sample </w:t>
            </w:r>
            <w:r>
              <w:rPr>
                <w:b/>
              </w:rPr>
              <w:t>vs. I</w:t>
            </w:r>
            <w:r w:rsidRPr="003E1675">
              <w:rPr>
                <w:b/>
              </w:rPr>
              <w:t>n-Sample, Absolute Differences</w:t>
            </w:r>
          </w:p>
        </w:tc>
      </w:tr>
      <w:tr w:rsidR="000C2AB8" w:rsidRPr="000C2AB8" w14:paraId="2E7B75D3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13C9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Perf - Absolute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B59A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Walk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589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7247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Sortino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88A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1932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InfoRatio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5C72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Avg Loss (</w:t>
            </w:r>
            <w:proofErr w:type="spellStart"/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exInfo</w:t>
            </w:r>
            <w:proofErr w:type="spellEnd"/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4D9D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AB8">
              <w:rPr>
                <w:rFonts w:ascii="Calibri" w:eastAsia="Times New Roman" w:hAnsi="Calibri" w:cs="Calibri"/>
                <w:b/>
                <w:bCs/>
                <w:color w:val="000000"/>
              </w:rPr>
              <w:t>Avg Loss</w:t>
            </w:r>
          </w:p>
        </w:tc>
      </w:tr>
      <w:tr w:rsidR="000C2AB8" w:rsidRPr="000C2AB8" w14:paraId="7E5B9312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E7CF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C6F8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D89B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9B37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(4.31)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3105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74D0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544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5C31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(2.94)</w:t>
            </w:r>
          </w:p>
        </w:tc>
      </w:tr>
      <w:tr w:rsidR="000C2AB8" w:rsidRPr="000C2AB8" w14:paraId="567FBBA5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207D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AB8">
              <w:rPr>
                <w:rFonts w:ascii="Calibri" w:eastAsia="Times New Roman" w:hAnsi="Calibri" w:cs="Calibri"/>
                <w:color w:val="000000"/>
              </w:rPr>
              <w:t>Sortino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1422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2316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C87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(4.60)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CC3B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AEDA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(1.84)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BC9D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7739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(3.00)</w:t>
            </w:r>
          </w:p>
        </w:tc>
      </w:tr>
      <w:tr w:rsidR="000C2AB8" w:rsidRPr="000C2AB8" w14:paraId="1C4BDCF6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7F2E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0A89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094D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(1.46)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BF84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FE3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BCCD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(1.23)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8E2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9B9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(2.46)</w:t>
            </w:r>
          </w:p>
        </w:tc>
      </w:tr>
      <w:tr w:rsidR="000C2AB8" w:rsidRPr="000C2AB8" w14:paraId="03678C2E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792C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AB8">
              <w:rPr>
                <w:rFonts w:ascii="Calibri" w:eastAsia="Times New Roman" w:hAnsi="Calibri" w:cs="Calibri"/>
                <w:color w:val="000000"/>
              </w:rPr>
              <w:t>InfoRatio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627B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C5D4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1E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(4.47)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E9F6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(2.66)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5A90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F1C6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F9E4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(3.39)</w:t>
            </w:r>
          </w:p>
        </w:tc>
      </w:tr>
      <w:tr w:rsidR="000C2AB8" w:rsidRPr="000C2AB8" w14:paraId="1B44F4ED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66DA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7E21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9606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3C7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BA3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4019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DC85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A132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(0.21)</w:t>
            </w:r>
          </w:p>
        </w:tc>
      </w:tr>
      <w:tr w:rsidR="000C2AB8" w:rsidRPr="000C2AB8" w14:paraId="1CA276F9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E1F1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AB8">
              <w:rPr>
                <w:rFonts w:ascii="Calibri" w:eastAsia="Times New Roman" w:hAnsi="Calibri" w:cs="Calibri"/>
                <w:color w:val="000000"/>
              </w:rPr>
              <w:t>Sortino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BD16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A300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FEB5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5014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DF71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B32A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62D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(0.43)</w:t>
            </w:r>
          </w:p>
        </w:tc>
      </w:tr>
      <w:tr w:rsidR="000C2AB8" w:rsidRPr="000C2AB8" w14:paraId="6CED80E8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425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E011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E7F6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7E8B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5A7D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2588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C51F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13B3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(0.16)</w:t>
            </w:r>
          </w:p>
        </w:tc>
      </w:tr>
      <w:tr w:rsidR="000C2AB8" w:rsidRPr="000C2AB8" w14:paraId="298D5DAC" w14:textId="77777777" w:rsidTr="00E70FC0">
        <w:trPr>
          <w:cantSplit/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E0A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AB8">
              <w:rPr>
                <w:rFonts w:ascii="Calibri" w:eastAsia="Times New Roman" w:hAnsi="Calibri" w:cs="Calibri"/>
                <w:color w:val="000000"/>
              </w:rPr>
              <w:t>InfoRatio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E5EA" w14:textId="77777777" w:rsidR="000C2AB8" w:rsidRPr="000C2AB8" w:rsidRDefault="000C2AB8" w:rsidP="000C2AB8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2B96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CA6C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5C29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834F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000000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55A0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B27D" w14:textId="77777777" w:rsidR="000C2AB8" w:rsidRPr="000C2AB8" w:rsidRDefault="000C2AB8" w:rsidP="000C2AB8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2AB8">
              <w:rPr>
                <w:rFonts w:ascii="Calibri" w:eastAsia="Times New Roman" w:hAnsi="Calibri" w:cs="Calibri"/>
                <w:color w:val="FF0000"/>
              </w:rPr>
              <w:t>(0.09)</w:t>
            </w:r>
          </w:p>
        </w:tc>
      </w:tr>
    </w:tbl>
    <w:p w14:paraId="330FD472" w14:textId="4E516917" w:rsidR="00330B8C" w:rsidRDefault="00330B8C" w:rsidP="00BF7967">
      <w:pPr>
        <w:ind w:firstLine="0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01"/>
        <w:gridCol w:w="1468"/>
        <w:gridCol w:w="854"/>
        <w:gridCol w:w="884"/>
        <w:gridCol w:w="776"/>
        <w:gridCol w:w="1062"/>
        <w:gridCol w:w="1758"/>
        <w:gridCol w:w="995"/>
      </w:tblGrid>
      <w:tr w:rsidR="00E70FC0" w:rsidRPr="00151703" w14:paraId="757763DB" w14:textId="77777777" w:rsidTr="00AC5F90">
        <w:trPr>
          <w:trHeight w:val="292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F85A8" w14:textId="145CFC8D" w:rsidR="00E70FC0" w:rsidRPr="00151703" w:rsidRDefault="00E70FC0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</w:rPr>
              <w:lastRenderedPageBreak/>
              <w:t>T</w:t>
            </w:r>
            <w:r w:rsidRPr="003E1675">
              <w:rPr>
                <w:b/>
              </w:rPr>
              <w:t xml:space="preserve">able 2: Performance Difference </w:t>
            </w:r>
            <w:r>
              <w:rPr>
                <w:b/>
              </w:rPr>
              <w:t>of</w:t>
            </w:r>
            <w:r w:rsidRPr="003E1675">
              <w:rPr>
                <w:b/>
              </w:rPr>
              <w:t xml:space="preserve"> Out-of-Sample </w:t>
            </w:r>
            <w:r>
              <w:rPr>
                <w:b/>
              </w:rPr>
              <w:t>vs.</w:t>
            </w:r>
            <w:r w:rsidRPr="003E1675">
              <w:rPr>
                <w:b/>
              </w:rPr>
              <w:t xml:space="preserve"> In-Sample, Normalized to In-Sample Basis</w:t>
            </w:r>
          </w:p>
        </w:tc>
      </w:tr>
      <w:tr w:rsidR="00151703" w:rsidRPr="00151703" w14:paraId="4B182BC5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0381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Perf - Relative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2C4E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Walk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67E7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F245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Sortino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0ED8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3CC7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InfoRatio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5CA1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Avg Loss (</w:t>
            </w:r>
            <w:proofErr w:type="spellStart"/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exInfo</w:t>
            </w:r>
            <w:proofErr w:type="spellEnd"/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917D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703">
              <w:rPr>
                <w:rFonts w:ascii="Calibri" w:eastAsia="Times New Roman" w:hAnsi="Calibri" w:cs="Calibri"/>
                <w:b/>
                <w:bCs/>
                <w:color w:val="000000"/>
              </w:rPr>
              <w:t>Avg Loss</w:t>
            </w:r>
          </w:p>
        </w:tc>
      </w:tr>
      <w:tr w:rsidR="00151703" w:rsidRPr="00151703" w14:paraId="7E8DCF74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09B7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9ED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8A1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A21E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4C3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A25C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8F1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663C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-112%</w:t>
            </w:r>
          </w:p>
        </w:tc>
      </w:tr>
      <w:tr w:rsidR="00151703" w:rsidRPr="00151703" w14:paraId="4DC8B034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62B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1703">
              <w:rPr>
                <w:rFonts w:ascii="Calibri" w:eastAsia="Times New Roman" w:hAnsi="Calibri" w:cs="Calibri"/>
                <w:color w:val="000000"/>
              </w:rPr>
              <w:t>Sortino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C15D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138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2C7C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44C0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39F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85C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32D4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-101%</w:t>
            </w:r>
          </w:p>
        </w:tc>
      </w:tr>
      <w:tr w:rsidR="00151703" w:rsidRPr="00151703" w14:paraId="56E5F767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95C8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D9CC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2D2B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E1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BF88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A2E5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E08A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F48F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-91%</w:t>
            </w:r>
          </w:p>
        </w:tc>
      </w:tr>
      <w:tr w:rsidR="00151703" w:rsidRPr="00151703" w14:paraId="18AC4E47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0202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1703">
              <w:rPr>
                <w:rFonts w:ascii="Calibri" w:eastAsia="Times New Roman" w:hAnsi="Calibri" w:cs="Calibri"/>
                <w:color w:val="000000"/>
              </w:rPr>
              <w:t>InfoRatio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ED87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35F9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7AE1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F976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D0AC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482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C8B3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-109%</w:t>
            </w:r>
          </w:p>
        </w:tc>
      </w:tr>
      <w:tr w:rsidR="00151703" w:rsidRPr="00151703" w14:paraId="6169B521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A5B4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AECD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C218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E178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EC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-331%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A455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3476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5B4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-204%</w:t>
            </w:r>
          </w:p>
        </w:tc>
      </w:tr>
      <w:tr w:rsidR="00151703" w:rsidRPr="00151703" w14:paraId="3DD4F331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8B8E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1703">
              <w:rPr>
                <w:rFonts w:ascii="Calibri" w:eastAsia="Times New Roman" w:hAnsi="Calibri" w:cs="Calibri"/>
                <w:color w:val="000000"/>
              </w:rPr>
              <w:t>Sortino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94E3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9B2F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484C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-174%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468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93DB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-426%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4654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AB1A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-240%</w:t>
            </w:r>
          </w:p>
        </w:tc>
      </w:tr>
      <w:tr w:rsidR="00151703" w:rsidRPr="00151703" w14:paraId="1325BBC3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641C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60AF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039A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DF5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55A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E25B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B638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512C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-153%</w:t>
            </w:r>
          </w:p>
        </w:tc>
      </w:tr>
      <w:tr w:rsidR="00151703" w:rsidRPr="00151703" w14:paraId="29013B9E" w14:textId="77777777" w:rsidTr="00151703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D2DA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1703">
              <w:rPr>
                <w:rFonts w:ascii="Calibri" w:eastAsia="Times New Roman" w:hAnsi="Calibri" w:cs="Calibri"/>
                <w:color w:val="000000"/>
              </w:rPr>
              <w:t>InfoRatio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B2B7" w14:textId="77777777" w:rsidR="00151703" w:rsidRPr="00151703" w:rsidRDefault="00151703" w:rsidP="00151703">
            <w:pPr>
              <w:ind w:firstLine="0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Monte Carlo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CED3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-257%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6544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-251%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E22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F2B7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3172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-232%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A985" w14:textId="77777777" w:rsidR="00151703" w:rsidRPr="00151703" w:rsidRDefault="00151703" w:rsidP="0015170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703">
              <w:rPr>
                <w:rFonts w:ascii="Calibri" w:eastAsia="Times New Roman" w:hAnsi="Calibri" w:cs="Calibri"/>
                <w:color w:val="FF0000"/>
              </w:rPr>
              <w:t>-169%</w:t>
            </w:r>
          </w:p>
        </w:tc>
      </w:tr>
    </w:tbl>
    <w:p w14:paraId="51E0C574" w14:textId="77777777" w:rsidR="00BF2AC1" w:rsidRDefault="00BF2AC1" w:rsidP="00BF2AC1">
      <w:pPr>
        <w:ind w:firstLine="0"/>
        <w:rPr>
          <w:b/>
        </w:rPr>
      </w:pPr>
    </w:p>
    <w:p w14:paraId="10300A9C" w14:textId="0BEB8C55" w:rsidR="0009106E" w:rsidRDefault="00330B8C" w:rsidP="00BF2AC1">
      <w:pPr>
        <w:pStyle w:val="Heading1"/>
        <w:ind w:firstLine="0"/>
      </w:pPr>
      <w:r>
        <w:t>Potential Explanations</w:t>
      </w:r>
      <w:r w:rsidR="003B481F">
        <w:t xml:space="preserve"> and Opportunities for Further Research</w:t>
      </w:r>
    </w:p>
    <w:p w14:paraId="3041DD4A" w14:textId="77777777" w:rsidR="008152F1" w:rsidRPr="008152F1" w:rsidRDefault="008152F1" w:rsidP="008152F1">
      <w:pPr>
        <w:ind w:firstLine="0"/>
      </w:pPr>
    </w:p>
    <w:p w14:paraId="1C6B889B" w14:textId="76E53F5D" w:rsidR="009C1B7A" w:rsidRPr="002677C0" w:rsidRDefault="009C1B7A" w:rsidP="009C1B7A">
      <w:pPr>
        <w:ind w:firstLine="0"/>
      </w:pPr>
      <w:r>
        <w:tab/>
      </w:r>
      <w:r w:rsidR="006E3804">
        <w:t>I</w:t>
      </w:r>
      <w:r>
        <w:t xml:space="preserve"> take it for granted that on a backwards-looking perspective (that is, on things that have already happened), all four metrics that </w:t>
      </w:r>
      <w:r w:rsidR="006E3804">
        <w:t>I</w:t>
      </w:r>
      <w:r>
        <w:t>’ve tested are useful.</w:t>
      </w:r>
      <w:r w:rsidR="00674100">
        <w:t xml:space="preserve">  However, why does the performance gap exist for Sharpe and Information when trying to use them </w:t>
      </w:r>
      <w:r w:rsidR="00463103">
        <w:t xml:space="preserve">as forward-looking </w:t>
      </w:r>
      <w:r w:rsidR="00FC5836">
        <w:t xml:space="preserve">objective </w:t>
      </w:r>
      <w:r w:rsidR="00463103">
        <w:t>metrics?</w:t>
      </w:r>
    </w:p>
    <w:p w14:paraId="3E097692" w14:textId="241C60DB" w:rsidR="009C1B7A" w:rsidRDefault="009C1B7A" w:rsidP="007A5AA5">
      <w:pPr>
        <w:ind w:firstLine="0"/>
        <w:rPr>
          <w:b/>
        </w:rPr>
      </w:pPr>
    </w:p>
    <w:p w14:paraId="6FBC75F7" w14:textId="256CB441" w:rsidR="00463103" w:rsidRDefault="00463103" w:rsidP="007A5AA5">
      <w:pPr>
        <w:ind w:firstLine="0"/>
      </w:pPr>
      <w:r w:rsidRPr="00333C82">
        <w:tab/>
      </w:r>
      <w:r w:rsidR="00333C82" w:rsidRPr="00333C82">
        <w:t>Intuitively</w:t>
      </w:r>
      <w:r w:rsidR="00333C82">
        <w:t xml:space="preserve">, I’d </w:t>
      </w:r>
      <w:r w:rsidR="006C4148">
        <w:t xml:space="preserve">seek to </w:t>
      </w:r>
      <w:r w:rsidR="00333C82">
        <w:t xml:space="preserve">blame Information Ratio’s </w:t>
      </w:r>
      <w:r w:rsidR="006C4148">
        <w:t xml:space="preserve">performance gap on </w:t>
      </w:r>
      <w:r w:rsidR="00F86DD5">
        <w:t>recency effect, or on the phenomenon of chasing winners.</w:t>
      </w:r>
      <w:r w:rsidR="00CA3B3A">
        <w:t xml:space="preserve">  </w:t>
      </w:r>
      <w:r w:rsidR="00831FCE">
        <w:t>With Information Ratio, w</w:t>
      </w:r>
      <w:r w:rsidR="00CA3B3A">
        <w:t xml:space="preserve">e are not gauging performance of the strategy against itself, but rather on its performance relative </w:t>
      </w:r>
      <w:r w:rsidR="00831FCE">
        <w:t>to an external benchmark.</w:t>
      </w:r>
      <w:r w:rsidR="00D02E3D">
        <w:t xml:space="preserve">  This creates contingencies due to </w:t>
      </w:r>
      <w:r w:rsidR="005B067A">
        <w:t xml:space="preserve">the </w:t>
      </w:r>
      <w:r w:rsidR="00802ED4">
        <w:t>idiosyncratic</w:t>
      </w:r>
      <w:r w:rsidR="00D02E3D">
        <w:t xml:space="preserve"> behavior </w:t>
      </w:r>
      <w:r w:rsidR="005B067A">
        <w:t>of</w:t>
      </w:r>
      <w:r w:rsidR="00BF3688">
        <w:t xml:space="preserve"> the benchmark </w:t>
      </w:r>
      <w:r w:rsidR="005B067A">
        <w:t>–</w:t>
      </w:r>
      <w:r w:rsidR="00BF3688">
        <w:t xml:space="preserve"> </w:t>
      </w:r>
      <w:r w:rsidR="005B067A">
        <w:t>you could’ve gone short while the benchmark happened to be in an extended down-turn, for example.</w:t>
      </w:r>
      <w:r w:rsidR="00AF4F87">
        <w:t xml:space="preserve">  </w:t>
      </w:r>
      <w:r w:rsidR="00802ED4">
        <w:t xml:space="preserve">Then, all permutations of “short” </w:t>
      </w:r>
      <w:r w:rsidR="00CB62FE">
        <w:t>would</w:t>
      </w:r>
      <w:r w:rsidR="00802ED4">
        <w:t xml:space="preserve"> rise to the top as strategy candidates</w:t>
      </w:r>
      <w:r w:rsidR="002138EA">
        <w:t xml:space="preserve">, even though for subsequent periods </w:t>
      </w:r>
      <w:r w:rsidR="00650721">
        <w:t>the downturn may no longer be there.</w:t>
      </w:r>
    </w:p>
    <w:p w14:paraId="564BE6D9" w14:textId="38E3E661" w:rsidR="004968AC" w:rsidRDefault="004968AC" w:rsidP="007A5AA5">
      <w:pPr>
        <w:ind w:firstLine="0"/>
      </w:pPr>
    </w:p>
    <w:p w14:paraId="1A09DF06" w14:textId="319D9F02" w:rsidR="004968AC" w:rsidRDefault="004968AC" w:rsidP="007A5AA5">
      <w:pPr>
        <w:ind w:firstLine="0"/>
      </w:pPr>
      <w:r>
        <w:tab/>
        <w:t xml:space="preserve">The observation that Information Ratio </w:t>
      </w:r>
      <w:r w:rsidR="00C67451">
        <w:t xml:space="preserve">suffers less percentage-wise in </w:t>
      </w:r>
      <w:r w:rsidR="00C10739">
        <w:t>the Monte Carlo simulation</w:t>
      </w:r>
      <w:r w:rsidR="002658BB">
        <w:t xml:space="preserve"> </w:t>
      </w:r>
      <w:r w:rsidR="00C67451">
        <w:t xml:space="preserve">than it does in the traditional simulation </w:t>
      </w:r>
      <w:r w:rsidR="00C10739">
        <w:t>would lend some credence to this hypothesis</w:t>
      </w:r>
      <w:r w:rsidR="00B30684">
        <w:t>.</w:t>
      </w:r>
      <w:r w:rsidR="00AB0DC0">
        <w:t xml:space="preserve">  Since the Monte Carlo method randomly samples from </w:t>
      </w:r>
      <w:r w:rsidR="004400A5">
        <w:t xml:space="preserve">the testing period, it minimizes </w:t>
      </w:r>
      <w:r w:rsidR="001E1B1D">
        <w:t>any extended idiosyncratic trends of the benchmark</w:t>
      </w:r>
      <w:r w:rsidR="00557AD4">
        <w:t xml:space="preserve"> that would distort performance in future periods.  The traditional simulation method</w:t>
      </w:r>
      <w:r w:rsidR="00C94D57">
        <w:t xml:space="preserve"> does not have this defense, and the out-of-sample Information Ratio decreases accordingly.</w:t>
      </w:r>
    </w:p>
    <w:p w14:paraId="736A7AB0" w14:textId="0F44BD89" w:rsidR="00E32003" w:rsidRDefault="00E32003" w:rsidP="007A5AA5">
      <w:pPr>
        <w:ind w:firstLine="0"/>
      </w:pPr>
    </w:p>
    <w:p w14:paraId="5AB57185" w14:textId="77777777" w:rsidR="00367C44" w:rsidRDefault="003717CF" w:rsidP="007A5AA5">
      <w:pPr>
        <w:ind w:firstLine="0"/>
      </w:pPr>
      <w:r>
        <w:tab/>
        <w:t xml:space="preserve">As for why Sharpe underperforms </w:t>
      </w:r>
      <w:r w:rsidR="00695786">
        <w:t>–</w:t>
      </w:r>
      <w:r>
        <w:t xml:space="preserve"> </w:t>
      </w:r>
      <w:r w:rsidR="00695786">
        <w:t xml:space="preserve">that may be due to the nature of the </w:t>
      </w:r>
      <w:r w:rsidR="00316E47">
        <w:t xml:space="preserve">metric </w:t>
      </w:r>
      <w:r w:rsidR="00EA2F58">
        <w:t>itself.</w:t>
      </w:r>
      <w:r w:rsidR="00C06A74">
        <w:t xml:space="preserve">  </w:t>
      </w:r>
      <w:r w:rsidR="00490227">
        <w:t>The stock market is widely thought to be asymmetrically slanted towards the upside</w:t>
      </w:r>
      <w:r w:rsidR="006B2CBF">
        <w:t xml:space="preserve"> – there is a slight tilt towards positive returns more than negative returns.  It wouldn’t be unreasonable to conject </w:t>
      </w:r>
      <w:r w:rsidR="001F4943">
        <w:t>that this corresponds to outliers as well.</w:t>
      </w:r>
    </w:p>
    <w:p w14:paraId="4F8B5155" w14:textId="77777777" w:rsidR="00367C44" w:rsidRDefault="00367C44" w:rsidP="007A5AA5">
      <w:pPr>
        <w:ind w:firstLine="0"/>
      </w:pPr>
    </w:p>
    <w:p w14:paraId="5B27F5C7" w14:textId="1C730883" w:rsidR="003717CF" w:rsidRDefault="002A67AC" w:rsidP="00367C44">
      <w:pPr>
        <w:ind w:firstLine="720"/>
      </w:pPr>
      <w:r>
        <w:t xml:space="preserve">The Sharpe Ratio, however, penalizes equally for both positive and negative outliers.  </w:t>
      </w:r>
      <w:r w:rsidR="00367C44">
        <w:t xml:space="preserve">Then, when used as an objective metric, it would naturally slant towards the most conservative strategies that </w:t>
      </w:r>
      <w:r w:rsidR="00680938">
        <w:t>avoid these outliers entirely.</w:t>
      </w:r>
    </w:p>
    <w:p w14:paraId="041A465C" w14:textId="7F09F6CF" w:rsidR="00D4038B" w:rsidRDefault="00D4038B" w:rsidP="00367C44">
      <w:pPr>
        <w:ind w:firstLine="720"/>
      </w:pPr>
    </w:p>
    <w:p w14:paraId="3C4E56AA" w14:textId="01EAE26B" w:rsidR="00D4038B" w:rsidRDefault="00D4038B" w:rsidP="00367C44">
      <w:pPr>
        <w:ind w:firstLine="720"/>
      </w:pPr>
      <w:r>
        <w:t xml:space="preserve">Then, in out-of-sample trading, </w:t>
      </w:r>
      <w:r w:rsidR="00691842">
        <w:t>these “lucky” wins would have very little chance of happening</w:t>
      </w:r>
      <w:r w:rsidR="00EB35C3">
        <w:t xml:space="preserve"> – at least in comparison to the MAR and </w:t>
      </w:r>
      <w:proofErr w:type="spellStart"/>
      <w:r w:rsidR="00EB35C3">
        <w:t>Sortino</w:t>
      </w:r>
      <w:proofErr w:type="spellEnd"/>
      <w:r w:rsidR="00EB35C3">
        <w:t xml:space="preserve"> ratios, which do not penalize against upside outliers – which would lead to Sharpe’s underperformance accordingly.</w:t>
      </w:r>
    </w:p>
    <w:p w14:paraId="1BF7FFEE" w14:textId="1422177E" w:rsidR="009D1077" w:rsidRDefault="009D1077" w:rsidP="00367C44">
      <w:pPr>
        <w:ind w:firstLine="720"/>
      </w:pPr>
    </w:p>
    <w:p w14:paraId="7AEC01EE" w14:textId="1F64D024" w:rsidR="009D1077" w:rsidRDefault="00DA1F50" w:rsidP="00367C44">
      <w:pPr>
        <w:ind w:firstLine="720"/>
      </w:pPr>
      <w:r>
        <w:lastRenderedPageBreak/>
        <w:t>Alternatively</w:t>
      </w:r>
      <w:r w:rsidR="009D1077">
        <w:t>, this phenomenon for Sharpe may only be at play because of the nature of the strategy.  In this experiment, I’ve used a momentum strategy; momentum strategies exhibit negative skew</w:t>
      </w:r>
      <w:r w:rsidR="006D6357">
        <w:rPr>
          <w:rStyle w:val="FootnoteReference"/>
        </w:rPr>
        <w:footnoteReference w:id="3"/>
      </w:r>
      <w:r w:rsidR="00AA2CE9">
        <w:t xml:space="preserve"> in that they have mostly small winners with a few large</w:t>
      </w:r>
      <w:r w:rsidR="00E62409">
        <w:t xml:space="preserve"> losers</w:t>
      </w:r>
      <w:r w:rsidR="00AA2CE9">
        <w:t xml:space="preserve">.  MAR and </w:t>
      </w:r>
      <w:proofErr w:type="spellStart"/>
      <w:r w:rsidR="00AA2CE9">
        <w:t>Sortino</w:t>
      </w:r>
      <w:proofErr w:type="spellEnd"/>
      <w:r w:rsidR="00AA2CE9">
        <w:t xml:space="preserve"> ratios would naturally flourish for such distributions,</w:t>
      </w:r>
      <w:r w:rsidR="000D35D7">
        <w:t xml:space="preserve"> because</w:t>
      </w:r>
      <w:r w:rsidR="00B913C0">
        <w:t xml:space="preserve"> </w:t>
      </w:r>
      <w:r w:rsidR="00A8207B">
        <w:t>even-</w:t>
      </w:r>
      <w:r w:rsidR="00B913C0">
        <w:t>more</w:t>
      </w:r>
      <w:r w:rsidR="00523411">
        <w:t>-</w:t>
      </w:r>
      <w:r w:rsidR="00B913C0">
        <w:t>negatively</w:t>
      </w:r>
      <w:r w:rsidR="00523411">
        <w:t>-</w:t>
      </w:r>
      <w:r w:rsidR="00B913C0">
        <w:t xml:space="preserve">skewed </w:t>
      </w:r>
      <w:r w:rsidR="009E73C5">
        <w:t xml:space="preserve">distributions </w:t>
      </w:r>
      <w:r w:rsidR="00A8207B">
        <w:t xml:space="preserve">that </w:t>
      </w:r>
      <w:r w:rsidR="00CC6D0D">
        <w:t xml:space="preserve">have </w:t>
      </w:r>
      <w:r w:rsidR="00366201">
        <w:t xml:space="preserve">larger winners </w:t>
      </w:r>
      <w:r w:rsidR="00846C2B">
        <w:t>would not affect the denominator</w:t>
      </w:r>
      <w:r w:rsidR="00523411">
        <w:t xml:space="preserve">s for those two measures, while </w:t>
      </w:r>
      <w:r w:rsidR="009E73C5">
        <w:t xml:space="preserve">they would impact the denominator for the Sharpe ratio, and thus be </w:t>
      </w:r>
      <w:r w:rsidR="009D177C">
        <w:t xml:space="preserve">more likely to be </w:t>
      </w:r>
      <w:r w:rsidR="009E73C5">
        <w:t>eliminated from consideration</w:t>
      </w:r>
      <w:r w:rsidR="00850270">
        <w:t>.</w:t>
      </w:r>
    </w:p>
    <w:p w14:paraId="1BF9376D" w14:textId="42D01070" w:rsidR="00850270" w:rsidRDefault="00850270" w:rsidP="00367C44">
      <w:pPr>
        <w:ind w:firstLine="720"/>
      </w:pPr>
    </w:p>
    <w:p w14:paraId="42DDCD84" w14:textId="023C85FB" w:rsidR="001E75CC" w:rsidRDefault="00850270" w:rsidP="001E75CC">
      <w:pPr>
        <w:ind w:firstLine="720"/>
      </w:pPr>
      <w:r>
        <w:t xml:space="preserve">By contrast, if I’d used a mean-reversion strategy with a positive skew (mostly small losers and a few large winners), </w:t>
      </w:r>
      <w:r w:rsidR="00FD7DC6">
        <w:t>something different</w:t>
      </w:r>
      <w:r w:rsidR="009D177C">
        <w:t xml:space="preserve"> might happen – </w:t>
      </w:r>
      <w:r w:rsidR="00637CE7">
        <w:t>even-</w:t>
      </w:r>
      <w:r w:rsidR="00F571AD">
        <w:t>more-positively-skewed distributions</w:t>
      </w:r>
      <w:r w:rsidR="00FD7DC6">
        <w:t xml:space="preserve"> with larger losers would </w:t>
      </w:r>
      <w:r w:rsidR="00A31286">
        <w:t xml:space="preserve">affect Sharpe, MAR, and </w:t>
      </w:r>
      <w:proofErr w:type="spellStart"/>
      <w:r w:rsidR="00A31286">
        <w:t>Sortino</w:t>
      </w:r>
      <w:proofErr w:type="spellEnd"/>
      <w:r w:rsidR="00A31286">
        <w:t xml:space="preserve"> with the same level of impact, potentially removing the performance difference.</w:t>
      </w:r>
      <w:r w:rsidR="001E75CC">
        <w:t xml:space="preserve">  </w:t>
      </w:r>
      <w:r w:rsidR="001E75CC">
        <w:t>This would need to be proven with a different experiment.</w:t>
      </w:r>
    </w:p>
    <w:p w14:paraId="4313693C" w14:textId="3F33D777" w:rsidR="00850270" w:rsidRDefault="00850270" w:rsidP="00367C44">
      <w:pPr>
        <w:ind w:firstLine="720"/>
      </w:pPr>
    </w:p>
    <w:p w14:paraId="429D5DA3" w14:textId="5D21D554" w:rsidR="00330B8C" w:rsidRDefault="00330B8C" w:rsidP="002677C0">
      <w:pPr>
        <w:pStyle w:val="Heading1"/>
        <w:ind w:firstLine="0"/>
      </w:pPr>
      <w:r>
        <w:t>Conclusion</w:t>
      </w:r>
    </w:p>
    <w:p w14:paraId="71B68A63" w14:textId="77777777" w:rsidR="00C73204" w:rsidRDefault="00C73204" w:rsidP="00C73204">
      <w:pPr>
        <w:ind w:firstLine="0"/>
      </w:pPr>
    </w:p>
    <w:p w14:paraId="028DA535" w14:textId="3C09C83B" w:rsidR="00EC409C" w:rsidRDefault="00C73204" w:rsidP="00C73204">
      <w:pPr>
        <w:ind w:firstLine="0"/>
      </w:pPr>
      <w:r>
        <w:tab/>
      </w:r>
      <w:r w:rsidR="00EE545B">
        <w:t>In this experiment, I used two methods to compare out-of-sample and in-sample performance</w:t>
      </w:r>
      <w:r w:rsidR="00A2446F">
        <w:t xml:space="preserve"> for several popular ratios: Sharpe, </w:t>
      </w:r>
      <w:proofErr w:type="spellStart"/>
      <w:r w:rsidR="00A2446F">
        <w:t>Sortino</w:t>
      </w:r>
      <w:proofErr w:type="spellEnd"/>
      <w:r w:rsidR="00A2446F">
        <w:t>, MAR, Information.</w:t>
      </w:r>
      <w:r w:rsidR="00AC7E90">
        <w:t xml:space="preserve">  My experiments show that </w:t>
      </w:r>
      <w:r w:rsidR="00EB67CB">
        <w:t xml:space="preserve">for both methods, </w:t>
      </w:r>
      <w:r w:rsidR="00AC7E90">
        <w:t xml:space="preserve">Sharpe and Information Ratio underperform as forward-looking criteria, at least in-comparison to </w:t>
      </w:r>
      <w:proofErr w:type="spellStart"/>
      <w:r w:rsidR="00AC7E90">
        <w:t>Sortino</w:t>
      </w:r>
      <w:proofErr w:type="spellEnd"/>
      <w:r w:rsidR="00AC7E90">
        <w:t xml:space="preserve"> and MAR.</w:t>
      </w:r>
    </w:p>
    <w:p w14:paraId="2E5057E8" w14:textId="77777777" w:rsidR="00EC409C" w:rsidRDefault="00EC409C" w:rsidP="00C73204">
      <w:pPr>
        <w:ind w:firstLine="0"/>
      </w:pPr>
    </w:p>
    <w:p w14:paraId="19659B97" w14:textId="77777777" w:rsidR="004E5AAE" w:rsidRDefault="00EC409C" w:rsidP="00C73204">
      <w:pPr>
        <w:ind w:firstLine="0"/>
      </w:pPr>
      <w:r>
        <w:tab/>
        <w:t xml:space="preserve">I suggest that this is </w:t>
      </w:r>
      <w:r w:rsidR="004E5AAE">
        <w:t xml:space="preserve">first </w:t>
      </w:r>
      <w:r>
        <w:t xml:space="preserve">because </w:t>
      </w:r>
      <w:r w:rsidR="00DD40D3">
        <w:t>Information Ratio may suffer from recency effects</w:t>
      </w:r>
      <w:r w:rsidR="004E5AAE">
        <w:t xml:space="preserve"> or a “chasing winners” phenomenon, </w:t>
      </w:r>
      <w:r w:rsidR="00DD40D3">
        <w:t xml:space="preserve">and second </w:t>
      </w:r>
      <w:r w:rsidR="004E5AAE">
        <w:t xml:space="preserve">because </w:t>
      </w:r>
      <w:proofErr w:type="spellStart"/>
      <w:r>
        <w:t>Sortino</w:t>
      </w:r>
      <w:proofErr w:type="spellEnd"/>
      <w:r>
        <w:t xml:space="preserve"> and MAR do not penalize on upside </w:t>
      </w:r>
      <w:r w:rsidR="00DD40D3">
        <w:t>volatility</w:t>
      </w:r>
      <w:r w:rsidR="004E5AAE">
        <w:t>, while both Sharpe and Information Ratio do.</w:t>
      </w:r>
    </w:p>
    <w:p w14:paraId="532EB0EA" w14:textId="77777777" w:rsidR="004E5AAE" w:rsidRDefault="004E5AAE" w:rsidP="00C73204">
      <w:pPr>
        <w:ind w:firstLine="0"/>
      </w:pPr>
    </w:p>
    <w:p w14:paraId="310BC7EB" w14:textId="0C854D58" w:rsidR="007F5630" w:rsidRDefault="004E5AAE" w:rsidP="00C73204">
      <w:pPr>
        <w:ind w:firstLine="0"/>
      </w:pPr>
      <w:r>
        <w:tab/>
      </w:r>
      <w:r w:rsidR="0035311C">
        <w:t xml:space="preserve">However, it is possible that the </w:t>
      </w:r>
      <w:r w:rsidR="006F751C">
        <w:t>deficient performance observed in Sharpe and Information Ratio are a consequence of</w:t>
      </w:r>
      <w:r w:rsidR="005F4848">
        <w:t xml:space="preserve"> the distribution skew of the strategy itself</w:t>
      </w:r>
      <w:r w:rsidR="007F5630">
        <w:t xml:space="preserve"> – there isn’t enough information from the experiments to conclude this definitively.</w:t>
      </w:r>
    </w:p>
    <w:p w14:paraId="489D936C" w14:textId="77777777" w:rsidR="007F5630" w:rsidRDefault="007F5630" w:rsidP="00C73204">
      <w:pPr>
        <w:ind w:firstLine="0"/>
      </w:pPr>
    </w:p>
    <w:p w14:paraId="4ABEF1EF" w14:textId="71DF7065" w:rsidR="00196F9E" w:rsidRDefault="00713DE9" w:rsidP="007F5630">
      <w:pPr>
        <w:ind w:firstLine="720"/>
      </w:pPr>
      <w:r>
        <w:t>The real answer may be that there is no one-size-fits-all metric</w:t>
      </w:r>
      <w:r w:rsidR="00196F9E">
        <w:t xml:space="preserve"> that can compare between all strategies</w:t>
      </w:r>
      <w:r w:rsidR="007F5630">
        <w:t xml:space="preserve">.  Instead, it might be that </w:t>
      </w:r>
      <w:r w:rsidR="00196F9E">
        <w:t>for certain types of strategies we should use</w:t>
      </w:r>
      <w:r w:rsidR="005F61D5">
        <w:t xml:space="preserve"> MAR and </w:t>
      </w:r>
      <w:proofErr w:type="spellStart"/>
      <w:r w:rsidR="005F61D5">
        <w:t>Sortino</w:t>
      </w:r>
      <w:proofErr w:type="spellEnd"/>
      <w:r w:rsidR="005F61D5">
        <w:t>, and for other types of strategies we should use Sharpe and Information Ratio instead.</w:t>
      </w:r>
    </w:p>
    <w:p w14:paraId="4C51F972" w14:textId="2D74DA2D" w:rsidR="00330B8C" w:rsidRPr="00C73204" w:rsidRDefault="00330B8C" w:rsidP="007F5630">
      <w:pPr>
        <w:ind w:firstLine="720"/>
      </w:pPr>
      <w:r w:rsidRPr="00C73204">
        <w:br w:type="page"/>
      </w:r>
    </w:p>
    <w:p w14:paraId="17E222B0" w14:textId="7184B95B" w:rsidR="001D78EF" w:rsidRDefault="001D78EF" w:rsidP="000E1ED8">
      <w:pPr>
        <w:pStyle w:val="Heading1"/>
        <w:ind w:firstLine="0"/>
      </w:pPr>
      <w:r>
        <w:lastRenderedPageBreak/>
        <w:t>Appendix 1: Stock Universe and Strategy Parameters</w:t>
      </w:r>
    </w:p>
    <w:p w14:paraId="03C3C1AF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# https://en.wikipedia.org/wiki/S%26P_100 - snapshot 4/27/2019</w:t>
      </w:r>
    </w:p>
    <w:p w14:paraId="07EA1AB0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# excludes (data retrieval failure): 'BRK.B', 'DOW', 'FOX', 'FOXA',</w:t>
      </w:r>
    </w:p>
    <w:p w14:paraId="3B0E89AF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symbols = ['AAPL', 'ABBV', 'ABT', 'ACN', 'AGN', 'AIG', 'ALL', 'AMGN', 'AMZN', 'AXP',</w:t>
      </w:r>
    </w:p>
    <w:p w14:paraId="37C4DDCF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'BA', 'BAC', 'BIIB', 'BK', 'BKNG', 'BLK', 'BMY', 'C', 'CAT',</w:t>
      </w:r>
      <w:bookmarkStart w:id="0" w:name="_GoBack"/>
      <w:bookmarkEnd w:id="0"/>
    </w:p>
    <w:p w14:paraId="167E22DF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'CELG', 'CHTR', 'CL', 'CMCSA', 'COF', 'COP', 'COST', 'CSCO', 'CVX', 'DHR',</w:t>
      </w:r>
    </w:p>
    <w:p w14:paraId="000C823B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'DIS', 'DUK', 'DWDP', 'EMR', 'EXC', 'F', 'FB', 'FDX',</w:t>
      </w:r>
    </w:p>
    <w:p w14:paraId="7AECD444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'GD', 'GE', 'GILD', 'GM', 'GOOG', 'GOOGL', 'GS', 'HD', 'HON',</w:t>
      </w:r>
    </w:p>
    <w:p w14:paraId="6A9835CE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'IBM', 'INTC', 'JNJ', 'JPM', 'KHC', 'KMI', 'KO', 'LLY', 'LMT', 'LOW',</w:t>
      </w:r>
    </w:p>
    <w:p w14:paraId="6C55061C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'MA', 'MCD', 'MDLZ', 'MDT', 'MET', 'MMM', 'MO', 'MRK', 'MS', 'MSFT',</w:t>
      </w:r>
    </w:p>
    <w:p w14:paraId="14D85E0E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'NEE', 'NFLX', 'NKE', 'NVDA', 'ORCL', 'OXY', 'PEP', 'PFE', 'PG', 'PM',</w:t>
      </w:r>
    </w:p>
    <w:p w14:paraId="4B9CF88E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'PYPL', 'QCOM', 'RTN', 'SBUX', 'SLB', 'SO', 'SPG', 'T', 'TGT', 'TXN',</w:t>
      </w:r>
    </w:p>
    <w:p w14:paraId="5FF845A3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'UNH', 'UNP', 'UPS', 'USB', 'UTX', 'V', 'VZ', 'WBA', 'WFC', 'WMT',</w:t>
      </w:r>
    </w:p>
    <w:p w14:paraId="52946730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'XOM'</w:t>
      </w:r>
    </w:p>
    <w:p w14:paraId="224788A3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       ]</w:t>
      </w:r>
    </w:p>
    <w:p w14:paraId="2D9F2CD5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</w:t>
      </w:r>
      <w:proofErr w:type="spellStart"/>
      <w:r w:rsidRPr="00E041F9">
        <w:rPr>
          <w:sz w:val="16"/>
          <w:szCs w:val="16"/>
        </w:rPr>
        <w:t>initial_date</w:t>
      </w:r>
      <w:proofErr w:type="spellEnd"/>
      <w:r w:rsidRPr="00E041F9">
        <w:rPr>
          <w:sz w:val="16"/>
          <w:szCs w:val="16"/>
        </w:rPr>
        <w:t xml:space="preserve"> = "2014-01-01"</w:t>
      </w:r>
    </w:p>
    <w:p w14:paraId="4E87C4AA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</w:t>
      </w:r>
      <w:proofErr w:type="spellStart"/>
      <w:r w:rsidRPr="00E041F9">
        <w:rPr>
          <w:sz w:val="16"/>
          <w:szCs w:val="16"/>
        </w:rPr>
        <w:t>final_date</w:t>
      </w:r>
      <w:proofErr w:type="spellEnd"/>
      <w:r w:rsidRPr="00E041F9">
        <w:rPr>
          <w:sz w:val="16"/>
          <w:szCs w:val="16"/>
        </w:rPr>
        <w:t xml:space="preserve"> = "2018-12-31"</w:t>
      </w:r>
    </w:p>
    <w:p w14:paraId="49908D11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benchmark = 'SPY'</w:t>
      </w:r>
    </w:p>
    <w:p w14:paraId="4980A0D0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</w:t>
      </w:r>
      <w:proofErr w:type="spellStart"/>
      <w:r w:rsidRPr="00E041F9">
        <w:rPr>
          <w:sz w:val="16"/>
          <w:szCs w:val="16"/>
        </w:rPr>
        <w:t>search_parameters</w:t>
      </w:r>
      <w:proofErr w:type="spellEnd"/>
      <w:r w:rsidRPr="00E041F9">
        <w:rPr>
          <w:sz w:val="16"/>
          <w:szCs w:val="16"/>
        </w:rPr>
        <w:t xml:space="preserve"> = {</w:t>
      </w:r>
    </w:p>
    <w:p w14:paraId="66A62B05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'MA20_Std': </w:t>
      </w:r>
      <w:proofErr w:type="spellStart"/>
      <w:proofErr w:type="gramStart"/>
      <w:r w:rsidRPr="00E041F9">
        <w:rPr>
          <w:sz w:val="16"/>
          <w:szCs w:val="16"/>
        </w:rPr>
        <w:t>np.arange</w:t>
      </w:r>
      <w:proofErr w:type="spellEnd"/>
      <w:proofErr w:type="gramEnd"/>
      <w:r w:rsidRPr="00E041F9">
        <w:rPr>
          <w:sz w:val="16"/>
          <w:szCs w:val="16"/>
        </w:rPr>
        <w:t>(-2.5, 2.5, 0.5),</w:t>
      </w:r>
    </w:p>
    <w:p w14:paraId="0FCD4865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'MA200_Std': </w:t>
      </w:r>
      <w:proofErr w:type="spellStart"/>
      <w:proofErr w:type="gramStart"/>
      <w:r w:rsidRPr="00E041F9">
        <w:rPr>
          <w:sz w:val="16"/>
          <w:szCs w:val="16"/>
        </w:rPr>
        <w:t>np.arange</w:t>
      </w:r>
      <w:proofErr w:type="spellEnd"/>
      <w:proofErr w:type="gramEnd"/>
      <w:r w:rsidRPr="00E041F9">
        <w:rPr>
          <w:sz w:val="16"/>
          <w:szCs w:val="16"/>
        </w:rPr>
        <w:t>(-2.5, 2.5, 0.5),</w:t>
      </w:r>
    </w:p>
    <w:p w14:paraId="515EFB8B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'MA20_Mode': ('&gt;', '&lt;'),</w:t>
      </w:r>
    </w:p>
    <w:p w14:paraId="43E4EDD2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    'MA200_Mode': ('&gt;', '&lt;'),</w:t>
      </w:r>
    </w:p>
    <w:p w14:paraId="40846176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}</w:t>
      </w:r>
    </w:p>
    <w:p w14:paraId="319BD358" w14:textId="77777777" w:rsidR="00FC2C77" w:rsidRPr="00E041F9" w:rsidRDefault="00FC2C77" w:rsidP="00FC2C77">
      <w:pPr>
        <w:ind w:left="720" w:firstLine="0"/>
        <w:rPr>
          <w:sz w:val="16"/>
          <w:szCs w:val="16"/>
        </w:rPr>
      </w:pPr>
      <w:r w:rsidRPr="00E041F9">
        <w:rPr>
          <w:sz w:val="16"/>
          <w:szCs w:val="16"/>
        </w:rPr>
        <w:t xml:space="preserve">    </w:t>
      </w:r>
      <w:proofErr w:type="spellStart"/>
      <w:r w:rsidRPr="00E041F9">
        <w:rPr>
          <w:sz w:val="16"/>
          <w:szCs w:val="16"/>
        </w:rPr>
        <w:t>objective_metrics</w:t>
      </w:r>
      <w:proofErr w:type="spellEnd"/>
      <w:r w:rsidRPr="00E041F9">
        <w:rPr>
          <w:sz w:val="16"/>
          <w:szCs w:val="16"/>
        </w:rPr>
        <w:t xml:space="preserve"> = ['Sharpe', '</w:t>
      </w:r>
      <w:proofErr w:type="spellStart"/>
      <w:r w:rsidRPr="00E041F9">
        <w:rPr>
          <w:sz w:val="16"/>
          <w:szCs w:val="16"/>
        </w:rPr>
        <w:t>Sortino</w:t>
      </w:r>
      <w:proofErr w:type="spellEnd"/>
      <w:r w:rsidRPr="00E041F9">
        <w:rPr>
          <w:sz w:val="16"/>
          <w:szCs w:val="16"/>
        </w:rPr>
        <w:t>', 'MAR', '</w:t>
      </w:r>
      <w:proofErr w:type="spellStart"/>
      <w:r w:rsidRPr="00E041F9">
        <w:rPr>
          <w:sz w:val="16"/>
          <w:szCs w:val="16"/>
        </w:rPr>
        <w:t>InfoRatio</w:t>
      </w:r>
      <w:proofErr w:type="spellEnd"/>
      <w:r w:rsidRPr="00E041F9">
        <w:rPr>
          <w:sz w:val="16"/>
          <w:szCs w:val="16"/>
        </w:rPr>
        <w:t>']</w:t>
      </w:r>
    </w:p>
    <w:p w14:paraId="55E43765" w14:textId="656DB228" w:rsidR="001D78EF" w:rsidRDefault="00FC2C77" w:rsidP="00D13E85">
      <w:pPr>
        <w:ind w:left="720" w:firstLine="146"/>
        <w:rPr>
          <w:sz w:val="16"/>
          <w:szCs w:val="16"/>
        </w:rPr>
      </w:pPr>
      <w:proofErr w:type="spellStart"/>
      <w:r w:rsidRPr="00E041F9">
        <w:rPr>
          <w:sz w:val="16"/>
          <w:szCs w:val="16"/>
        </w:rPr>
        <w:t>wf_lookback</w:t>
      </w:r>
      <w:proofErr w:type="spellEnd"/>
      <w:r w:rsidRPr="00E041F9">
        <w:rPr>
          <w:sz w:val="16"/>
          <w:szCs w:val="16"/>
        </w:rPr>
        <w:t xml:space="preserve"> = 100</w:t>
      </w:r>
    </w:p>
    <w:p w14:paraId="024D2AC0" w14:textId="3BEA6515" w:rsidR="00D13E85" w:rsidRPr="00E041F9" w:rsidRDefault="00D13E85" w:rsidP="00D13E85">
      <w:pPr>
        <w:ind w:left="720" w:firstLine="146"/>
        <w:rPr>
          <w:sz w:val="16"/>
          <w:szCs w:val="16"/>
        </w:rPr>
      </w:pPr>
      <w:proofErr w:type="spellStart"/>
      <w:r>
        <w:rPr>
          <w:sz w:val="16"/>
          <w:szCs w:val="16"/>
        </w:rPr>
        <w:t>mc_samples</w:t>
      </w:r>
      <w:proofErr w:type="spellEnd"/>
      <w:r>
        <w:rPr>
          <w:sz w:val="16"/>
          <w:szCs w:val="16"/>
        </w:rPr>
        <w:t xml:space="preserve"> = 50</w:t>
      </w:r>
    </w:p>
    <w:p w14:paraId="14386EA8" w14:textId="77777777" w:rsidR="001D78EF" w:rsidRDefault="001D78EF" w:rsidP="007A5AA5">
      <w:pPr>
        <w:ind w:firstLine="0"/>
        <w:rPr>
          <w:b/>
        </w:rPr>
      </w:pPr>
    </w:p>
    <w:p w14:paraId="77EC1EE2" w14:textId="7E39A597" w:rsidR="00330B8C" w:rsidRDefault="00F06D0B" w:rsidP="000E1ED8">
      <w:pPr>
        <w:pStyle w:val="Heading1"/>
        <w:ind w:firstLine="0"/>
      </w:pPr>
      <w:r>
        <w:t xml:space="preserve">Appendix </w:t>
      </w:r>
      <w:r w:rsidR="00E041F9">
        <w:t>2</w:t>
      </w:r>
      <w:r>
        <w:t>: Traditional Walk-Forward Performance</w:t>
      </w:r>
    </w:p>
    <w:p w14:paraId="7C61C4FA" w14:textId="600754EA" w:rsidR="00F06D0B" w:rsidRDefault="00F06D0B" w:rsidP="007A5AA5">
      <w:pPr>
        <w:ind w:firstLine="0"/>
        <w:rPr>
          <w:b/>
        </w:rPr>
      </w:pPr>
      <w:r w:rsidRPr="00F06D0B">
        <w:rPr>
          <w:noProof/>
        </w:rPr>
        <w:drawing>
          <wp:inline distT="0" distB="0" distL="0" distR="0" wp14:anchorId="510F5837" wp14:editId="4FCCE87D">
            <wp:extent cx="5833872" cy="1115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7A86" w14:textId="0CB0F264" w:rsidR="00330B8C" w:rsidRDefault="00330B8C" w:rsidP="007A5AA5">
      <w:pPr>
        <w:ind w:firstLine="0"/>
        <w:rPr>
          <w:b/>
        </w:rPr>
      </w:pPr>
    </w:p>
    <w:p w14:paraId="7B4F8B7D" w14:textId="40759A64" w:rsidR="000E1ED8" w:rsidRDefault="000E1ED8" w:rsidP="000E1ED8">
      <w:pPr>
        <w:pStyle w:val="Heading1"/>
        <w:ind w:firstLine="0"/>
      </w:pPr>
      <w:r>
        <w:t>Appendix 3: Monte Carlo Walk-Forward Performance</w:t>
      </w:r>
    </w:p>
    <w:p w14:paraId="7AB0CAF0" w14:textId="195DDBC6" w:rsidR="000E1ED8" w:rsidRDefault="000E1ED8" w:rsidP="007A5AA5">
      <w:pPr>
        <w:ind w:firstLine="0"/>
        <w:rPr>
          <w:b/>
        </w:rPr>
      </w:pPr>
      <w:r w:rsidRPr="000E1ED8">
        <w:rPr>
          <w:noProof/>
        </w:rPr>
        <w:drawing>
          <wp:inline distT="0" distB="0" distL="0" distR="0" wp14:anchorId="6815C4DB" wp14:editId="3C4E70AC">
            <wp:extent cx="5833872" cy="11155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6492" w14:textId="54BDE6B9" w:rsidR="000E1ED8" w:rsidRDefault="000E1ED8" w:rsidP="007A5AA5">
      <w:pPr>
        <w:ind w:firstLine="0"/>
        <w:rPr>
          <w:b/>
        </w:rPr>
      </w:pPr>
    </w:p>
    <w:p w14:paraId="1449210D" w14:textId="17DEE56A" w:rsidR="000E1ED8" w:rsidRDefault="000E1ED8" w:rsidP="000E1ED8">
      <w:pPr>
        <w:pStyle w:val="Heading1"/>
        <w:ind w:firstLine="0"/>
      </w:pPr>
      <w:r>
        <w:lastRenderedPageBreak/>
        <w:t>Appendix 4: Cumulative Profit-Loss, Traditional Walk-Forward</w:t>
      </w:r>
    </w:p>
    <w:p w14:paraId="5D13BF90" w14:textId="410CE18F" w:rsidR="000E1ED8" w:rsidRDefault="000E1ED8" w:rsidP="007A5AA5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2635FA73" wp14:editId="6C53E7A3">
            <wp:extent cx="594360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k_Perspectives_TradRetur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1D7E" w14:textId="7AE9DE10" w:rsidR="000E1ED8" w:rsidRDefault="000E1ED8" w:rsidP="000E1ED8">
      <w:pPr>
        <w:pStyle w:val="Heading1"/>
        <w:ind w:firstLine="0"/>
      </w:pPr>
      <w:r>
        <w:t>Appendix 5: Cumulative Profit-Loss, Monte Carlo Walk-Forward</w:t>
      </w:r>
    </w:p>
    <w:p w14:paraId="6EF1C612" w14:textId="577D0549" w:rsidR="00265B9C" w:rsidRPr="000E1ED8" w:rsidRDefault="000E1ED8" w:rsidP="000E1ED8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6F8EDB88" wp14:editId="058351B4">
            <wp:extent cx="594360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k_Perspectives_CarloRetur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B9C" w:rsidRPr="000E1E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61488" w14:textId="77777777" w:rsidR="001B7DE4" w:rsidRDefault="001B7DE4" w:rsidP="00A32DFE">
      <w:r>
        <w:separator/>
      </w:r>
    </w:p>
  </w:endnote>
  <w:endnote w:type="continuationSeparator" w:id="0">
    <w:p w14:paraId="0B175A63" w14:textId="77777777" w:rsidR="001B7DE4" w:rsidRDefault="001B7DE4" w:rsidP="00A3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BB04B" w14:textId="77777777" w:rsidR="001B7DE4" w:rsidRDefault="001B7DE4" w:rsidP="00A32DFE">
      <w:r>
        <w:separator/>
      </w:r>
    </w:p>
  </w:footnote>
  <w:footnote w:type="continuationSeparator" w:id="0">
    <w:p w14:paraId="26F4C2B8" w14:textId="77777777" w:rsidR="001B7DE4" w:rsidRDefault="001B7DE4" w:rsidP="00A32DFE">
      <w:r>
        <w:continuationSeparator/>
      </w:r>
    </w:p>
  </w:footnote>
  <w:footnote w:id="1">
    <w:p w14:paraId="7C955292" w14:textId="76EC6761" w:rsidR="00A92F42" w:rsidRDefault="00A92F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2F42">
        <w:t>https://en.wikipedia.org/wiki/Walk_forward_optimization</w:t>
      </w:r>
    </w:p>
  </w:footnote>
  <w:footnote w:id="2">
    <w:p w14:paraId="74B86EC7" w14:textId="0B8B1272" w:rsidR="00FD333D" w:rsidRDefault="00FD33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D333D">
        <w:t>https://en.wikipedia.org/wiki/Quasi-Monte_Carlo_method</w:t>
      </w:r>
    </w:p>
  </w:footnote>
  <w:footnote w:id="3">
    <w:p w14:paraId="0A767FE0" w14:textId="5AA7699F" w:rsidR="006D6357" w:rsidRDefault="006D63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15C30">
        <w:t xml:space="preserve">“Skewness Preference and Price Momentum.”  </w:t>
      </w:r>
      <w:r w:rsidRPr="006D6357">
        <w:t>http://myacme.org/IJMTP/issue4_2003/2003_paper6.pdf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A883D" w14:textId="77777777" w:rsidR="00A32DFE" w:rsidRDefault="00A32DFE" w:rsidP="0048257C">
    <w:pPr>
      <w:pStyle w:val="Header"/>
      <w:ind w:firstLine="0"/>
    </w:pPr>
    <w:r>
      <w:t>Vincent Chin</w:t>
    </w:r>
  </w:p>
  <w:p w14:paraId="24E968A0" w14:textId="3DA1490B" w:rsidR="00A32DFE" w:rsidRDefault="00A32DFE" w:rsidP="0048257C">
    <w:pPr>
      <w:pStyle w:val="Header"/>
      <w:ind w:firstLine="0"/>
    </w:pPr>
    <w:r>
      <w:t>Risk Perspectives – Final Paper</w:t>
    </w:r>
    <w:r w:rsidR="0048257C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198"/>
    <w:multiLevelType w:val="hybridMultilevel"/>
    <w:tmpl w:val="FF6C8132"/>
    <w:lvl w:ilvl="0" w:tplc="68D63A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FE"/>
    <w:rsid w:val="00010302"/>
    <w:rsid w:val="00012DBC"/>
    <w:rsid w:val="0002518E"/>
    <w:rsid w:val="00061A55"/>
    <w:rsid w:val="000673A4"/>
    <w:rsid w:val="00082158"/>
    <w:rsid w:val="0008360D"/>
    <w:rsid w:val="000859BF"/>
    <w:rsid w:val="0009106E"/>
    <w:rsid w:val="000A1DFC"/>
    <w:rsid w:val="000B253F"/>
    <w:rsid w:val="000C2AB8"/>
    <w:rsid w:val="000C370A"/>
    <w:rsid w:val="000D3189"/>
    <w:rsid w:val="000D334B"/>
    <w:rsid w:val="000D35D7"/>
    <w:rsid w:val="000E1ED8"/>
    <w:rsid w:val="000E56BC"/>
    <w:rsid w:val="00120B37"/>
    <w:rsid w:val="00120E25"/>
    <w:rsid w:val="00125871"/>
    <w:rsid w:val="001329EC"/>
    <w:rsid w:val="00132E08"/>
    <w:rsid w:val="00141B84"/>
    <w:rsid w:val="00142347"/>
    <w:rsid w:val="00151703"/>
    <w:rsid w:val="00161299"/>
    <w:rsid w:val="00181591"/>
    <w:rsid w:val="00183CA5"/>
    <w:rsid w:val="0018511F"/>
    <w:rsid w:val="001924E4"/>
    <w:rsid w:val="00196F9E"/>
    <w:rsid w:val="001B7DE4"/>
    <w:rsid w:val="001C2A6C"/>
    <w:rsid w:val="001C677D"/>
    <w:rsid w:val="001C710E"/>
    <w:rsid w:val="001D036C"/>
    <w:rsid w:val="001D78EF"/>
    <w:rsid w:val="001E0F29"/>
    <w:rsid w:val="001E1B1D"/>
    <w:rsid w:val="001E75CC"/>
    <w:rsid w:val="001F0686"/>
    <w:rsid w:val="001F4943"/>
    <w:rsid w:val="001F7E3C"/>
    <w:rsid w:val="00201D75"/>
    <w:rsid w:val="0020243A"/>
    <w:rsid w:val="002138EA"/>
    <w:rsid w:val="002177E8"/>
    <w:rsid w:val="00235716"/>
    <w:rsid w:val="00241238"/>
    <w:rsid w:val="002433D1"/>
    <w:rsid w:val="00250BC3"/>
    <w:rsid w:val="00264246"/>
    <w:rsid w:val="002658BB"/>
    <w:rsid w:val="00265B9C"/>
    <w:rsid w:val="002677C0"/>
    <w:rsid w:val="00267DAD"/>
    <w:rsid w:val="002717A9"/>
    <w:rsid w:val="002864FB"/>
    <w:rsid w:val="00286EED"/>
    <w:rsid w:val="002878D8"/>
    <w:rsid w:val="002A67AC"/>
    <w:rsid w:val="002B6D71"/>
    <w:rsid w:val="002B7000"/>
    <w:rsid w:val="002F25C9"/>
    <w:rsid w:val="003024BF"/>
    <w:rsid w:val="00316E47"/>
    <w:rsid w:val="003202CC"/>
    <w:rsid w:val="00325416"/>
    <w:rsid w:val="00330A2B"/>
    <w:rsid w:val="00330B8C"/>
    <w:rsid w:val="00331413"/>
    <w:rsid w:val="00333C82"/>
    <w:rsid w:val="00351649"/>
    <w:rsid w:val="0035311C"/>
    <w:rsid w:val="00366201"/>
    <w:rsid w:val="00367C44"/>
    <w:rsid w:val="003716AB"/>
    <w:rsid w:val="003717CF"/>
    <w:rsid w:val="003721D0"/>
    <w:rsid w:val="00377F24"/>
    <w:rsid w:val="003A6370"/>
    <w:rsid w:val="003B481F"/>
    <w:rsid w:val="003C5356"/>
    <w:rsid w:val="003D0665"/>
    <w:rsid w:val="003D74D3"/>
    <w:rsid w:val="003D7B3A"/>
    <w:rsid w:val="003E1675"/>
    <w:rsid w:val="003E318D"/>
    <w:rsid w:val="003E6396"/>
    <w:rsid w:val="003F20E5"/>
    <w:rsid w:val="003F4575"/>
    <w:rsid w:val="00401B02"/>
    <w:rsid w:val="004040D1"/>
    <w:rsid w:val="0040642F"/>
    <w:rsid w:val="004400A5"/>
    <w:rsid w:val="004435E9"/>
    <w:rsid w:val="00457C26"/>
    <w:rsid w:val="00463103"/>
    <w:rsid w:val="00464611"/>
    <w:rsid w:val="00476228"/>
    <w:rsid w:val="0048257C"/>
    <w:rsid w:val="00484AB1"/>
    <w:rsid w:val="00490227"/>
    <w:rsid w:val="00492454"/>
    <w:rsid w:val="004951D9"/>
    <w:rsid w:val="004968AC"/>
    <w:rsid w:val="004A4717"/>
    <w:rsid w:val="004B1552"/>
    <w:rsid w:val="004B31EB"/>
    <w:rsid w:val="004D32F8"/>
    <w:rsid w:val="004D60E8"/>
    <w:rsid w:val="004E551A"/>
    <w:rsid w:val="004E5AAE"/>
    <w:rsid w:val="004F0FF3"/>
    <w:rsid w:val="004F6F23"/>
    <w:rsid w:val="005007E5"/>
    <w:rsid w:val="00502776"/>
    <w:rsid w:val="00523411"/>
    <w:rsid w:val="00551573"/>
    <w:rsid w:val="00557AD4"/>
    <w:rsid w:val="00566659"/>
    <w:rsid w:val="0058128F"/>
    <w:rsid w:val="00581A53"/>
    <w:rsid w:val="00583524"/>
    <w:rsid w:val="005966CA"/>
    <w:rsid w:val="005A2B30"/>
    <w:rsid w:val="005A7496"/>
    <w:rsid w:val="005B067A"/>
    <w:rsid w:val="005D0494"/>
    <w:rsid w:val="005D3A62"/>
    <w:rsid w:val="005D3DB1"/>
    <w:rsid w:val="005F1FB6"/>
    <w:rsid w:val="005F4848"/>
    <w:rsid w:val="005F61D5"/>
    <w:rsid w:val="00600C29"/>
    <w:rsid w:val="00602BA5"/>
    <w:rsid w:val="006035C5"/>
    <w:rsid w:val="0061655D"/>
    <w:rsid w:val="00632DBD"/>
    <w:rsid w:val="00635664"/>
    <w:rsid w:val="00637CE7"/>
    <w:rsid w:val="00647A6D"/>
    <w:rsid w:val="00647ADD"/>
    <w:rsid w:val="00650721"/>
    <w:rsid w:val="006525C9"/>
    <w:rsid w:val="00655345"/>
    <w:rsid w:val="00663279"/>
    <w:rsid w:val="006636DE"/>
    <w:rsid w:val="00674100"/>
    <w:rsid w:val="00675E59"/>
    <w:rsid w:val="00680938"/>
    <w:rsid w:val="00687417"/>
    <w:rsid w:val="006914AA"/>
    <w:rsid w:val="00691842"/>
    <w:rsid w:val="00695786"/>
    <w:rsid w:val="006967ED"/>
    <w:rsid w:val="006B2CBF"/>
    <w:rsid w:val="006C4148"/>
    <w:rsid w:val="006D6357"/>
    <w:rsid w:val="006E3804"/>
    <w:rsid w:val="006F751C"/>
    <w:rsid w:val="0071048B"/>
    <w:rsid w:val="00713DE9"/>
    <w:rsid w:val="00717A0F"/>
    <w:rsid w:val="00723BFA"/>
    <w:rsid w:val="00732985"/>
    <w:rsid w:val="00736738"/>
    <w:rsid w:val="00754799"/>
    <w:rsid w:val="00754ECF"/>
    <w:rsid w:val="00767EF2"/>
    <w:rsid w:val="007742A1"/>
    <w:rsid w:val="00784A7A"/>
    <w:rsid w:val="00784EE0"/>
    <w:rsid w:val="00786F04"/>
    <w:rsid w:val="007967CC"/>
    <w:rsid w:val="007A0F65"/>
    <w:rsid w:val="007A3797"/>
    <w:rsid w:val="007A5AA5"/>
    <w:rsid w:val="007B1C1D"/>
    <w:rsid w:val="007D654F"/>
    <w:rsid w:val="007F5630"/>
    <w:rsid w:val="00802ED4"/>
    <w:rsid w:val="008034DE"/>
    <w:rsid w:val="008044E7"/>
    <w:rsid w:val="008145B2"/>
    <w:rsid w:val="008152F1"/>
    <w:rsid w:val="00816285"/>
    <w:rsid w:val="0082494C"/>
    <w:rsid w:val="00831C6C"/>
    <w:rsid w:val="00831FCE"/>
    <w:rsid w:val="008335D8"/>
    <w:rsid w:val="00846C2B"/>
    <w:rsid w:val="00850270"/>
    <w:rsid w:val="0085462F"/>
    <w:rsid w:val="00856551"/>
    <w:rsid w:val="00864A49"/>
    <w:rsid w:val="00870F2C"/>
    <w:rsid w:val="008737E9"/>
    <w:rsid w:val="00876CDF"/>
    <w:rsid w:val="0088386A"/>
    <w:rsid w:val="008856BE"/>
    <w:rsid w:val="008874B0"/>
    <w:rsid w:val="008A0FE2"/>
    <w:rsid w:val="008A6C74"/>
    <w:rsid w:val="008B1531"/>
    <w:rsid w:val="008B5EB2"/>
    <w:rsid w:val="008D3B49"/>
    <w:rsid w:val="008E0B7A"/>
    <w:rsid w:val="008E5B7E"/>
    <w:rsid w:val="008F076F"/>
    <w:rsid w:val="008F5DE0"/>
    <w:rsid w:val="00904ECA"/>
    <w:rsid w:val="00907C2A"/>
    <w:rsid w:val="00911966"/>
    <w:rsid w:val="00916CDA"/>
    <w:rsid w:val="0092054D"/>
    <w:rsid w:val="0093356A"/>
    <w:rsid w:val="0094412D"/>
    <w:rsid w:val="00960607"/>
    <w:rsid w:val="00971482"/>
    <w:rsid w:val="00974255"/>
    <w:rsid w:val="009831F9"/>
    <w:rsid w:val="00983DAD"/>
    <w:rsid w:val="0098596C"/>
    <w:rsid w:val="009C085F"/>
    <w:rsid w:val="009C1B7A"/>
    <w:rsid w:val="009D1077"/>
    <w:rsid w:val="009D177C"/>
    <w:rsid w:val="009E280E"/>
    <w:rsid w:val="009E4AB2"/>
    <w:rsid w:val="009E57C7"/>
    <w:rsid w:val="009E64A1"/>
    <w:rsid w:val="009E73C5"/>
    <w:rsid w:val="009F7683"/>
    <w:rsid w:val="00A22046"/>
    <w:rsid w:val="00A2446F"/>
    <w:rsid w:val="00A26872"/>
    <w:rsid w:val="00A31286"/>
    <w:rsid w:val="00A32DFE"/>
    <w:rsid w:val="00A40B13"/>
    <w:rsid w:val="00A47348"/>
    <w:rsid w:val="00A62267"/>
    <w:rsid w:val="00A6314E"/>
    <w:rsid w:val="00A632E5"/>
    <w:rsid w:val="00A81824"/>
    <w:rsid w:val="00A8207B"/>
    <w:rsid w:val="00A92F42"/>
    <w:rsid w:val="00AA010C"/>
    <w:rsid w:val="00AA15B8"/>
    <w:rsid w:val="00AA2CE9"/>
    <w:rsid w:val="00AB0DC0"/>
    <w:rsid w:val="00AB55DD"/>
    <w:rsid w:val="00AC7E90"/>
    <w:rsid w:val="00AD3ED5"/>
    <w:rsid w:val="00AE4EF3"/>
    <w:rsid w:val="00AE753C"/>
    <w:rsid w:val="00AF4F87"/>
    <w:rsid w:val="00B04421"/>
    <w:rsid w:val="00B04C69"/>
    <w:rsid w:val="00B0603D"/>
    <w:rsid w:val="00B130C9"/>
    <w:rsid w:val="00B15C30"/>
    <w:rsid w:val="00B30684"/>
    <w:rsid w:val="00B369BF"/>
    <w:rsid w:val="00B445E2"/>
    <w:rsid w:val="00B566B7"/>
    <w:rsid w:val="00B57E20"/>
    <w:rsid w:val="00B64F55"/>
    <w:rsid w:val="00B85876"/>
    <w:rsid w:val="00B913C0"/>
    <w:rsid w:val="00B92A44"/>
    <w:rsid w:val="00BA3586"/>
    <w:rsid w:val="00BA6482"/>
    <w:rsid w:val="00BC53D5"/>
    <w:rsid w:val="00BD1270"/>
    <w:rsid w:val="00BD27B2"/>
    <w:rsid w:val="00BF2AC1"/>
    <w:rsid w:val="00BF3688"/>
    <w:rsid w:val="00BF7967"/>
    <w:rsid w:val="00C06A74"/>
    <w:rsid w:val="00C10739"/>
    <w:rsid w:val="00C13FED"/>
    <w:rsid w:val="00C201F9"/>
    <w:rsid w:val="00C242BA"/>
    <w:rsid w:val="00C343B9"/>
    <w:rsid w:val="00C35B66"/>
    <w:rsid w:val="00C4633F"/>
    <w:rsid w:val="00C52428"/>
    <w:rsid w:val="00C53E61"/>
    <w:rsid w:val="00C61C6A"/>
    <w:rsid w:val="00C67451"/>
    <w:rsid w:val="00C679A3"/>
    <w:rsid w:val="00C73204"/>
    <w:rsid w:val="00C94960"/>
    <w:rsid w:val="00C94D57"/>
    <w:rsid w:val="00CA3B3A"/>
    <w:rsid w:val="00CA6112"/>
    <w:rsid w:val="00CB62FE"/>
    <w:rsid w:val="00CC3ECA"/>
    <w:rsid w:val="00CC66EB"/>
    <w:rsid w:val="00CC6D0D"/>
    <w:rsid w:val="00CF2BEF"/>
    <w:rsid w:val="00D02E3D"/>
    <w:rsid w:val="00D06F7F"/>
    <w:rsid w:val="00D10975"/>
    <w:rsid w:val="00D13E85"/>
    <w:rsid w:val="00D4038B"/>
    <w:rsid w:val="00D5573B"/>
    <w:rsid w:val="00D60CCE"/>
    <w:rsid w:val="00D61D4A"/>
    <w:rsid w:val="00D67CF5"/>
    <w:rsid w:val="00D701B9"/>
    <w:rsid w:val="00D77CED"/>
    <w:rsid w:val="00D82B1C"/>
    <w:rsid w:val="00D85769"/>
    <w:rsid w:val="00D971F8"/>
    <w:rsid w:val="00DA1062"/>
    <w:rsid w:val="00DA1F50"/>
    <w:rsid w:val="00DB2A73"/>
    <w:rsid w:val="00DC17E2"/>
    <w:rsid w:val="00DC535A"/>
    <w:rsid w:val="00DD40D3"/>
    <w:rsid w:val="00DD5E58"/>
    <w:rsid w:val="00DE6BA9"/>
    <w:rsid w:val="00DF1740"/>
    <w:rsid w:val="00E041F9"/>
    <w:rsid w:val="00E06566"/>
    <w:rsid w:val="00E1117E"/>
    <w:rsid w:val="00E14C3A"/>
    <w:rsid w:val="00E25EFA"/>
    <w:rsid w:val="00E32003"/>
    <w:rsid w:val="00E4457F"/>
    <w:rsid w:val="00E51C8B"/>
    <w:rsid w:val="00E617D1"/>
    <w:rsid w:val="00E62409"/>
    <w:rsid w:val="00E625D8"/>
    <w:rsid w:val="00E70FC0"/>
    <w:rsid w:val="00E742F1"/>
    <w:rsid w:val="00EA205C"/>
    <w:rsid w:val="00EA2F58"/>
    <w:rsid w:val="00EA739D"/>
    <w:rsid w:val="00EB35C3"/>
    <w:rsid w:val="00EB67CB"/>
    <w:rsid w:val="00EC409C"/>
    <w:rsid w:val="00ED6B8E"/>
    <w:rsid w:val="00EE545B"/>
    <w:rsid w:val="00F03C09"/>
    <w:rsid w:val="00F04BC0"/>
    <w:rsid w:val="00F06D0B"/>
    <w:rsid w:val="00F20557"/>
    <w:rsid w:val="00F26B1C"/>
    <w:rsid w:val="00F32484"/>
    <w:rsid w:val="00F5149C"/>
    <w:rsid w:val="00F53D26"/>
    <w:rsid w:val="00F571AD"/>
    <w:rsid w:val="00F61774"/>
    <w:rsid w:val="00F654DB"/>
    <w:rsid w:val="00F86DD5"/>
    <w:rsid w:val="00FA6508"/>
    <w:rsid w:val="00FB203B"/>
    <w:rsid w:val="00FC2C77"/>
    <w:rsid w:val="00FC4F88"/>
    <w:rsid w:val="00FC5836"/>
    <w:rsid w:val="00FD333D"/>
    <w:rsid w:val="00FD37F9"/>
    <w:rsid w:val="00FD4CF6"/>
    <w:rsid w:val="00FD7DC6"/>
    <w:rsid w:val="00FE2D42"/>
    <w:rsid w:val="00FE516E"/>
    <w:rsid w:val="00FF2E20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069D"/>
  <w15:chartTrackingRefBased/>
  <w15:docId w15:val="{87D43152-8AC3-4D4C-9DD5-55B14D53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2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FE"/>
  </w:style>
  <w:style w:type="paragraph" w:styleId="Footer">
    <w:name w:val="footer"/>
    <w:basedOn w:val="Normal"/>
    <w:link w:val="FooterChar"/>
    <w:uiPriority w:val="99"/>
    <w:unhideWhenUsed/>
    <w:rsid w:val="00A32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FE"/>
  </w:style>
  <w:style w:type="paragraph" w:styleId="ListParagraph">
    <w:name w:val="List Paragraph"/>
    <w:basedOn w:val="Normal"/>
    <w:uiPriority w:val="34"/>
    <w:qFormat/>
    <w:rsid w:val="005A7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21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1D0"/>
    <w:pPr>
      <w:numPr>
        <w:ilvl w:val="1"/>
      </w:numPr>
      <w:spacing w:after="160"/>
      <w:ind w:firstLine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1D0"/>
    <w:rPr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3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33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2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4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D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0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E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t-Chin/Risk_Perspective_Pap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111A-A85E-48DC-913D-DBA7282E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8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Vincent</dc:creator>
  <cp:keywords/>
  <dc:description/>
  <cp:lastModifiedBy>Chin, Vincent</cp:lastModifiedBy>
  <cp:revision>383</cp:revision>
  <dcterms:created xsi:type="dcterms:W3CDTF">2019-04-28T23:50:00Z</dcterms:created>
  <dcterms:modified xsi:type="dcterms:W3CDTF">2019-04-30T18:51:00Z</dcterms:modified>
</cp:coreProperties>
</file>