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ind w:firstLine="720"/>
        <w:jc w:val="center"/>
        <w:rPr/>
      </w:pPr>
      <w:bookmarkStart w:colFirst="0" w:colLast="0" w:name="_kxp9biwwa1ji" w:id="0"/>
      <w:bookmarkEnd w:id="0"/>
      <w:r w:rsidDel="00000000" w:rsidR="00000000" w:rsidRPr="00000000">
        <w:rPr>
          <w:rtl w:val="0"/>
        </w:rPr>
        <w:t xml:space="preserve">ETF Algorithm Research</w:t>
      </w:r>
    </w:p>
    <w:p w:rsidR="00000000" w:rsidDel="00000000" w:rsidP="00000000" w:rsidRDefault="00000000" w:rsidRPr="00000000" w14:paraId="0000000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Idea: combination of DCA and Trend-following Strategies</w:t>
      </w:r>
    </w:p>
    <w:p w:rsidR="00000000" w:rsidDel="00000000" w:rsidP="00000000" w:rsidRDefault="00000000" w:rsidRPr="00000000" w14:paraId="0000000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Dollar-Cost Averaging (DCA)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Basic idea: </w:t>
      </w:r>
      <w:r w:rsidDel="00000000" w:rsidR="00000000" w:rsidRPr="00000000">
        <w:rPr>
          <w:color w:val="111111"/>
          <w:highlight w:val="white"/>
          <w:rtl w:val="0"/>
        </w:rPr>
        <w:t xml:space="preserve">DCA is the technique of buying a certain 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fixed-dollar</w:t>
      </w:r>
      <w:r w:rsidDel="00000000" w:rsidR="00000000" w:rsidRPr="00000000">
        <w:rPr>
          <w:color w:val="11111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amount</w:t>
      </w:r>
      <w:r w:rsidDel="00000000" w:rsidR="00000000" w:rsidRPr="00000000">
        <w:rPr>
          <w:color w:val="111111"/>
          <w:highlight w:val="white"/>
          <w:rtl w:val="0"/>
        </w:rPr>
        <w:t xml:space="preserve"> of an asset on a regular schedule, regardless of the 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changing cost of the asset</w:t>
      </w:r>
      <w:r w:rsidDel="00000000" w:rsidR="00000000" w:rsidRPr="00000000">
        <w:rPr>
          <w:color w:val="11111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0"/>
          <w:numId w:val="1"/>
        </w:numPr>
        <w:spacing w:after="0" w:before="0" w:line="360" w:lineRule="auto"/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Trend-following Strategies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111111"/>
          <w:highlight w:val="white"/>
          <w:rtl w:val="0"/>
        </w:rPr>
        <w:t xml:space="preserve">Basic idea: follow trends in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moving averages</w:t>
        </w:r>
      </w:hyperlink>
      <w:r w:rsidDel="00000000" w:rsidR="00000000" w:rsidRPr="00000000">
        <w:rPr>
          <w:color w:val="111111"/>
          <w:highlight w:val="white"/>
          <w:rtl w:val="0"/>
        </w:rPr>
        <w:t xml:space="preserve">, channel breakouts, price level movements, and related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technical indicators</w:t>
        </w:r>
      </w:hyperlink>
      <w:r w:rsidDel="00000000" w:rsidR="00000000" w:rsidRPr="00000000">
        <w:rPr>
          <w:color w:val="11111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To start, we might focus on moving average first, with analysis on 50-day average &amp; 200-day average (see screenshot below)</w:t>
      </w:r>
      <w:r w:rsidDel="00000000" w:rsidR="00000000" w:rsidRPr="00000000">
        <w:rPr>
          <w:color w:val="111111"/>
          <w:highlight w:val="white"/>
        </w:rPr>
        <w:drawing>
          <wp:inline distB="114300" distT="114300" distL="114300" distR="114300">
            <wp:extent cx="5243513" cy="124759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247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Basics of Algorithmic Trading: Concepts and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0"/>
          <w:numId w:val="2"/>
        </w:numPr>
        <w:spacing w:before="0" w:beforeAutospacing="0" w:line="264" w:lineRule="auto"/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7 Best ETF Trading Strategies for 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Dual Moving Average Crossover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spacing w:before="480" w:line="264" w:lineRule="auto"/>
        <w:rPr/>
      </w:pPr>
      <w:r w:rsidDel="00000000" w:rsidR="00000000" w:rsidRPr="00000000">
        <w:rPr>
          <w:rtl w:val="0"/>
        </w:rPr>
        <w:t xml:space="preserve">VWAP(Volume weighted Average price) + V-EMA (Volume weighted exponential moving average)</w:t>
      </w:r>
    </w:p>
    <w:p w:rsidR="00000000" w:rsidDel="00000000" w:rsidP="00000000" w:rsidRDefault="00000000" w:rsidRPr="00000000" w14:paraId="0000000F">
      <w:pPr>
        <w:keepNext w:val="0"/>
        <w:keepLines w:val="0"/>
        <w:spacing w:before="480" w:line="264" w:lineRule="auto"/>
        <w:rPr/>
      </w:pPr>
      <w:r w:rsidDel="00000000" w:rsidR="00000000" w:rsidRPr="00000000">
        <w:rPr>
          <w:rtl w:val="0"/>
        </w:rPr>
        <w:t xml:space="preserve">Using VWAP and V-EMA to price shares is probably more useful than just using simple moving averages because it takes into account the volume of shares being traded </w:t>
      </w:r>
    </w:p>
    <w:p w:rsidR="00000000" w:rsidDel="00000000" w:rsidP="00000000" w:rsidRDefault="00000000" w:rsidRPr="00000000" w14:paraId="00000010">
      <w:pPr>
        <w:keepNext w:val="0"/>
        <w:keepLines w:val="0"/>
        <w:spacing w:before="480" w:line="264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https://empirica.io/blog/vwap-algorithm/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spacing w:before="480" w:line="264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https://www.cis.upenn.edu/~mkearns/papers/vwap.pdf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480" w:line="264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spacing w:before="480" w:line="264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https://www.financialwisdomforum.org/gummy-stuff/EMA.htm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spacing w:before="48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spacing w:before="480" w:line="264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vestopedia.com/articles/active-trading/101014/basics-algorithmic-trading-concepts-and-examples.asp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youtube.com/watch?v=SEQbb8w7VTw" TargetMode="External"/><Relationship Id="rId12" Type="http://schemas.openxmlformats.org/officeDocument/2006/relationships/hyperlink" Target="https://www.investopedia.com/articles/investing/090115/7-best-etf-trading-strategies-beginners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vestopedia.com/terms/t/technicalindicator.asp" TargetMode="External"/><Relationship Id="rId15" Type="http://schemas.openxmlformats.org/officeDocument/2006/relationships/hyperlink" Target="https://www.cis.upenn.edu/~mkearns/papers/vwap.pdf" TargetMode="External"/><Relationship Id="rId14" Type="http://schemas.openxmlformats.org/officeDocument/2006/relationships/hyperlink" Target="https://empirica.io/blog/vwap-algorithm/" TargetMode="External"/><Relationship Id="rId17" Type="http://schemas.openxmlformats.org/officeDocument/2006/relationships/hyperlink" Target="https://www.financialwisdomforum.org/gummy-stuff/EMA.htm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investopedia.com/terms/d/dollarcostaveraging.asp" TargetMode="External"/><Relationship Id="rId7" Type="http://schemas.openxmlformats.org/officeDocument/2006/relationships/hyperlink" Target="https://en.wikipedia.org/wiki/Trend_following" TargetMode="External"/><Relationship Id="rId8" Type="http://schemas.openxmlformats.org/officeDocument/2006/relationships/hyperlink" Target="https://www.investopedia.com/terms/m/movingaverag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