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2CE45">
      <w:pPr>
        <w:keepNext w:val="0"/>
        <w:keepLines w:val="0"/>
        <w:pageBreakBefore w:val="0"/>
        <w:widowControl w:val="0"/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221" w:right="66" w:hanging="221" w:hangingChars="100"/>
        <w:jc w:val="left"/>
        <w:textAlignment w:val="auto"/>
        <w:rPr>
          <w:rFonts w:hint="eastAsia" w:eastAsia="楷体"/>
          <w:b/>
          <w:sz w:val="22"/>
          <w:szCs w:val="28"/>
          <w:lang w:val="en-US" w:eastAsia="zh-CN"/>
        </w:rPr>
      </w:pPr>
      <w:r>
        <w:rPr>
          <w:rFonts w:eastAsia="楷体"/>
          <w:b/>
          <w:sz w:val="22"/>
          <w:szCs w:val="28"/>
        </w:rPr>
        <w:t>202</w:t>
      </w:r>
      <w:r>
        <w:rPr>
          <w:rFonts w:hint="eastAsia" w:eastAsia="楷体"/>
          <w:b/>
          <w:sz w:val="22"/>
          <w:szCs w:val="28"/>
        </w:rPr>
        <w:t>1</w:t>
      </w:r>
      <w:r>
        <w:rPr>
          <w:rFonts w:eastAsia="楷体"/>
          <w:b/>
          <w:sz w:val="22"/>
          <w:szCs w:val="28"/>
        </w:rPr>
        <w:t>.09-202</w:t>
      </w:r>
      <w:r>
        <w:rPr>
          <w:rFonts w:hint="eastAsia" w:eastAsia="楷体"/>
          <w:b/>
          <w:sz w:val="22"/>
          <w:szCs w:val="28"/>
        </w:rPr>
        <w:t>5</w:t>
      </w:r>
      <w:r>
        <w:rPr>
          <w:rFonts w:eastAsia="楷体"/>
          <w:b/>
          <w:sz w:val="22"/>
          <w:szCs w:val="28"/>
        </w:rPr>
        <w:t>.0</w:t>
      </w:r>
      <w:r>
        <w:rPr>
          <w:rFonts w:hint="eastAsia" w:eastAsia="楷体"/>
          <w:b/>
          <w:sz w:val="22"/>
          <w:szCs w:val="28"/>
          <w:lang w:val="en-US" w:eastAsia="zh-CN"/>
        </w:rPr>
        <w:t>6</w:t>
      </w:r>
    </w:p>
    <w:p w14:paraId="594D2730">
      <w:pPr>
        <w:keepNext w:val="0"/>
        <w:keepLines w:val="0"/>
        <w:pageBreakBefore w:val="0"/>
        <w:widowControl w:val="0"/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221" w:right="66" w:hanging="221" w:hangingChars="100"/>
        <w:jc w:val="left"/>
        <w:textAlignment w:val="auto"/>
        <w:rPr>
          <w:rFonts w:hint="eastAsia" w:eastAsia="楷体"/>
          <w:b/>
          <w:sz w:val="22"/>
          <w:lang w:eastAsia="zh-CN"/>
        </w:rPr>
      </w:pPr>
      <w:r>
        <w:rPr>
          <w:rFonts w:hint="eastAsia" w:eastAsia="楷体"/>
          <w:b/>
          <w:sz w:val="22"/>
        </w:rPr>
        <w:t>中南财经政法大学</w:t>
      </w:r>
      <w:r>
        <w:rPr>
          <w:rFonts w:hint="eastAsia" w:eastAsia="楷体"/>
          <w:b/>
          <w:sz w:val="22"/>
          <w:lang w:val="en-US" w:eastAsia="zh-CN"/>
        </w:rPr>
        <w:t xml:space="preserve"> </w:t>
      </w:r>
      <w:r>
        <w:rPr>
          <w:rFonts w:hint="eastAsia" w:eastAsia="楷体"/>
          <w:b/>
          <w:sz w:val="22"/>
        </w:rPr>
        <w:t>统计学</w:t>
      </w:r>
    </w:p>
    <w:p w14:paraId="5834BE5F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397" w:hanging="397"/>
        <w:textAlignment w:val="auto"/>
        <w:rPr>
          <w:rFonts w:eastAsia="楷体"/>
          <w:color w:val="auto"/>
          <w:sz w:val="22"/>
          <w:szCs w:val="22"/>
        </w:rPr>
      </w:pPr>
      <w:r>
        <w:rPr>
          <w:rFonts w:eastAsia="楷体"/>
          <w:b/>
          <w:bCs/>
          <w:color w:val="auto"/>
          <w:sz w:val="22"/>
        </w:rPr>
        <w:t>GPA</w:t>
      </w:r>
      <w:r>
        <w:rPr>
          <w:rFonts w:eastAsia="楷体"/>
          <w:color w:val="auto"/>
          <w:sz w:val="22"/>
        </w:rPr>
        <w:t>：</w:t>
      </w:r>
      <w:r>
        <w:rPr>
          <w:rFonts w:hint="eastAsia" w:eastAsia="楷体"/>
          <w:color w:val="auto"/>
          <w:sz w:val="22"/>
          <w:lang w:val="en-US" w:eastAsia="zh-CN"/>
        </w:rPr>
        <w:t>3.93</w:t>
      </w:r>
      <w:r>
        <w:rPr>
          <w:rFonts w:hint="eastAsia" w:eastAsia="楷体"/>
          <w:color w:val="auto"/>
          <w:sz w:val="22"/>
        </w:rPr>
        <w:t>/</w:t>
      </w:r>
      <w:r>
        <w:rPr>
          <w:rFonts w:hint="eastAsia" w:eastAsia="楷体"/>
          <w:color w:val="auto"/>
          <w:sz w:val="22"/>
          <w:lang w:val="en-US" w:eastAsia="zh-CN"/>
        </w:rPr>
        <w:t>4.0</w:t>
      </w:r>
    </w:p>
    <w:p w14:paraId="1D7BE5CA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397" w:hanging="397"/>
        <w:textAlignment w:val="auto"/>
        <w:rPr>
          <w:rFonts w:eastAsia="楷体"/>
          <w:sz w:val="22"/>
          <w:szCs w:val="22"/>
        </w:rPr>
      </w:pPr>
      <w:r>
        <w:rPr>
          <w:rFonts w:hint="eastAsia" w:ascii="Times New Roman" w:hAnsi="Times New Roman" w:eastAsia="楷体"/>
          <w:sz w:val="22"/>
          <w:lang w:val="en-US" w:eastAsia="zh-CN"/>
        </w:rPr>
        <w:t>校级优秀</w:t>
      </w:r>
      <w:r>
        <w:rPr>
          <w:rFonts w:ascii="Times New Roman" w:hAnsi="Times New Roman" w:eastAsia="楷体"/>
          <w:sz w:val="22"/>
        </w:rPr>
        <w:t>学生奖学金</w:t>
      </w:r>
      <w:r>
        <w:rPr>
          <w:rFonts w:hint="eastAsia" w:eastAsia="楷体"/>
          <w:sz w:val="22"/>
          <w:lang w:val="en-US" w:eastAsia="zh-CN"/>
        </w:rPr>
        <w:t>|</w:t>
      </w:r>
      <w:r>
        <w:rPr>
          <w:rFonts w:hint="eastAsia" w:ascii="Times New Roman" w:hAnsi="Times New Roman" w:eastAsia="楷体"/>
          <w:b w:val="0"/>
          <w:bCs w:val="0"/>
          <w:sz w:val="22"/>
          <w:lang w:val="en-US" w:eastAsia="zh-CN"/>
        </w:rPr>
        <w:t>全国大学生统计建模大赛国赛三等奖</w:t>
      </w:r>
    </w:p>
    <w:p w14:paraId="2EB493A5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397" w:hanging="397"/>
        <w:textAlignment w:val="auto"/>
        <w:rPr>
          <w:rFonts w:eastAsia="楷体"/>
          <w:sz w:val="22"/>
          <w:szCs w:val="22"/>
        </w:rPr>
      </w:pPr>
      <w:r>
        <w:rPr>
          <w:rFonts w:hint="eastAsia" w:eastAsia="楷体"/>
          <w:sz w:val="22"/>
          <w:szCs w:val="22"/>
          <w:lang w:val="en-US" w:eastAsia="zh-CN"/>
        </w:rPr>
        <w:t>本科的学习让我打下了坚实的统计学基础，在中南财的四年让我坚定未来数据分析师的职业发展路径</w:t>
      </w:r>
    </w:p>
    <w:p w14:paraId="64FB1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both"/>
        <w:textAlignment w:val="auto"/>
        <w:rPr>
          <w:rFonts w:hint="eastAsia" w:eastAsia="楷体"/>
          <w:b/>
          <w:sz w:val="22"/>
          <w:lang w:val="en-US" w:eastAsia="zh-CN"/>
        </w:rPr>
      </w:pPr>
      <w:bookmarkStart w:id="0" w:name="_GoBack"/>
      <w:bookmarkEnd w:id="0"/>
      <w:r>
        <w:rPr>
          <w:rFonts w:eastAsia="楷体"/>
          <w:b/>
          <w:sz w:val="22"/>
        </w:rPr>
        <w:t>202</w:t>
      </w:r>
      <w:r>
        <w:rPr>
          <w:rFonts w:hint="eastAsia" w:eastAsia="楷体"/>
          <w:b/>
          <w:sz w:val="22"/>
          <w:lang w:val="en-US" w:eastAsia="zh-CN"/>
        </w:rPr>
        <w:t>4</w:t>
      </w:r>
      <w:r>
        <w:rPr>
          <w:rFonts w:eastAsia="楷体"/>
          <w:b/>
          <w:sz w:val="22"/>
        </w:rPr>
        <w:t>.</w:t>
      </w:r>
      <w:r>
        <w:rPr>
          <w:rFonts w:hint="eastAsia" w:eastAsia="楷体"/>
          <w:b/>
          <w:sz w:val="22"/>
          <w:lang w:val="en-US" w:eastAsia="zh-CN"/>
        </w:rPr>
        <w:t>10</w:t>
      </w:r>
      <w:r>
        <w:rPr>
          <w:rFonts w:eastAsia="楷体"/>
          <w:b/>
          <w:sz w:val="22"/>
        </w:rPr>
        <w:t>-202</w:t>
      </w:r>
      <w:r>
        <w:rPr>
          <w:rFonts w:hint="eastAsia" w:eastAsia="楷体"/>
          <w:b/>
          <w:sz w:val="22"/>
          <w:lang w:val="en-US" w:eastAsia="zh-CN"/>
        </w:rPr>
        <w:t>5</w:t>
      </w:r>
      <w:r>
        <w:rPr>
          <w:rFonts w:eastAsia="楷体"/>
          <w:b/>
          <w:sz w:val="22"/>
        </w:rPr>
        <w:t>.0</w:t>
      </w:r>
      <w:r>
        <w:rPr>
          <w:rFonts w:hint="eastAsia" w:eastAsia="楷体"/>
          <w:b/>
          <w:sz w:val="22"/>
          <w:lang w:val="en-US" w:eastAsia="zh-CN"/>
        </w:rPr>
        <w:t>1</w:t>
      </w:r>
    </w:p>
    <w:p w14:paraId="56C7E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both"/>
        <w:textAlignment w:val="auto"/>
        <w:rPr>
          <w:rFonts w:eastAsia="楷体"/>
          <w:b/>
          <w:sz w:val="22"/>
          <w:szCs w:val="22"/>
        </w:rPr>
      </w:pPr>
      <w:r>
        <w:rPr>
          <w:rFonts w:hint="eastAsia" w:eastAsia="楷体"/>
          <w:b/>
          <w:sz w:val="22"/>
          <w:szCs w:val="22"/>
          <w:lang w:val="en-US" w:eastAsia="zh-CN"/>
        </w:rPr>
        <w:t>国泰海通证券·有色新材料组行业分析实习生（新财富）</w:t>
      </w:r>
    </w:p>
    <w:p w14:paraId="7DD0021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397" w:hanging="397"/>
        <w:jc w:val="both"/>
        <w:textAlignment w:val="auto"/>
        <w:rPr>
          <w:rFonts w:eastAsia="楷体"/>
          <w:bCs/>
          <w:sz w:val="22"/>
          <w:szCs w:val="22"/>
          <w:highlight w:val="none"/>
        </w:rPr>
      </w:pPr>
      <w:r>
        <w:rPr>
          <w:rFonts w:hint="eastAsia" w:eastAsia="楷体"/>
          <w:b w:val="0"/>
          <w:bCs/>
          <w:sz w:val="22"/>
          <w:szCs w:val="22"/>
          <w:highlight w:val="none"/>
          <w:lang w:val="en-US" w:eastAsia="zh-CN"/>
        </w:rPr>
        <w:t>参与行业研究，拆解目标公司三大业务板块，分析公司的行业规模、产品矩阵、竞争格局及目标公司在汽车与电子电器领域的需求情况。</w:t>
      </w:r>
    </w:p>
    <w:p w14:paraId="5277913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397" w:hanging="397"/>
        <w:jc w:val="both"/>
        <w:textAlignment w:val="auto"/>
        <w:rPr>
          <w:rFonts w:eastAsia="楷体"/>
          <w:sz w:val="22"/>
          <w:szCs w:val="22"/>
        </w:rPr>
      </w:pPr>
      <w:r>
        <w:rPr>
          <w:rFonts w:hint="eastAsia" w:eastAsia="楷体"/>
          <w:bCs/>
          <w:sz w:val="22"/>
          <w:szCs w:val="22"/>
          <w:highlight w:val="none"/>
          <w:lang w:val="en-US" w:eastAsia="zh-CN"/>
        </w:rPr>
        <w:t>收集有色金属行业市场规模情况，对有色市场表现进行整合分析，计算渗透率和市占率等协助完成对有色金属产业的未来趋势预测。</w:t>
      </w:r>
    </w:p>
    <w:p w14:paraId="1854EF01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/>
          <w:sz w:val="22"/>
          <w:lang w:val="en-US" w:eastAsia="zh-CN"/>
        </w:rPr>
      </w:pPr>
      <w:r>
        <w:rPr>
          <w:rFonts w:hint="eastAsia" w:eastAsia="楷体"/>
          <w:b/>
          <w:sz w:val="22"/>
          <w:szCs w:val="22"/>
          <w:lang w:val="en-US" w:eastAsia="zh-CN"/>
        </w:rPr>
        <w:t xml:space="preserve"> </w:t>
      </w:r>
      <w:r>
        <w:rPr>
          <w:rFonts w:eastAsia="楷体"/>
          <w:b/>
          <w:sz w:val="22"/>
        </w:rPr>
        <w:t>202</w:t>
      </w:r>
      <w:r>
        <w:rPr>
          <w:rFonts w:hint="eastAsia" w:eastAsia="楷体"/>
          <w:b/>
          <w:sz w:val="22"/>
          <w:lang w:val="en-US" w:eastAsia="zh-CN"/>
        </w:rPr>
        <w:t>5</w:t>
      </w:r>
      <w:r>
        <w:rPr>
          <w:rFonts w:eastAsia="楷体"/>
          <w:b/>
          <w:sz w:val="22"/>
        </w:rPr>
        <w:t>.0</w:t>
      </w:r>
      <w:r>
        <w:rPr>
          <w:rFonts w:hint="eastAsia" w:eastAsia="楷体"/>
          <w:b/>
          <w:sz w:val="22"/>
          <w:lang w:val="en-US" w:eastAsia="zh-CN"/>
        </w:rPr>
        <w:t>2</w:t>
      </w:r>
      <w:r>
        <w:rPr>
          <w:rFonts w:eastAsia="楷体"/>
          <w:b/>
          <w:sz w:val="22"/>
        </w:rPr>
        <w:t>-202</w:t>
      </w:r>
      <w:r>
        <w:rPr>
          <w:rFonts w:hint="eastAsia" w:eastAsia="楷体"/>
          <w:b/>
          <w:sz w:val="22"/>
          <w:lang w:val="en-US" w:eastAsia="zh-CN"/>
        </w:rPr>
        <w:t>5</w:t>
      </w:r>
      <w:r>
        <w:rPr>
          <w:rFonts w:eastAsia="楷体"/>
          <w:b/>
          <w:sz w:val="22"/>
        </w:rPr>
        <w:t>.0</w:t>
      </w:r>
      <w:r>
        <w:rPr>
          <w:rFonts w:hint="eastAsia" w:eastAsia="楷体"/>
          <w:b/>
          <w:sz w:val="22"/>
          <w:lang w:val="en-US" w:eastAsia="zh-CN"/>
        </w:rPr>
        <w:t xml:space="preserve">5 </w:t>
      </w:r>
    </w:p>
    <w:p w14:paraId="5A3D3ECE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/>
          <w:sz w:val="22"/>
          <w:szCs w:val="22"/>
          <w:lang w:val="en-US" w:eastAsia="zh-CN"/>
        </w:rPr>
      </w:pPr>
      <w:r>
        <w:rPr>
          <w:rFonts w:hint="eastAsia" w:eastAsia="楷体"/>
          <w:b/>
          <w:sz w:val="22"/>
          <w:szCs w:val="22"/>
          <w:lang w:val="en-US" w:eastAsia="zh-CN"/>
        </w:rPr>
        <w:t>用友网络科技股份有限公司·数据运营实习生</w:t>
      </w:r>
    </w:p>
    <w:p w14:paraId="0DF04CE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Cs/>
          <w:sz w:val="22"/>
          <w:szCs w:val="22"/>
          <w:highlight w:val="none"/>
        </w:rPr>
      </w:pPr>
      <w:r>
        <w:rPr>
          <w:rFonts w:hint="eastAsia" w:eastAsia="楷体"/>
          <w:bCs/>
          <w:sz w:val="22"/>
          <w:szCs w:val="22"/>
          <w:highlight w:val="none"/>
        </w:rPr>
        <w:t>依托SQL开展数据分析，洞察到续费指标背离的业务异常，挖掘背后产品与体验问题并落地运营优化策略，实现核心续费率显著修复提升。</w:t>
      </w:r>
    </w:p>
    <w:p w14:paraId="11A3B53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/>
          <w:sz w:val="22"/>
          <w:lang w:val="en-US" w:eastAsia="zh-CN"/>
        </w:rPr>
      </w:pP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使用SQL+Tableau工具搭建大数据看板：将标准化的运营指标(产品续费率、续约率等)沉淀为自助的可视化看板，实现核心续费率、续约率等指标数据的实时监控。</w:t>
      </w:r>
    </w:p>
    <w:p w14:paraId="235695C7">
      <w:pPr>
        <w:keepNext w:val="0"/>
        <w:keepLines w:val="0"/>
        <w:pageBreakBefore w:val="0"/>
        <w:widowControl w:val="0"/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221" w:right="66" w:hanging="221" w:hangingChars="100"/>
        <w:jc w:val="left"/>
        <w:textAlignment w:val="auto"/>
        <w:rPr>
          <w:rFonts w:hint="eastAsia" w:eastAsia="楷体"/>
          <w:b/>
          <w:sz w:val="22"/>
          <w:lang w:val="en-US" w:eastAsia="zh-CN"/>
        </w:rPr>
      </w:pPr>
      <w:r>
        <w:rPr>
          <w:rFonts w:hint="eastAsia" w:eastAsia="楷体"/>
          <w:b/>
          <w:sz w:val="22"/>
          <w:lang w:val="en-US" w:eastAsia="zh-CN"/>
        </w:rPr>
        <w:t>2025.09-2027.06</w:t>
      </w:r>
    </w:p>
    <w:p w14:paraId="24C11969">
      <w:pPr>
        <w:keepNext w:val="0"/>
        <w:keepLines w:val="0"/>
        <w:pageBreakBefore w:val="0"/>
        <w:widowControl w:val="0"/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221" w:right="66" w:hanging="221" w:hangingChars="100"/>
        <w:jc w:val="left"/>
        <w:textAlignment w:val="auto"/>
        <w:rPr>
          <w:rFonts w:hint="eastAsia" w:eastAsia="楷体"/>
          <w:b/>
          <w:sz w:val="22"/>
          <w:lang w:val="en-US" w:eastAsia="zh-CN"/>
        </w:rPr>
      </w:pPr>
      <w:r>
        <w:rPr>
          <w:rFonts w:hint="eastAsia" w:eastAsia="楷体"/>
          <w:b/>
          <w:sz w:val="22"/>
          <w:lang w:val="en-US" w:eastAsia="zh-CN"/>
        </w:rPr>
        <w:t>上海财经大学 应用统计学</w:t>
      </w:r>
    </w:p>
    <w:p w14:paraId="0EB95343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397" w:hanging="397"/>
        <w:textAlignment w:val="auto"/>
        <w:rPr>
          <w:rFonts w:hint="default" w:eastAsia="楷体"/>
          <w:b/>
          <w:sz w:val="22"/>
          <w:lang w:val="en-US" w:eastAsia="zh-CN"/>
        </w:rPr>
      </w:pPr>
      <w:r>
        <w:rPr>
          <w:rFonts w:eastAsia="楷体"/>
          <w:b/>
          <w:bCs/>
          <w:color w:val="auto"/>
          <w:sz w:val="22"/>
        </w:rPr>
        <w:t>GPA</w:t>
      </w:r>
      <w:r>
        <w:rPr>
          <w:rFonts w:eastAsia="楷体"/>
          <w:color w:val="auto"/>
          <w:sz w:val="22"/>
        </w:rPr>
        <w:t>：</w:t>
      </w:r>
      <w:r>
        <w:rPr>
          <w:rFonts w:hint="eastAsia" w:eastAsia="楷体"/>
          <w:color w:val="auto"/>
          <w:sz w:val="22"/>
          <w:lang w:val="en-US" w:eastAsia="zh-CN"/>
        </w:rPr>
        <w:t>3.42</w:t>
      </w:r>
      <w:r>
        <w:rPr>
          <w:rFonts w:hint="eastAsia" w:eastAsia="楷体"/>
          <w:color w:val="auto"/>
          <w:sz w:val="22"/>
        </w:rPr>
        <w:t>/</w:t>
      </w:r>
      <w:r>
        <w:rPr>
          <w:rFonts w:hint="eastAsia" w:eastAsia="楷体"/>
          <w:color w:val="auto"/>
          <w:sz w:val="22"/>
          <w:lang w:val="en-US" w:eastAsia="zh-CN"/>
        </w:rPr>
        <w:t>4.0</w:t>
      </w:r>
    </w:p>
    <w:p w14:paraId="0883B5C7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260"/>
          <w:tab w:val="left" w:pos="16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397" w:hanging="397"/>
        <w:textAlignment w:val="auto"/>
        <w:rPr>
          <w:rFonts w:hint="default" w:eastAsia="楷体"/>
          <w:b w:val="0"/>
          <w:bCs/>
          <w:sz w:val="22"/>
          <w:lang w:val="en-US" w:eastAsia="zh-CN"/>
        </w:rPr>
      </w:pPr>
      <w:r>
        <w:rPr>
          <w:rFonts w:hint="eastAsia" w:eastAsia="楷体"/>
          <w:b w:val="0"/>
          <w:bCs/>
          <w:sz w:val="22"/>
          <w:lang w:val="en-US" w:eastAsia="zh-CN"/>
        </w:rPr>
        <w:t>研究生的学习让我对统计学有了更深层次的认识，积累了更多的实习实践经历，目前正在积极探索AI中~、</w:t>
      </w:r>
    </w:p>
    <w:p w14:paraId="7047979C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/>
          <w:sz w:val="22"/>
          <w:szCs w:val="22"/>
          <w:lang w:val="en-US" w:eastAsia="zh-CN"/>
        </w:rPr>
      </w:pPr>
      <w:r>
        <w:rPr>
          <w:rFonts w:eastAsia="楷体"/>
          <w:b/>
          <w:sz w:val="22"/>
        </w:rPr>
        <w:t>202</w:t>
      </w:r>
      <w:r>
        <w:rPr>
          <w:rFonts w:hint="eastAsia" w:eastAsia="楷体"/>
          <w:b/>
          <w:sz w:val="22"/>
          <w:lang w:val="en-US" w:eastAsia="zh-CN"/>
        </w:rPr>
        <w:t>5</w:t>
      </w:r>
      <w:r>
        <w:rPr>
          <w:rFonts w:eastAsia="楷体"/>
          <w:b/>
          <w:sz w:val="22"/>
        </w:rPr>
        <w:t>.0</w:t>
      </w:r>
      <w:r>
        <w:rPr>
          <w:rFonts w:hint="eastAsia" w:eastAsia="楷体"/>
          <w:b/>
          <w:sz w:val="22"/>
          <w:lang w:val="en-US" w:eastAsia="zh-CN"/>
        </w:rPr>
        <w:t>9</w:t>
      </w:r>
      <w:r>
        <w:rPr>
          <w:rFonts w:eastAsia="楷体"/>
          <w:b/>
          <w:sz w:val="22"/>
        </w:rPr>
        <w:t>-202</w:t>
      </w:r>
      <w:r>
        <w:rPr>
          <w:rFonts w:hint="eastAsia" w:eastAsia="楷体"/>
          <w:b/>
          <w:sz w:val="22"/>
          <w:lang w:val="en-US" w:eastAsia="zh-CN"/>
        </w:rPr>
        <w:t>6</w:t>
      </w:r>
      <w:r>
        <w:rPr>
          <w:rFonts w:eastAsia="楷体"/>
          <w:b/>
          <w:sz w:val="22"/>
        </w:rPr>
        <w:t>.0</w:t>
      </w:r>
      <w:r>
        <w:rPr>
          <w:rFonts w:hint="eastAsia" w:eastAsia="楷体"/>
          <w:b/>
          <w:sz w:val="22"/>
          <w:lang w:val="en-US" w:eastAsia="zh-CN"/>
        </w:rPr>
        <w:t>2</w:t>
      </w:r>
    </w:p>
    <w:p w14:paraId="25F88B1A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/>
          <w:sz w:val="22"/>
          <w:szCs w:val="22"/>
          <w:lang w:val="en-US" w:eastAsia="zh-CN"/>
        </w:rPr>
      </w:pPr>
      <w:r>
        <w:rPr>
          <w:rFonts w:hint="eastAsia" w:eastAsia="楷体"/>
          <w:b/>
          <w:sz w:val="22"/>
          <w:szCs w:val="22"/>
          <w:lang w:val="en-US" w:eastAsia="zh-CN"/>
        </w:rPr>
        <w:t xml:space="preserve">美团·数据分析实习生                                              </w:t>
      </w:r>
    </w:p>
    <w:p w14:paraId="5F22BE8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default" w:eastAsia="楷体"/>
          <w:b w:val="0"/>
          <w:bCs/>
          <w:sz w:val="22"/>
          <w:szCs w:val="22"/>
          <w:lang w:val="en-US" w:eastAsia="zh-CN"/>
        </w:rPr>
      </w:pPr>
      <w:r>
        <w:rPr>
          <w:rFonts w:hint="default" w:eastAsia="楷体"/>
          <w:b w:val="0"/>
          <w:bCs/>
          <w:sz w:val="22"/>
          <w:szCs w:val="22"/>
          <w:lang w:val="en-US" w:eastAsia="zh-CN"/>
        </w:rPr>
        <w:t>针对眼镜商家动销低迷问题，从城市层级多维度拆解归因，借助随机森林模型挖掘核心影响因素，落地差异化运营策略，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推动眼镜商家动销率提升17pp。</w:t>
      </w:r>
      <w:r>
        <w:rPr>
          <w:rFonts w:hint="default" w:eastAsia="楷体"/>
          <w:b w:val="0"/>
          <w:bCs/>
          <w:sz w:val="22"/>
          <w:szCs w:val="22"/>
          <w:lang w:val="en-US" w:eastAsia="zh-CN"/>
        </w:rPr>
        <w:t>。</w:t>
      </w:r>
    </w:p>
    <w:p w14:paraId="7CE28D1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default" w:eastAsia="楷体"/>
          <w:b w:val="0"/>
          <w:bCs/>
          <w:sz w:val="22"/>
          <w:szCs w:val="22"/>
          <w:lang w:val="en-US" w:eastAsia="zh-CN"/>
        </w:rPr>
      </w:pPr>
      <w:r>
        <w:rPr>
          <w:rFonts w:hint="default" w:eastAsia="楷体"/>
          <w:b w:val="0"/>
          <w:bCs/>
          <w:sz w:val="22"/>
          <w:szCs w:val="22"/>
          <w:lang w:val="en-US" w:eastAsia="zh-CN"/>
        </w:rPr>
        <w:t>精准洞察眼科商家经营痛点，定制新店标准化孵化体系，优化任务机制，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带动眼科新店任务点击率提升80%，动销率实现19%的增长</w:t>
      </w:r>
      <w:r>
        <w:rPr>
          <w:rFonts w:hint="default" w:eastAsia="楷体"/>
          <w:b w:val="0"/>
          <w:bCs/>
          <w:sz w:val="22"/>
          <w:szCs w:val="22"/>
          <w:lang w:val="en-US" w:eastAsia="zh-CN"/>
        </w:rPr>
        <w:t>。</w:t>
      </w:r>
    </w:p>
    <w:p w14:paraId="744B762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default" w:eastAsia="楷体"/>
          <w:b w:val="0"/>
          <w:bCs/>
          <w:sz w:val="22"/>
          <w:lang w:val="en-US" w:eastAsia="zh-CN"/>
        </w:rPr>
      </w:pPr>
      <w:r>
        <w:rPr>
          <w:rFonts w:hint="default" w:eastAsia="楷体"/>
          <w:b w:val="0"/>
          <w:bCs/>
          <w:sz w:val="22"/>
          <w:szCs w:val="22"/>
          <w:lang w:val="en-US" w:eastAsia="zh-CN"/>
        </w:rPr>
        <w:t>围绕低价种植牙供给缺口，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参与</w:t>
      </w:r>
      <w:r>
        <w:rPr>
          <w:rFonts w:hint="default" w:eastAsia="楷体"/>
          <w:b w:val="0"/>
          <w:bCs/>
          <w:sz w:val="22"/>
          <w:szCs w:val="22"/>
          <w:lang w:val="en-US" w:eastAsia="zh-CN"/>
        </w:rPr>
        <w:t>AI BD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产品</w:t>
      </w:r>
      <w:r>
        <w:rPr>
          <w:rFonts w:hint="default" w:eastAsia="楷体"/>
          <w:b w:val="0"/>
          <w:bCs/>
          <w:sz w:val="22"/>
          <w:szCs w:val="22"/>
          <w:lang w:val="en-US" w:eastAsia="zh-CN"/>
        </w:rPr>
        <w:t>方案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设计</w:t>
      </w:r>
      <w:r>
        <w:rPr>
          <w:rFonts w:hint="default" w:eastAsia="楷体"/>
          <w:b w:val="0"/>
          <w:bCs/>
          <w:sz w:val="22"/>
          <w:szCs w:val="22"/>
          <w:lang w:val="en-US" w:eastAsia="zh-CN"/>
        </w:rPr>
        <w:t>，搭建话术物料体系，通过数据圈选与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对比</w:t>
      </w:r>
      <w:r>
        <w:rPr>
          <w:rFonts w:hint="default" w:eastAsia="楷体"/>
          <w:b w:val="0"/>
          <w:bCs/>
          <w:sz w:val="22"/>
          <w:szCs w:val="22"/>
          <w:lang w:val="en-US" w:eastAsia="zh-CN"/>
        </w:rPr>
        <w:t>测试验证效果，有效提升用户心智渗透与交易转化。</w:t>
      </w:r>
    </w:p>
    <w:p w14:paraId="71736865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default" w:eastAsia="楷体"/>
          <w:b/>
          <w:sz w:val="22"/>
          <w:szCs w:val="22"/>
          <w:lang w:val="en-US" w:eastAsia="zh-CN"/>
        </w:rPr>
      </w:pPr>
      <w:r>
        <w:rPr>
          <w:rFonts w:hint="eastAsia" w:eastAsia="楷体"/>
          <w:b/>
          <w:sz w:val="22"/>
          <w:szCs w:val="22"/>
          <w:lang w:val="en-US" w:eastAsia="zh-CN"/>
        </w:rPr>
        <w:t>2026.02-2026.05</w:t>
      </w:r>
    </w:p>
    <w:p w14:paraId="26F5CEE2"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default" w:eastAsia="楷体"/>
          <w:b/>
          <w:sz w:val="22"/>
          <w:szCs w:val="22"/>
          <w:lang w:val="en-US" w:eastAsia="zh-CN"/>
        </w:rPr>
      </w:pPr>
      <w:r>
        <w:rPr>
          <w:rFonts w:hint="eastAsia" w:eastAsia="楷体"/>
          <w:b/>
          <w:sz w:val="22"/>
          <w:szCs w:val="22"/>
          <w:lang w:val="en-US" w:eastAsia="zh-CN"/>
        </w:rPr>
        <w:t xml:space="preserve">哔哩哔哩·数据分析实习生 </w:t>
      </w:r>
    </w:p>
    <w:p w14:paraId="10C6982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 w:val="0"/>
          <w:bCs/>
          <w:sz w:val="22"/>
          <w:szCs w:val="22"/>
          <w:lang w:val="en-US" w:eastAsia="zh-CN"/>
        </w:rPr>
      </w:pP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优化优质内容筛选逻辑，以评论语义为核心抓手，多维度分析搭建筛选漏斗，解决传统行为数据噪音问题，实现48h内筛选600+优质稿件，优质稿件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首页推荐曝光渗透提升7pp</w:t>
      </w: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。</w:t>
      </w:r>
    </w:p>
    <w:p w14:paraId="111E11B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eastAsia" w:eastAsia="楷体"/>
          <w:b w:val="0"/>
          <w:bCs/>
          <w:sz w:val="22"/>
          <w:szCs w:val="22"/>
          <w:lang w:val="en-US" w:eastAsia="zh-CN"/>
        </w:rPr>
      </w:pP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搭建内容洞察AI自动化分析工具，实现取数、异动、热点分析全链路自动化，固定周期自动输出报表与分析报告。</w:t>
      </w:r>
    </w:p>
    <w:p w14:paraId="608BED4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270" w:lineRule="exact"/>
        <w:jc w:val="both"/>
        <w:textAlignment w:val="auto"/>
        <w:rPr>
          <w:rFonts w:hint="default" w:eastAsia="楷体"/>
          <w:b w:val="0"/>
          <w:bCs/>
          <w:sz w:val="22"/>
          <w:lang w:val="en-US" w:eastAsia="zh-CN"/>
        </w:rPr>
      </w:pPr>
      <w:r>
        <w:rPr>
          <w:rFonts w:hint="eastAsia" w:eastAsia="楷体"/>
          <w:b w:val="0"/>
          <w:bCs/>
          <w:sz w:val="22"/>
          <w:szCs w:val="22"/>
          <w:lang w:val="en-US" w:eastAsia="zh-CN"/>
        </w:rPr>
        <w:t>围绕AIGC领域潜力UP主挖掘需求，搭建每日更新的数据宽表，并接入企微智能播报机器人，高效处理海量稿件数据，批量产出签约线索，提升挖掘效率。</w:t>
      </w:r>
    </w:p>
    <w:p w14:paraId="0148D2AA">
      <w:pPr>
        <w:rPr>
          <w:rFonts w:hint="default" w:eastAsiaTheme="minorEastAsia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3D9EE5"/>
    <w:multiLevelType w:val="multilevel"/>
    <w:tmpl w:val="073D9EE5"/>
    <w:lvl w:ilvl="0" w:tentative="0">
      <w:start w:val="1"/>
      <w:numFmt w:val="bullet"/>
      <w:lvlText w:val=""/>
      <w:lvlJc w:val="left"/>
      <w:pPr>
        <w:tabs>
          <w:tab w:val="left" w:pos="397"/>
        </w:tabs>
        <w:ind w:left="397" w:hanging="397"/>
      </w:pPr>
      <w:rPr>
        <w:rFonts w:hint="default" w:ascii="Symbol" w:hAnsi="Symbol"/>
        <w:color w:val="auto"/>
        <w:sz w:val="16"/>
        <w:highlight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FEF7AB7"/>
    <w:multiLevelType w:val="multilevel"/>
    <w:tmpl w:val="6FEF7AB7"/>
    <w:lvl w:ilvl="0" w:tentative="0">
      <w:start w:val="1"/>
      <w:numFmt w:val="bullet"/>
      <w:lvlText w:val=""/>
      <w:lvlJc w:val="left"/>
      <w:pPr>
        <w:tabs>
          <w:tab w:val="left" w:pos="397"/>
        </w:tabs>
        <w:ind w:left="397" w:hanging="397"/>
      </w:pPr>
      <w:rPr>
        <w:rFonts w:hint="default" w:ascii="Symbol" w:hAnsi="Symbol"/>
        <w:color w:val="auto"/>
        <w:sz w:val="16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042F5"/>
    <w:rsid w:val="5FC04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2026-05-10T06:04:00Z</dcterms:created>
  <dc:creator>Vincent.</dc:creator>
  <cp:lastModifiedBy>Vincent.</cp:lastModifiedBy>
  <dcterms:modified xsi:type="dcterms:W3CDTF">2026-05-10T06:42:26Z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E8E52C078018493FAF53EE95B3F6BE94_11</vt:lpwstr>
  </property>
  <property fmtid="{D5CDD505-2E9C-101B-9397-08002B2CF9AE}" pid="4" name="KSOTemplateDocerSaveRecord">
    <vt:lpwstr>eyJoZGlkIjoiMDlhYzJkYjE3MjhhNGNiM2RiMzY2YjY1ZTAyNTgxMmYiLCJ1c2VySWQiOiIxMDMzOTI1NDY1In0=</vt:lpwstr>
  </property>
</Properties>
</file>