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1E0C5">
      <w:pPr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rStyle w:val="7"/>
          <w:rFonts w:hint="eastAsia" w:ascii="Times New Roman" w:hAnsi="Times New Roman" w:cs="Times New Roman"/>
          <w:sz w:val="28"/>
          <w:szCs w:val="28"/>
          <w:lang w:val="en-US" w:eastAsia="zh-CN"/>
        </w:rPr>
        <w:t>选题一：跨周期的信贷风险预测研究——</w:t>
      </w:r>
      <w:r>
        <w:rPr>
          <w:rStyle w:val="7"/>
          <w:rFonts w:ascii="宋体" w:hAnsi="宋体" w:eastAsia="宋体" w:cs="宋体"/>
          <w:kern w:val="0"/>
          <w:sz w:val="28"/>
          <w:szCs w:val="28"/>
          <w:lang w:val="en-US" w:eastAsia="zh-CN" w:bidi="ar"/>
        </w:rPr>
        <w:t>基于边界感知条件WGAN-GP的Stacking集成模型</w:t>
      </w:r>
    </w:p>
    <w:p w14:paraId="4E548536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b/>
        </w:rPr>
      </w:pPr>
      <w:r>
        <w:rPr>
          <w:rStyle w:val="7"/>
          <w:b/>
        </w:rPr>
        <w:t>数据集选取</w:t>
      </w:r>
    </w:p>
    <w:p w14:paraId="2967DC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采用公开真实信贷数据集：Freddie Mac Single-Family Loan-Level Dataset（房地美单户贷款级数据集）选取2022Q1–2025Q3，共 14 个季度，设定观测窗口为24个月，即观测贷款发放后24个月内是否违约。</w:t>
      </w:r>
    </w:p>
    <w:p w14:paraId="66FBE3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jc w:val="both"/>
        <w:textAlignment w:val="auto"/>
        <w:rPr>
          <w:rFonts w:hint="eastAsia"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  <w:t>（一）数据预处理（目前已完成Step1 - Step3，确保数据集可用）</w:t>
      </w:r>
    </w:p>
    <w:p w14:paraId="6B22FC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  <w:t>Step1：样本读取与标记</w:t>
      </w:r>
    </w:p>
    <w:p w14:paraId="44E045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逐季度读取 14 个季度的月度表现数据，对每笔贷款进行两项聚合：</w:t>
      </w:r>
    </w:p>
    <w:p w14:paraId="318C04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（1）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max_loan_age：该贷款在数据截止时的最大观测月龄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。</w:t>
      </w:r>
    </w:p>
    <w:p w14:paraId="182CB0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（2）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窗口内违约状态：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24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个月内是否出现逾期 ≥ 90天（DLQ ≥ 3）或止赎/处置（ZBC=03/09）</w:t>
      </w:r>
    </w:p>
    <w:p w14:paraId="13F519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若24个月内出现了逾期≥90天或止赎/处置，则判定为违约；若观测期≥24且未出现上述事件，则判定为正常。</w:t>
      </w:r>
    </w:p>
    <w:p w14:paraId="0FDE09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此外由于数据获取最晚到2025年Q3，因此贷款时间再2023Q4-2025Q3的数据的观测期不满24个月，这部分数据被标记为右删失数据，后续进行讨论。</w:t>
      </w:r>
    </w:p>
    <w:p w14:paraId="09C26E4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both"/>
        <w:textAlignment w:val="auto"/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  <w:t>Step2：样本筛选与编码</w:t>
      </w:r>
    </w:p>
    <w:p w14:paraId="1E7823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对于观测满 24 个月或已确认违约的贷款，进入样本筛选与编码流程：</w:t>
      </w:r>
    </w:p>
    <w:p w14:paraId="7D0CAF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（1）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剔除 Credit_Score≥754 的样本（主要为避免单一特征（信用分）过强导致模型退化，保证特征多样性，参考了文献的处理方式）</w:t>
      </w:r>
    </w:p>
    <w:p w14:paraId="5C53FD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（2）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One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Hot 编码：贷款目的、入住状态、贷款渠道、房产类型、所在州</w:t>
      </w:r>
    </w:p>
    <w:p w14:paraId="67C3D7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最终得到样本数总共 1,022,701 条，其中违约样本 42,227（违约率 4.13%），正常样本 980,474。</w:t>
      </w:r>
    </w:p>
    <w:p w14:paraId="30EF492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both"/>
        <w:textAlignment w:val="auto"/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  <w:t>Step3：高风险样本保留</w:t>
      </w:r>
    </w:p>
    <w:p w14:paraId="3B9DD8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2023Q4–2025Q3 发放的贷款因数据截止于 2025 年 9 月，观测时长不足 24 个月，按理来说要直接删除这部分数据，但在其中已有 8150 条样本已违约，这部分数据全部在发放后≤23 个月内触发违约，属于“快速恶化”型高风险样本。传统处理将其丢弃，造成了一个信息损失——这些样本所携带的“快速违约特征模式”未被利用。</w:t>
      </w:r>
    </w:p>
    <w:p w14:paraId="611A0C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因此，本文将这 8150 笔右删失违约样本单独保留，不作为训练样本直接参与模型拟合，而是在后续 GAN 过采样阶段作为生成器的条件引导信号（即违约倾向得分 r），引导生成器定向生成接近决策边界的高质量合成违约样本。</w:t>
      </w:r>
    </w:p>
    <w:p w14:paraId="27307B9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both"/>
        <w:textAlignment w:val="auto"/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  <w:t>（二）样本</w:t>
      </w:r>
      <w:r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  <w:t>划分</w:t>
      </w:r>
    </w:p>
    <w:p w14:paraId="194699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在样本划分上，遵循两层独立划分原则：</w:t>
      </w:r>
    </w:p>
    <w:p w14:paraId="238FC4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（1）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第一层（GAN 生成阶段）：将完整观测数据按 8:2 随机划分为 GAN 训练集和 GAN 验证集。GAN 训练集用于训练生成器及生成合成样本；GAN 验证集不参与 GAN 训练，仅用于评估生成质量。</w:t>
      </w:r>
    </w:p>
    <w:p w14:paraId="35997E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（2）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第二层（模型评估阶段）：将 GAN 训练集与合成样本合并为均衡训练集后，划分训练集（80%）、测试集（20%），另设 OOT 跨时间测试集（2023Q1–Q3 完整数据，不含任何合成样本）。</w:t>
      </w:r>
    </w:p>
    <w:p w14:paraId="70A49E7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ascii="Times New Roman" w:hAnsi="Times New Roman" w:cs="Times New Roman"/>
          <w:b/>
        </w:rPr>
      </w:pPr>
      <w:r>
        <w:rPr>
          <w:rStyle w:val="7"/>
          <w:rFonts w:hint="eastAsia" w:ascii="Times New Roman" w:hAnsi="Times New Roman" w:cs="Times New Roman"/>
          <w:b/>
          <w:lang w:val="en-US" w:eastAsia="zh-CN"/>
        </w:rPr>
        <w:t>二、</w:t>
      </w:r>
      <w:r>
        <w:rPr>
          <w:rStyle w:val="7"/>
          <w:rFonts w:ascii="Times New Roman" w:hAnsi="Times New Roman" w:cs="Times New Roman"/>
          <w:b/>
        </w:rPr>
        <w:t>研究思路与内容</w:t>
      </w:r>
    </w:p>
    <w:p w14:paraId="763361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jc w:val="both"/>
        <w:textAlignment w:val="auto"/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  <w:t>1.基于BA-cWGAN-GP 不平衡数据生成</w:t>
      </w:r>
    </w:p>
    <w:p w14:paraId="74291D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针对违约样本数量不足的问题，采用边界感知条件的WGAN-GP生成违约样本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。</w:t>
      </w:r>
    </w:p>
    <w:p w14:paraId="23AE7A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对比模型：通过将SMOTE、GAN、WGAN和WGAN-GP分别与分类模型结合对比AUC、准确率等评估指标，验证BA-cWGAN-GP 的优越性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。</w:t>
      </w:r>
    </w:p>
    <w:p w14:paraId="5BBBE5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jc w:val="both"/>
        <w:textAlignment w:val="auto"/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  <w:t>2.基于Stacking的多模型集成学习</w:t>
      </w:r>
    </w:p>
    <w:p w14:paraId="3F7062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模型拟合阶段，用 BA-cWGAN-GP生成的均衡训练集，输入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LR/RF/XGBoost/LightGBM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四个基学习器，同时Stacking融合最终对比不同基学习器组合，确定最优集成结构。</w:t>
      </w:r>
    </w:p>
    <w:p w14:paraId="18E525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jc w:val="both"/>
        <w:textAlignment w:val="auto"/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  <w:t>3.基于SHAP的模型可解释性分析</w:t>
      </w:r>
    </w:p>
    <w:p w14:paraId="573E00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模型解释上，采用SHAP算法来对最优模型进行全局与局部解释，分析关键特征影响机制，提炼可被业务理解的风控规则，提升模型实用性与可信度。</w:t>
      </w:r>
    </w:p>
    <w:p w14:paraId="0827CE5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ascii="Times New Roman" w:hAnsi="Times New Roman" w:cs="Times New Roman"/>
          <w:b/>
        </w:rPr>
      </w:pPr>
      <w:r>
        <w:rPr>
          <w:rStyle w:val="7"/>
          <w:rFonts w:hint="eastAsia" w:ascii="Times New Roman" w:hAnsi="Times New Roman" w:cs="Times New Roman"/>
          <w:b/>
          <w:lang w:val="en-US" w:eastAsia="zh-CN"/>
        </w:rPr>
        <w:t>三、</w:t>
      </w:r>
      <w:r>
        <w:rPr>
          <w:rStyle w:val="7"/>
          <w:rFonts w:ascii="Times New Roman" w:hAnsi="Times New Roman" w:cs="Times New Roman"/>
          <w:b/>
        </w:rPr>
        <w:t>研究创新点</w:t>
      </w:r>
    </w:p>
    <w:p w14:paraId="565C86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1.条件引导：右删失违约集提供了"快速违约"的分布先验，使生成器能够定向生成特定风险模式的合成样本，而非盲目生成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。</w:t>
      </w:r>
    </w:p>
    <w:p w14:paraId="248C92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2.边界感知：在完整观测训练集上预训练分类器，定位决策边界，使生成器聚焦于分类器最不确定的区域，避免在"显然违约"的区域浪费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。</w:t>
      </w:r>
    </w:p>
    <w:p w14:paraId="44C530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3.跨周期风险预测：采用 OOS + OOT 双测试集验证，OOT可以验证2023年加息高峰的宏观环境剧变下，模型是否有效；同时结合SHAP可解释分析，可以验证不同经济环境下的特征重影响机制是否相同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。</w:t>
      </w:r>
    </w:p>
    <w:p w14:paraId="1CE6F69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ascii="Times New Roman" w:hAnsi="Times New Roman" w:cs="Times New Roman"/>
          <w:b/>
        </w:rPr>
      </w:pPr>
      <w:r>
        <w:rPr>
          <w:rStyle w:val="7"/>
          <w:rFonts w:hint="eastAsia" w:ascii="Times New Roman" w:hAnsi="Times New Roman" w:cs="Times New Roman"/>
          <w:b/>
          <w:lang w:val="en-US" w:eastAsia="zh-CN"/>
        </w:rPr>
        <w:t>四、</w:t>
      </w:r>
      <w:r>
        <w:rPr>
          <w:rStyle w:val="7"/>
          <w:rFonts w:ascii="Times New Roman" w:hAnsi="Times New Roman" w:cs="Times New Roman"/>
          <w:b/>
        </w:rPr>
        <w:t>研究难点与预期成果</w:t>
      </w:r>
    </w:p>
    <w:p w14:paraId="2DFFC7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1.右删失信息的有效利用与边界感知生成机制的设计</w:t>
      </w:r>
    </w:p>
    <w:p w14:paraId="1AF77F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2.建立完整的、跨经济周期的不平衡信贷违约预测模型</w:t>
      </w:r>
    </w:p>
    <w:p w14:paraId="01BD60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3.通过SHAP分析给出不同经济周期下的关键特征和影响规律</w:t>
      </w:r>
    </w:p>
    <w:p w14:paraId="02233C3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ascii="Times New Roman" w:hAnsi="Times New Roman" w:cs="Times New Roman"/>
          <w:b/>
        </w:rPr>
      </w:pPr>
      <w:r>
        <w:rPr>
          <w:rStyle w:val="7"/>
          <w:rFonts w:hint="eastAsia" w:ascii="Times New Roman" w:hAnsi="Times New Roman" w:cs="Times New Roman"/>
          <w:b/>
          <w:lang w:val="en-US" w:eastAsia="zh-CN"/>
        </w:rPr>
        <w:t>五、</w:t>
      </w:r>
      <w:r>
        <w:rPr>
          <w:rStyle w:val="7"/>
          <w:rFonts w:ascii="Times New Roman" w:hAnsi="Times New Roman" w:cs="Times New Roman"/>
          <w:b/>
        </w:rPr>
        <w:t>论文结构</w:t>
      </w:r>
    </w:p>
    <w:p w14:paraId="6410E4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一、绪论</w:t>
      </w:r>
    </w:p>
    <w:p w14:paraId="6E42E6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二、相关工作综述</w:t>
      </w:r>
    </w:p>
    <w:p w14:paraId="19C125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三、理论基础</w:t>
      </w:r>
    </w:p>
    <w:p w14:paraId="4DFEAF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四、数据集与数据预处理</w:t>
      </w:r>
    </w:p>
    <w:p w14:paraId="25732A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五、基于BA-cWGAN-GP的违约样本增强方法</w:t>
      </w:r>
    </w:p>
    <w:p w14:paraId="0933A2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六、基于Stacking的集成学习模型构建</w:t>
      </w:r>
    </w:p>
    <w:p w14:paraId="7DD7B3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七、实验设计与结果分析</w:t>
      </w:r>
    </w:p>
    <w:p w14:paraId="4A7A55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八、基于SHAP的模型可解释性分析</w:t>
      </w:r>
    </w:p>
    <w:p w14:paraId="0D7511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九、总结与展望</w:t>
      </w:r>
    </w:p>
    <w:p w14:paraId="77BC830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b/>
        </w:rPr>
      </w:pPr>
      <w:r>
        <w:rPr>
          <w:rStyle w:val="7"/>
          <w:rFonts w:hint="eastAsia"/>
          <w:b/>
          <w:lang w:val="en-US" w:eastAsia="zh-CN"/>
        </w:rPr>
        <w:t>六、</w:t>
      </w:r>
      <w:r>
        <w:rPr>
          <w:rStyle w:val="7"/>
          <w:b/>
        </w:rPr>
        <w:t>参考文献</w:t>
      </w:r>
    </w:p>
    <w:p w14:paraId="7F6A4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 xml:space="preserve">1. </w:t>
      </w:r>
      <w:r>
        <w:rPr>
          <w:rFonts w:hint="eastAsia" w:ascii="Times New Roman" w:hAnsi="Times New Roman" w:eastAsia="宋体" w:cs="宋体"/>
          <w:sz w:val="24"/>
          <w:szCs w:val="24"/>
        </w:rPr>
        <w:fldChar w:fldCharType="begin"/>
      </w:r>
      <w:r>
        <w:rPr>
          <w:rFonts w:hint="eastAsia" w:ascii="Times New Roman" w:hAnsi="Times New Roman" w:eastAsia="宋体" w:cs="宋体"/>
          <w:sz w:val="24"/>
          <w:szCs w:val="24"/>
        </w:rPr>
        <w:instrText xml:space="preserve"> HYPERLINK "https://doi.org/10.1016/j.eswa.2023.121876" </w:instrText>
      </w:r>
      <w:r>
        <w:rPr>
          <w:rFonts w:hint="eastAsia" w:ascii="Times New Roman" w:hAnsi="Times New Roman" w:eastAsia="宋体" w:cs="宋体"/>
          <w:sz w:val="24"/>
          <w:szCs w:val="24"/>
        </w:rPr>
        <w:fldChar w:fldCharType="separate"/>
      </w:r>
      <w:r>
        <w:rPr>
          <w:rStyle w:val="8"/>
          <w:rFonts w:hint="eastAsia" w:ascii="Times New Roman" w:hAnsi="Times New Roman" w:eastAsia="宋体" w:cs="宋体"/>
          <w:sz w:val="24"/>
          <w:szCs w:val="24"/>
        </w:rPr>
        <w:t>https://doi.org/10.1016/j.eswa.2023.121876</w:t>
      </w:r>
      <w:r>
        <w:rPr>
          <w:rFonts w:hint="eastAsia" w:ascii="Times New Roman" w:hAnsi="Times New Roman" w:eastAsia="宋体" w:cs="宋体"/>
          <w:sz w:val="24"/>
          <w:szCs w:val="24"/>
        </w:rPr>
        <w:fldChar w:fldCharType="end"/>
      </w:r>
    </w:p>
    <w:p w14:paraId="7BC9E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 w:ascii="Times New Roman" w:hAnsi="Times New Roman" w:eastAsia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sz w:val="24"/>
          <w:szCs w:val="24"/>
          <w:lang w:eastAsia="zh-CN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fldChar w:fldCharType="begin"/>
      </w:r>
      <w:r>
        <w:rPr>
          <w:rFonts w:ascii="Times New Roman" w:hAnsi="Times New Roman" w:eastAsia="宋体" w:cs="宋体"/>
          <w:sz w:val="24"/>
          <w:szCs w:val="24"/>
        </w:rPr>
        <w:instrText xml:space="preserve"> HYPERLINK "https://www.sciencedirect.com/science/article/pii/S0957417423023783?ref=pdf_download&amp;fr=RR-2&amp;rr=9fd2fd6c1a9462b9" </w:instrText>
      </w:r>
      <w:r>
        <w:rPr>
          <w:rFonts w:ascii="Times New Roman" w:hAnsi="Times New Roman" w:eastAsia="宋体" w:cs="宋体"/>
          <w:sz w:val="24"/>
          <w:szCs w:val="24"/>
        </w:rPr>
        <w:fldChar w:fldCharType="separate"/>
      </w:r>
      <w:r>
        <w:rPr>
          <w:rStyle w:val="8"/>
          <w:rFonts w:ascii="Times New Roman" w:hAnsi="Times New Roman" w:eastAsia="宋体" w:cs="宋体"/>
          <w:sz w:val="24"/>
          <w:szCs w:val="24"/>
        </w:rPr>
        <w:t>Flexible loss functions for binary classification in gradient-boosted decision trees: An application to credit scoring - ScienceDirect</w:t>
      </w:r>
      <w:r>
        <w:rPr>
          <w:rFonts w:ascii="Times New Roman" w:hAnsi="Times New Roman" w:eastAsia="宋体" w:cs="宋体"/>
          <w:sz w:val="24"/>
          <w:szCs w:val="24"/>
        </w:rPr>
        <w:fldChar w:fldCharType="end"/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）</w:t>
      </w:r>
    </w:p>
    <w:p w14:paraId="5C29FD7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Style w:val="9"/>
          <w:rFonts w:hint="eastAsia" w:ascii="Times New Roman" w:hAnsi="Times New Roman" w:eastAsia="宋体" w:cs="宋体"/>
          <w:color w:val="0000FF"/>
          <w:sz w:val="24"/>
          <w:szCs w:val="24"/>
          <w:lang w:eastAsia="zh-CN"/>
        </w:rPr>
      </w:pPr>
      <w:r>
        <w:rPr>
          <w:rStyle w:val="9"/>
          <w:rFonts w:hint="eastAsia" w:ascii="Times New Roman" w:hAnsi="Times New Roman" w:eastAsia="宋体" w:cs="宋体"/>
          <w:color w:val="0000FF"/>
          <w:sz w:val="24"/>
          <w:szCs w:val="24"/>
          <w:lang w:eastAsia="zh-CN"/>
        </w:rPr>
        <w:fldChar w:fldCharType="begin"/>
      </w:r>
      <w:r>
        <w:rPr>
          <w:rStyle w:val="9"/>
          <w:rFonts w:hint="eastAsia" w:ascii="Times New Roman" w:hAnsi="Times New Roman" w:eastAsia="宋体" w:cs="宋体"/>
          <w:color w:val="0000FF"/>
          <w:sz w:val="24"/>
          <w:szCs w:val="24"/>
          <w:lang w:eastAsia="zh-CN"/>
        </w:rPr>
        <w:instrText xml:space="preserve"> HYPERLINK "https://doi.org/10.1016/j.ibmed.2025.100336" </w:instrText>
      </w:r>
      <w:r>
        <w:rPr>
          <w:rStyle w:val="9"/>
          <w:rFonts w:hint="eastAsia" w:ascii="Times New Roman" w:hAnsi="Times New Roman" w:eastAsia="宋体" w:cs="宋体"/>
          <w:color w:val="0000FF"/>
          <w:sz w:val="24"/>
          <w:szCs w:val="24"/>
          <w:lang w:eastAsia="zh-CN"/>
        </w:rPr>
        <w:fldChar w:fldCharType="separate"/>
      </w:r>
      <w:r>
        <w:rPr>
          <w:rStyle w:val="9"/>
          <w:rFonts w:hint="eastAsia" w:ascii="Times New Roman" w:hAnsi="Times New Roman" w:eastAsia="宋体" w:cs="宋体"/>
          <w:color w:val="0000FF"/>
          <w:sz w:val="24"/>
          <w:szCs w:val="24"/>
          <w:lang w:eastAsia="zh-CN"/>
        </w:rPr>
        <w:t>https://doi.org/10.1016/j.ibmed.2025.100336</w:t>
      </w:r>
      <w:r>
        <w:rPr>
          <w:rStyle w:val="9"/>
          <w:rFonts w:hint="eastAsia" w:ascii="Times New Roman" w:hAnsi="Times New Roman" w:eastAsia="宋体" w:cs="宋体"/>
          <w:color w:val="0000FF"/>
          <w:sz w:val="24"/>
          <w:szCs w:val="24"/>
          <w:lang w:eastAsia="zh-CN"/>
        </w:rPr>
        <w:fldChar w:fldCharType="end"/>
      </w:r>
    </w:p>
    <w:p w14:paraId="44B23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 w:ascii="Times New Roman" w:hAnsi="Times New Roman" w:eastAsia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sz w:val="24"/>
          <w:szCs w:val="24"/>
          <w:lang w:eastAsia="zh-CN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fldChar w:fldCharType="begin"/>
      </w:r>
      <w:r>
        <w:rPr>
          <w:rFonts w:ascii="Times New Roman" w:hAnsi="Times New Roman" w:eastAsia="宋体" w:cs="宋体"/>
          <w:sz w:val="24"/>
          <w:szCs w:val="24"/>
        </w:rPr>
        <w:instrText xml:space="preserve"> HYPERLINK "https://www.sciencedirect.com/science/article/pii/S2666521225001413" </w:instrText>
      </w:r>
      <w:r>
        <w:rPr>
          <w:rFonts w:ascii="Times New Roman" w:hAnsi="Times New Roman" w:eastAsia="宋体" w:cs="宋体"/>
          <w:sz w:val="24"/>
          <w:szCs w:val="24"/>
        </w:rPr>
        <w:fldChar w:fldCharType="separate"/>
      </w:r>
      <w:r>
        <w:rPr>
          <w:rStyle w:val="9"/>
          <w:rFonts w:ascii="Times New Roman" w:hAnsi="Times New Roman" w:eastAsia="宋体" w:cs="宋体"/>
          <w:sz w:val="24"/>
          <w:szCs w:val="24"/>
        </w:rPr>
        <w:t>Diffusion models vs. DCGANs for class-imbalanced lung cancer CT classification: A comparative study - ScienceDirect</w:t>
      </w:r>
      <w:r>
        <w:rPr>
          <w:rFonts w:ascii="Times New Roman" w:hAnsi="Times New Roman" w:eastAsia="宋体" w:cs="宋体"/>
          <w:sz w:val="24"/>
          <w:szCs w:val="24"/>
        </w:rPr>
        <w:fldChar w:fldCharType="end"/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）</w:t>
      </w:r>
    </w:p>
    <w:p w14:paraId="0CDB8E6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instrText xml:space="preserve"> HYPERLINK "https://doi.org/10.1016/j.iswa.2025.200514" </w:instrTex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default" w:ascii="Times New Roman" w:hAnsi="Times New Roman" w:eastAsia="宋体"/>
          <w:sz w:val="24"/>
          <w:szCs w:val="24"/>
          <w:lang w:val="en-US" w:eastAsia="zh-CN"/>
        </w:rPr>
        <w:t>https://doi.org/10.1016/j.iswa.2025.200514</w:t>
      </w:r>
      <w:r>
        <w:rPr>
          <w:rStyle w:val="9"/>
          <w:rFonts w:hint="default" w:ascii="Times New Roman" w:hAnsi="Times New Roman" w:eastAsia="宋体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fldChar w:fldCharType="begin"/>
      </w:r>
      <w:r>
        <w:rPr>
          <w:rFonts w:ascii="Times New Roman" w:hAnsi="Times New Roman" w:eastAsia="宋体" w:cs="宋体"/>
          <w:sz w:val="24"/>
          <w:szCs w:val="24"/>
        </w:rPr>
        <w:instrText xml:space="preserve"> HYPERLINK "https://www.sciencedirect.com/science/article/pii/S2667305325000407" </w:instrText>
      </w:r>
      <w:r>
        <w:rPr>
          <w:rFonts w:ascii="Times New Roman" w:hAnsi="Times New Roman" w:eastAsia="宋体" w:cs="宋体"/>
          <w:sz w:val="24"/>
          <w:szCs w:val="24"/>
        </w:rPr>
        <w:fldChar w:fldCharType="separate"/>
      </w:r>
      <w:r>
        <w:rPr>
          <w:rStyle w:val="9"/>
          <w:rFonts w:ascii="Times New Roman" w:hAnsi="Times New Roman" w:eastAsia="宋体" w:cs="宋体"/>
          <w:sz w:val="24"/>
          <w:szCs w:val="24"/>
        </w:rPr>
        <w:t>Explainable AI based LightGBM prediction model to predict default borrower in social lending platform - ScienceDirect</w:t>
      </w:r>
      <w:r>
        <w:rPr>
          <w:rFonts w:ascii="Times New Roman" w:hAnsi="Times New Roman" w:eastAsia="宋体" w:cs="宋体"/>
          <w:sz w:val="24"/>
          <w:szCs w:val="24"/>
        </w:rPr>
        <w:fldChar w:fldCharType="end"/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）</w:t>
      </w:r>
    </w:p>
    <w:p w14:paraId="0EE3585D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fldChar w:fldCharType="begin"/>
      </w:r>
      <w:r>
        <w:rPr>
          <w:rFonts w:hint="eastAsia" w:ascii="Times New Roman" w:hAnsi="Times New Roman" w:eastAsia="宋体"/>
          <w:lang w:val="en-US" w:eastAsia="zh-CN"/>
        </w:rPr>
        <w:instrText xml:space="preserve"> HYPERLINK "https://doi.org/10.1016/j.asoc.2026.115213" </w:instrText>
      </w:r>
      <w:r>
        <w:rPr>
          <w:rFonts w:hint="eastAsia" w:ascii="Times New Roman" w:hAnsi="Times New Roman" w:eastAsia="宋体"/>
          <w:lang w:val="en-US" w:eastAsia="zh-CN"/>
        </w:rPr>
        <w:fldChar w:fldCharType="separate"/>
      </w:r>
      <w:r>
        <w:rPr>
          <w:rStyle w:val="9"/>
          <w:rFonts w:hint="eastAsia" w:ascii="Times New Roman" w:hAnsi="Times New Roman" w:eastAsia="宋体"/>
          <w:lang w:val="en-US" w:eastAsia="zh-CN"/>
        </w:rPr>
        <w:t>https://doi.org/10.1016/j.asoc.2026.115213</w:t>
      </w:r>
      <w:r>
        <w:rPr>
          <w:rFonts w:hint="eastAsia" w:ascii="Times New Roman" w:hAnsi="Times New Roman" w:eastAsia="宋体"/>
          <w:lang w:val="en-US" w:eastAsia="zh-CN"/>
        </w:rPr>
        <w:fldChar w:fldCharType="end"/>
      </w:r>
    </w:p>
    <w:p w14:paraId="341FE48E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fldChar w:fldCharType="begin"/>
      </w:r>
      <w:r>
        <w:rPr>
          <w:rFonts w:ascii="Times New Roman" w:hAnsi="Times New Roman" w:eastAsia="宋体" w:cs="宋体"/>
          <w:sz w:val="24"/>
          <w:szCs w:val="24"/>
        </w:rPr>
        <w:instrText xml:space="preserve"> HYPERLINK "https://www.sciencedirect.com/science/article/pii/S1568494626006617" </w:instrText>
      </w:r>
      <w:r>
        <w:rPr>
          <w:rFonts w:ascii="Times New Roman" w:hAnsi="Times New Roman" w:eastAsia="宋体" w:cs="宋体"/>
          <w:sz w:val="24"/>
          <w:szCs w:val="24"/>
        </w:rPr>
        <w:fldChar w:fldCharType="separate"/>
      </w:r>
      <w:r>
        <w:rPr>
          <w:rStyle w:val="9"/>
          <w:rFonts w:ascii="Times New Roman" w:hAnsi="Times New Roman" w:eastAsia="宋体" w:cs="宋体"/>
          <w:sz w:val="24"/>
          <w:szCs w:val="24"/>
        </w:rPr>
        <w:t>Kolmogorov–Arnold networks-based GRU and LSTM for loan default early prediction - ScienceDirect</w:t>
      </w:r>
      <w:r>
        <w:rPr>
          <w:rFonts w:ascii="Times New Roman" w:hAnsi="Times New Roman" w:eastAsia="宋体" w:cs="宋体"/>
          <w:sz w:val="24"/>
          <w:szCs w:val="24"/>
        </w:rPr>
        <w:fldChar w:fldCharType="end"/>
      </w:r>
      <w:r>
        <w:rPr>
          <w:rFonts w:hint="eastAsia" w:ascii="Times New Roman" w:hAnsi="Times New Roman" w:eastAsia="宋体"/>
          <w:lang w:val="en-US" w:eastAsia="zh-CN"/>
        </w:rPr>
        <w:t>）</w:t>
      </w:r>
    </w:p>
    <w:p w14:paraId="198AC49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"https://www.sciencedirect.com/science/article/pii/S1544612325010165"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eastAsia="宋体" w:cs="Times New Roman"/>
          <w:sz w:val="24"/>
          <w:szCs w:val="24"/>
        </w:rPr>
        <w:t>The impact of financial statement indicators on bank credit ratings: Insights from machine learning and SHAP techniques - ScienceDirect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17DFA24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6. 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"https://www.sciencedirect.com/science/article/pii/S2666558125000934"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Machine learning for predicting sense of place among hybrid workers: A SHAP-based analysis of key factors - ScienceDirect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15B079FC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宋体"/>
          <w:lang w:val="en-US" w:eastAsia="zh-CN"/>
        </w:rPr>
      </w:pPr>
    </w:p>
    <w:p w14:paraId="4F1512B6">
      <w:pPr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rStyle w:val="7"/>
          <w:rFonts w:hint="eastAsia" w:ascii="Times New Roman" w:hAnsi="Times New Roman" w:cs="Times New Roman"/>
          <w:sz w:val="28"/>
          <w:szCs w:val="28"/>
          <w:lang w:val="en-US" w:eastAsia="zh-CN"/>
        </w:rPr>
        <w:t>选题二：基于SMOTE-Tomek与集成学习的跨周期信贷违约预测</w:t>
      </w:r>
    </w:p>
    <w:p w14:paraId="71FD4A37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b/>
        </w:rPr>
      </w:pPr>
      <w:r>
        <w:rPr>
          <w:rStyle w:val="7"/>
          <w:b/>
        </w:rPr>
        <w:t>数据集选取</w:t>
      </w:r>
    </w:p>
    <w:p w14:paraId="1AAA88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采用公开真实信贷数据集：Freddie Mac Single-Family Loan-Level Dataset（房地美单户贷款级数据集）选取2022Q1–2025Q3，共 14 个季度，设定观测窗口</w:t>
      </w:r>
      <w:bookmarkStart w:id="0" w:name="_GoBack"/>
      <w:bookmarkEnd w:id="0"/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为24个月，即观测贷款发放后24个月内是否违约。</w:t>
      </w:r>
    </w:p>
    <w:p w14:paraId="3246952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jc w:val="both"/>
        <w:textAlignment w:val="auto"/>
        <w:rPr>
          <w:rFonts w:hint="eastAsia"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  <w:t>（一）数据预处理（目前已完成，数据集可用）</w:t>
      </w:r>
    </w:p>
    <w:p w14:paraId="0E7D59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  <w:t>Step1：样本读取与标记</w:t>
      </w:r>
    </w:p>
    <w:p w14:paraId="0BFDA7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逐季度读取 14 个季度的月度表现数据，对每笔贷款进行两项聚合：</w:t>
      </w:r>
    </w:p>
    <w:p w14:paraId="28C541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（1）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max_loan_age：该贷款在数据截止时的最大观测月龄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。</w:t>
      </w:r>
    </w:p>
    <w:p w14:paraId="3C377D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（2）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窗口内违约状态：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24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个月内是否出现逾期 ≥ 90天（DLQ ≥ 3）或止赎/处置（ZBC=03/09）</w:t>
      </w:r>
    </w:p>
    <w:p w14:paraId="10DBC9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若24个月内出现了逾期≥90天或止赎/处置，则判定为违约；若观测期≥24且未出现上述事件，则判定为正常。</w:t>
      </w:r>
    </w:p>
    <w:p w14:paraId="0BCF4F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此外由于数据获取最晚到2025年Q3，因此贷款时间再2023Q4-2025Q3的数据的观测期不满24个月，这部分数据被标记为右删失数据，后续进行讨论。</w:t>
      </w:r>
    </w:p>
    <w:p w14:paraId="3B5DE70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both"/>
        <w:textAlignment w:val="auto"/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  <w:t>Step2：样本筛选与编码</w:t>
      </w:r>
    </w:p>
    <w:p w14:paraId="4EA115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对于观测满 24 个月或已确认违约的贷款，进入样本筛选与编码流程：</w:t>
      </w:r>
    </w:p>
    <w:p w14:paraId="1893FF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（1）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剔除 Credit_Score≥754 的样本（主要为避免单一特征（信用分）过强导致模型退化，保证特征多样性，参考了文献的处理方式）</w:t>
      </w:r>
    </w:p>
    <w:p w14:paraId="126AF1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（2）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One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Hot 编码：贷款目的、入住状态、贷款渠道、房产类型、所在州</w:t>
      </w:r>
    </w:p>
    <w:p w14:paraId="77F41B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最终得到样本数总共 1,022,701 条，其中违约样本 42,227（违约率 4.13%），正常样本 980,474。</w:t>
      </w:r>
    </w:p>
    <w:p w14:paraId="1E54C36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both"/>
        <w:textAlignment w:val="auto"/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  <w:t>（二）样本</w:t>
      </w:r>
      <w:r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  <w:t>划分</w:t>
      </w:r>
    </w:p>
    <w:p w14:paraId="74B0C7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在样本划分上，在样本划分上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按风控标准划分为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：</w:t>
      </w:r>
    </w:p>
    <w:p w14:paraId="508589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训练集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（2022Q1–Q4（80%））：低利率末期</w:t>
      </w:r>
    </w:p>
    <w:p w14:paraId="08E9C2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OOS样本外测试集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（2022Q1–Q4（20%））：同分布验证</w:t>
      </w:r>
    </w:p>
    <w:p w14:paraId="092922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OOT跨时间测试（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2023Q1–Q3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）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：美联储加息周期泛化验证</w:t>
      </w:r>
    </w:p>
    <w:p w14:paraId="74403AA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ascii="Times New Roman" w:hAnsi="Times New Roman" w:cs="Times New Roman"/>
          <w:b/>
        </w:rPr>
      </w:pPr>
      <w:r>
        <w:rPr>
          <w:rStyle w:val="7"/>
          <w:rFonts w:hint="eastAsia" w:ascii="Times New Roman" w:hAnsi="Times New Roman" w:cs="Times New Roman"/>
          <w:b/>
          <w:lang w:val="en-US" w:eastAsia="zh-CN"/>
        </w:rPr>
        <w:t>二、</w:t>
      </w:r>
      <w:r>
        <w:rPr>
          <w:rStyle w:val="7"/>
          <w:rFonts w:ascii="Times New Roman" w:hAnsi="Times New Roman" w:cs="Times New Roman"/>
          <w:b/>
        </w:rPr>
        <w:t>研究思路与内容</w:t>
      </w:r>
    </w:p>
    <w:p w14:paraId="338A59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jc w:val="both"/>
        <w:textAlignment w:val="auto"/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  <w:t>1.基于</w:t>
      </w:r>
      <w:r>
        <w:rPr>
          <w:rFonts w:hint="eastAsia"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  <w:t>SMOTE-Tomek</w:t>
      </w:r>
      <w:r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  <w:t>不平衡数据生成</w:t>
      </w:r>
    </w:p>
    <w:p w14:paraId="5B94F8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针对违约样本数量不足的问题，采用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SMOTE-Tomek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生成违约样本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。</w:t>
      </w:r>
    </w:p>
    <w:p w14:paraId="75B913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利用2022Q1-Q4的训练集进行模型训练，后续使用2022Q1-Q4的测试集与2023Q1-Q3的测试集，将SMOTE-Tomek与SMOTE、ADASYN进行对比，验证SMOTE-Tomek在经济周期变化后仍然稳健。</w:t>
      </w:r>
    </w:p>
    <w:p w14:paraId="240816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jc w:val="both"/>
        <w:textAlignment w:val="auto"/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  <w:t>2.基于Stacking的多模型集成学习</w:t>
      </w:r>
    </w:p>
    <w:p w14:paraId="0FEF54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模型拟合阶段，用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SMOTE-Tomek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生成的均衡训练集，输入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LR/RF/XGBoost/LightGBM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四个基学习器，同时Stacking融合最终对比不同基学习器组合，确定最优集成结构。</w:t>
      </w:r>
    </w:p>
    <w:p w14:paraId="46BC9F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jc w:val="both"/>
        <w:textAlignment w:val="auto"/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  <w:lang w:val="en-US" w:eastAsia="zh-CN" w:bidi="ar"/>
        </w:rPr>
        <w:t>3.基于SHAP的模型可解释性分析</w:t>
      </w:r>
    </w:p>
    <w:p w14:paraId="2EF434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模型解释上，采用SHAP算法来对最优模型进行全局与局部解释，分析关键特征影响机制，提炼可被业务理解的风控规则，提升模型实用性与可信度。</w:t>
      </w:r>
    </w:p>
    <w:p w14:paraId="2EFAC02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ascii="Times New Roman" w:hAnsi="Times New Roman" w:cs="Times New Roman"/>
          <w:b/>
        </w:rPr>
      </w:pPr>
      <w:r>
        <w:rPr>
          <w:rStyle w:val="7"/>
          <w:rFonts w:hint="eastAsia" w:ascii="Times New Roman" w:hAnsi="Times New Roman" w:cs="Times New Roman"/>
          <w:b/>
          <w:lang w:val="en-US" w:eastAsia="zh-CN"/>
        </w:rPr>
        <w:t>三、</w:t>
      </w:r>
      <w:r>
        <w:rPr>
          <w:rStyle w:val="7"/>
          <w:rFonts w:ascii="Times New Roman" w:hAnsi="Times New Roman" w:cs="Times New Roman"/>
          <w:b/>
        </w:rPr>
        <w:t>研究创新点</w:t>
      </w:r>
    </w:p>
    <w:p w14:paraId="50950B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跨周期稳健性视角下的采样方法评价：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采用 OOS + OOT 双测试集验证，OOT可以验证新经济环境下，模型是否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稳健、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有效</w:t>
      </w:r>
    </w:p>
    <w:p w14:paraId="2A1A96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通过比较OOT测试集上指标衰退幅度来评估采样方法的稳健性</w:t>
      </w:r>
    </w:p>
    <w:p w14:paraId="734340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3.构建 Stacking 多模型融合框架，提升违约预测精度与稳定性。</w:t>
      </w:r>
    </w:p>
    <w:p w14:paraId="0B1882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4.结合 SHAP 可解释性分析，实现模型决策透明化，满足金融风控监管要求。</w:t>
      </w:r>
    </w:p>
    <w:p w14:paraId="0EA5179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ascii="Times New Roman" w:hAnsi="Times New Roman" w:cs="Times New Roman"/>
          <w:b/>
        </w:rPr>
      </w:pPr>
      <w:r>
        <w:rPr>
          <w:rStyle w:val="7"/>
          <w:rFonts w:hint="eastAsia" w:ascii="Times New Roman" w:hAnsi="Times New Roman" w:cs="Times New Roman"/>
          <w:b/>
          <w:lang w:val="en-US" w:eastAsia="zh-CN"/>
        </w:rPr>
        <w:t>四、</w:t>
      </w:r>
      <w:r>
        <w:rPr>
          <w:rStyle w:val="7"/>
          <w:rFonts w:ascii="Times New Roman" w:hAnsi="Times New Roman" w:cs="Times New Roman"/>
          <w:b/>
        </w:rPr>
        <w:t>研究难点与预期成果</w:t>
      </w:r>
    </w:p>
    <w:p w14:paraId="7940BA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1.建立完整的、跨经济周期的不平衡信贷违约预测模型</w:t>
      </w:r>
    </w:p>
    <w:p w14:paraId="1BFD04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2.验证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"/>
        </w:rPr>
        <w:t>SMOTE-Tomek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模型与stacking融合模型在新的经济周期下依然稳健</w:t>
      </w:r>
    </w:p>
    <w:p w14:paraId="617F35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3.通过SHAP分析给出不同经济周期下的关键特征和影响规律</w:t>
      </w:r>
    </w:p>
    <w:p w14:paraId="6E7494E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7"/>
          <w:rFonts w:ascii="Times New Roman" w:hAnsi="Times New Roman" w:cs="Times New Roman"/>
          <w:b/>
        </w:rPr>
      </w:pPr>
      <w:r>
        <w:rPr>
          <w:rStyle w:val="7"/>
          <w:rFonts w:hint="eastAsia" w:ascii="Times New Roman" w:hAnsi="Times New Roman" w:cs="Times New Roman"/>
          <w:b/>
          <w:lang w:val="en-US" w:eastAsia="zh-CN"/>
        </w:rPr>
        <w:t>五、</w:t>
      </w:r>
      <w:r>
        <w:rPr>
          <w:rStyle w:val="7"/>
          <w:rFonts w:ascii="Times New Roman" w:hAnsi="Times New Roman" w:cs="Times New Roman"/>
          <w:b/>
        </w:rPr>
        <w:t>论文结构</w:t>
      </w:r>
    </w:p>
    <w:p w14:paraId="3F03B1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一、绪论</w:t>
      </w:r>
    </w:p>
    <w:p w14:paraId="36DA21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二、相关工作综述</w:t>
      </w:r>
    </w:p>
    <w:p w14:paraId="762FC1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三、理论基础</w:t>
      </w:r>
    </w:p>
    <w:p w14:paraId="0B78AC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四、数据集与数据预处理</w:t>
      </w:r>
    </w:p>
    <w:p w14:paraId="53AB7E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五、基于BA-cWGAN-GP的违约样本增强方法</w:t>
      </w:r>
    </w:p>
    <w:p w14:paraId="439E9A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六、基于Stacking的集成学习模型构建</w:t>
      </w:r>
    </w:p>
    <w:p w14:paraId="19DE72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七、实验设计与结果分析</w:t>
      </w:r>
    </w:p>
    <w:p w14:paraId="6ACC03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八、基于SHAP的模型可解释性分析</w:t>
      </w:r>
    </w:p>
    <w:p w14:paraId="2464F0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both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t>九、总结与展望</w:t>
      </w:r>
    </w:p>
    <w:p w14:paraId="61B8A79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096EEA"/>
    <w:multiLevelType w:val="singleLevel"/>
    <w:tmpl w:val="A3096EEA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71DCACEF"/>
    <w:multiLevelType w:val="singleLevel"/>
    <w:tmpl w:val="71DCACE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591E71"/>
    <w:rsid w:val="08B64D21"/>
    <w:rsid w:val="09297778"/>
    <w:rsid w:val="16E557E9"/>
    <w:rsid w:val="19292C8A"/>
    <w:rsid w:val="1D291FE4"/>
    <w:rsid w:val="285F2D5E"/>
    <w:rsid w:val="2AA35184"/>
    <w:rsid w:val="3ECD4ACB"/>
    <w:rsid w:val="53EC109A"/>
    <w:rsid w:val="5D7B3E19"/>
    <w:rsid w:val="6DB4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character" w:styleId="9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2741</Words>
  <Characters>3998</Characters>
  <Lines>0</Lines>
  <Paragraphs>0</Paragraphs>
  <TotalTime>12</TotalTime>
  <ScaleCrop>false</ScaleCrop>
  <LinksUpToDate>false</LinksUpToDate>
  <CharactersWithSpaces>4147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2026-05-17T13:18:00Z</dcterms:created>
  <dc:creator>YOGA</dc:creator>
  <cp:lastModifiedBy>Vincent.</cp:lastModifiedBy>
  <dcterms:modified xsi:type="dcterms:W3CDTF">2026-05-23T08:05:35Z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eyJoZGlkIjoiMDlhYzJkYjE3MjhhNGNiM2RiMzY2YjY1ZTAyNTgxMmYiLCJ1c2VySWQiOiIxMDMzOTI1NDY1In0=</vt:lpwstr>
  </property>
  <property fmtid="{D5CDD505-2E9C-101B-9397-08002B2CF9AE}" pid="4" name="ICV">
    <vt:lpwstr>C3C033AF158141A28EF0D03AD187AB2E_12</vt:lpwstr>
  </property>
</Properties>
</file>