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189CA">
      <w:pPr>
        <w:ind w:firstLine="3433" w:firstLineChars="1140"/>
        <w:rPr>
          <w:rFonts w:hint="eastAsia" w:ascii="宋体" w:hAnsi="宋体"/>
          <w:b/>
          <w:bCs/>
          <w:kern w:val="0"/>
          <w:sz w:val="30"/>
          <w:szCs w:val="30"/>
        </w:rPr>
      </w:pPr>
      <w:r>
        <w:rPr>
          <w:rFonts w:hint="eastAsia" w:ascii="宋体" w:hAnsi="宋体"/>
          <w:b/>
          <w:bCs/>
          <w:kern w:val="0"/>
          <w:sz w:val="30"/>
          <w:szCs w:val="30"/>
        </w:rPr>
        <w:t xml:space="preserve"> 上海财经大学</w:t>
      </w:r>
    </w:p>
    <w:p w14:paraId="3AB470DF">
      <w:pPr>
        <w:ind w:firstLine="1928" w:firstLineChars="640"/>
        <w:rPr>
          <w:rFonts w:hint="eastAsia" w:ascii="宋体" w:hAnsi="宋体" w:cs="宋体"/>
          <w:b/>
          <w:bCs/>
          <w:kern w:val="0"/>
          <w:sz w:val="30"/>
          <w:szCs w:val="30"/>
        </w:rPr>
      </w:pPr>
      <w:r>
        <w:rPr>
          <w:rFonts w:hint="eastAsia" w:ascii="宋体" w:hAnsi="宋体" w:cs="宋体"/>
          <w:b/>
          <w:bCs/>
          <w:kern w:val="0"/>
          <w:sz w:val="30"/>
          <w:szCs w:val="30"/>
        </w:rPr>
        <w:t xml:space="preserve">     研究生学位论文开题报告书</w:t>
      </w:r>
    </w:p>
    <w:p w14:paraId="7CC523B9">
      <w:pPr>
        <w:rPr>
          <w:rFonts w:hint="eastAsia" w:ascii="宋体" w:hAnsi="宋体" w:cs="宋体"/>
          <w:b/>
          <w:bCs/>
          <w:kern w:val="0"/>
          <w:sz w:val="28"/>
          <w:szCs w:val="28"/>
        </w:rPr>
      </w:pPr>
    </w:p>
    <w:p w14:paraId="35BA4487">
      <w:pPr>
        <w:rPr>
          <w:rFonts w:hint="eastAsia" w:ascii="宋体" w:hAnsi="宋体" w:cs="宋体"/>
          <w:b/>
          <w:bCs/>
          <w:kern w:val="0"/>
          <w:sz w:val="28"/>
          <w:szCs w:val="28"/>
        </w:rPr>
      </w:pPr>
    </w:p>
    <w:p w14:paraId="1FA69FC4">
      <w:pPr>
        <w:rPr>
          <w:rFonts w:hint="eastAsia" w:ascii="宋体" w:hAnsi="宋体" w:cs="宋体"/>
          <w:b/>
          <w:bCs/>
          <w:kern w:val="0"/>
          <w:sz w:val="30"/>
          <w:szCs w:val="30"/>
        </w:rPr>
      </w:pPr>
      <w:r>
        <w:rPr>
          <w:rFonts w:hint="eastAsia" w:ascii="宋体" w:hAnsi="宋体" w:cs="宋体"/>
          <w:b/>
          <w:bCs/>
          <w:kern w:val="0"/>
          <w:sz w:val="30"/>
          <w:szCs w:val="30"/>
        </w:rPr>
        <w:t>论文题目：</w:t>
      </w:r>
      <w:r>
        <w:rPr>
          <w:rFonts w:hint="eastAsia" w:ascii="宋体" w:hAnsi="宋体" w:cs="宋体"/>
          <w:b/>
          <w:bCs/>
          <w:kern w:val="0"/>
          <w:sz w:val="30"/>
          <w:szCs w:val="30"/>
          <w:lang w:val="en-US" w:eastAsia="zh-CN"/>
        </w:rPr>
        <w:t>跨周期的信贷风险预测研究——基于边界感知条件WGAN-GP的Stacking集成模型</w:t>
      </w:r>
    </w:p>
    <w:p w14:paraId="021F8D23">
      <w:pPr>
        <w:rPr>
          <w:rFonts w:hint="eastAsia" w:ascii="宋体" w:hAnsi="宋体" w:cs="宋体"/>
          <w:b/>
          <w:bCs/>
          <w:kern w:val="0"/>
          <w:sz w:val="28"/>
          <w:szCs w:val="28"/>
        </w:rPr>
      </w:pPr>
    </w:p>
    <w:p w14:paraId="5C8A3810">
      <w:pPr>
        <w:rPr>
          <w:rFonts w:hint="eastAsia" w:ascii="宋体" w:hAnsi="宋体" w:cs="宋体"/>
          <w:b/>
          <w:bCs/>
          <w:kern w:val="0"/>
          <w:sz w:val="28"/>
          <w:szCs w:val="28"/>
        </w:rPr>
      </w:pPr>
    </w:p>
    <w:p w14:paraId="7559587D">
      <w:pPr>
        <w:rPr>
          <w:rFonts w:hint="eastAsia" w:ascii="宋体" w:hAnsi="宋体" w:cs="宋体"/>
          <w:b/>
          <w:bCs/>
          <w:kern w:val="0"/>
          <w:sz w:val="28"/>
          <w:szCs w:val="28"/>
        </w:rPr>
      </w:pPr>
    </w:p>
    <w:p w14:paraId="16D92163">
      <w:pPr>
        <w:rPr>
          <w:rFonts w:hint="eastAsia" w:ascii="宋体" w:hAnsi="宋体" w:cs="宋体"/>
          <w:b/>
          <w:bCs/>
          <w:kern w:val="0"/>
          <w:sz w:val="28"/>
          <w:szCs w:val="28"/>
        </w:rPr>
      </w:pPr>
    </w:p>
    <w:p w14:paraId="5CD9EC28">
      <w:pPr>
        <w:ind w:firstLine="2007" w:firstLineChars="833"/>
        <w:rPr>
          <w:rFonts w:hint="eastAsia" w:ascii="宋体" w:hAnsi="宋体" w:eastAsia="宋体" w:cs="宋体"/>
          <w:b/>
          <w:bCs/>
          <w:kern w:val="0"/>
          <w:sz w:val="24"/>
          <w:lang w:val="en-US" w:eastAsia="zh-CN"/>
        </w:rPr>
      </w:pPr>
      <w:r>
        <w:rPr>
          <w:rFonts w:hint="eastAsia" w:ascii="宋体" w:hAnsi="宋体" w:cs="宋体"/>
          <w:b/>
          <w:bCs/>
          <w:kern w:val="0"/>
          <w:sz w:val="24"/>
        </w:rPr>
        <w:t>姓    名：</w:t>
      </w:r>
      <w:r>
        <w:rPr>
          <w:rFonts w:hint="eastAsia" w:ascii="宋体" w:hAnsi="宋体" w:cs="宋体"/>
          <w:b/>
          <w:bCs/>
          <w:kern w:val="0"/>
          <w:sz w:val="24"/>
          <w:lang w:val="en-US" w:eastAsia="zh-CN"/>
        </w:rPr>
        <w:t>蒋奕文</w:t>
      </w:r>
    </w:p>
    <w:p w14:paraId="09F45AF7">
      <w:pPr>
        <w:ind w:firstLine="2007" w:firstLineChars="833"/>
        <w:rPr>
          <w:rFonts w:hint="default" w:ascii="宋体" w:hAnsi="宋体" w:eastAsia="宋体" w:cs="宋体"/>
          <w:b/>
          <w:bCs/>
          <w:kern w:val="0"/>
          <w:sz w:val="24"/>
          <w:lang w:val="en-US" w:eastAsia="zh-CN"/>
        </w:rPr>
      </w:pPr>
      <w:r>
        <w:rPr>
          <w:rFonts w:hint="eastAsia" w:ascii="宋体" w:hAnsi="宋体" w:cs="宋体"/>
          <w:b/>
          <w:bCs/>
          <w:kern w:val="0"/>
          <w:sz w:val="24"/>
        </w:rPr>
        <w:t>学    号：</w:t>
      </w:r>
      <w:r>
        <w:rPr>
          <w:rFonts w:hint="eastAsia" w:ascii="宋体" w:hAnsi="宋体" w:cs="宋体"/>
          <w:b/>
          <w:bCs/>
          <w:kern w:val="0"/>
          <w:sz w:val="24"/>
          <w:lang w:val="en-US" w:eastAsia="zh-CN"/>
        </w:rPr>
        <w:t>2025213306</w:t>
      </w:r>
    </w:p>
    <w:p w14:paraId="6CBE9C78">
      <w:pPr>
        <w:ind w:firstLine="2007" w:firstLineChars="833"/>
        <w:rPr>
          <w:rFonts w:hint="default" w:ascii="宋体" w:hAnsi="宋体" w:eastAsia="宋体" w:cs="宋体"/>
          <w:b/>
          <w:bCs/>
          <w:kern w:val="0"/>
          <w:sz w:val="24"/>
          <w:lang w:val="en-US" w:eastAsia="zh-CN"/>
        </w:rPr>
      </w:pPr>
      <w:r>
        <w:rPr>
          <w:rFonts w:hint="eastAsia" w:ascii="宋体" w:hAnsi="宋体" w:cs="宋体"/>
          <w:b/>
          <w:bCs/>
          <w:kern w:val="0"/>
          <w:sz w:val="24"/>
        </w:rPr>
        <w:t>院 系 所：</w:t>
      </w:r>
      <w:r>
        <w:rPr>
          <w:rFonts w:hint="eastAsia" w:ascii="宋体" w:hAnsi="宋体" w:cs="宋体"/>
          <w:b/>
          <w:bCs/>
          <w:kern w:val="0"/>
          <w:sz w:val="24"/>
          <w:lang w:val="en-US" w:eastAsia="zh-CN"/>
        </w:rPr>
        <w:t>统计与数据科学学院</w:t>
      </w:r>
    </w:p>
    <w:p w14:paraId="719A8A6D">
      <w:pPr>
        <w:ind w:firstLine="2002" w:firstLineChars="831"/>
        <w:rPr>
          <w:rFonts w:hint="eastAsia" w:ascii="宋体" w:hAnsi="宋体" w:eastAsia="宋体" w:cs="宋体"/>
          <w:b/>
          <w:bCs/>
          <w:kern w:val="0"/>
          <w:sz w:val="24"/>
          <w:lang w:val="en-US" w:eastAsia="zh-CN"/>
        </w:rPr>
      </w:pPr>
      <w:r>
        <w:rPr>
          <w:rFonts w:hint="eastAsia" w:ascii="宋体" w:hAnsi="宋体" w:cs="宋体"/>
          <w:b/>
          <w:bCs/>
          <w:kern w:val="0"/>
          <w:sz w:val="24"/>
        </w:rPr>
        <w:t>专    业：</w:t>
      </w:r>
      <w:r>
        <w:rPr>
          <w:rFonts w:hint="eastAsia" w:ascii="宋体" w:hAnsi="宋体" w:cs="宋体"/>
          <w:b/>
          <w:bCs/>
          <w:kern w:val="0"/>
          <w:sz w:val="24"/>
          <w:lang w:val="en-US" w:eastAsia="zh-CN"/>
        </w:rPr>
        <w:t>应用统计学</w:t>
      </w:r>
    </w:p>
    <w:p w14:paraId="6FFBEC3C">
      <w:pPr>
        <w:ind w:firstLine="2002" w:firstLineChars="831"/>
        <w:rPr>
          <w:rFonts w:hint="eastAsia" w:ascii="宋体" w:hAnsi="宋体" w:eastAsia="宋体" w:cs="宋体"/>
          <w:b/>
          <w:bCs/>
          <w:kern w:val="0"/>
          <w:sz w:val="24"/>
          <w:lang w:val="en-US" w:eastAsia="zh-CN"/>
        </w:rPr>
      </w:pPr>
      <w:r>
        <w:rPr>
          <w:rFonts w:hint="eastAsia" w:ascii="宋体" w:hAnsi="宋体" w:cs="宋体"/>
          <w:b/>
          <w:bCs/>
          <w:kern w:val="0"/>
          <w:sz w:val="24"/>
        </w:rPr>
        <w:t>培养层次:</w:t>
      </w:r>
      <w:r>
        <w:rPr>
          <w:rFonts w:hint="eastAsia" w:ascii="宋体" w:hAnsi="宋体" w:cs="宋体"/>
          <w:b/>
          <w:bCs/>
          <w:kern w:val="0"/>
          <w:sz w:val="24"/>
          <w:lang w:val="en-US" w:eastAsia="zh-CN"/>
        </w:rPr>
        <w:t>专业型硕士</w:t>
      </w:r>
    </w:p>
    <w:p w14:paraId="1200E981">
      <w:pPr>
        <w:rPr>
          <w:rFonts w:hint="eastAsia" w:ascii="宋体" w:hAnsi="宋体" w:cs="宋体"/>
          <w:b/>
          <w:bCs/>
          <w:kern w:val="0"/>
          <w:szCs w:val="21"/>
        </w:rPr>
      </w:pPr>
    </w:p>
    <w:p w14:paraId="7ED76A8B">
      <w:pPr>
        <w:rPr>
          <w:rFonts w:hint="eastAsia" w:ascii="宋体" w:hAnsi="宋体" w:cs="宋体"/>
          <w:b/>
          <w:bCs/>
          <w:kern w:val="0"/>
          <w:szCs w:val="21"/>
        </w:rPr>
      </w:pPr>
    </w:p>
    <w:p w14:paraId="49905E4A">
      <w:pPr>
        <w:numPr>
          <w:ilvl w:val="0"/>
          <w:numId w:val="1"/>
        </w:numPr>
        <w:outlineLvl w:val="0"/>
        <w:rPr>
          <w:rFonts w:hint="eastAsia" w:ascii="Times New Roman" w:hAnsi="Times New Roman" w:eastAsia="黑体" w:cs="Times New Roman"/>
          <w:b/>
          <w:bCs/>
          <w:kern w:val="44"/>
          <w:sz w:val="32"/>
          <w:szCs w:val="32"/>
        </w:rPr>
      </w:pPr>
      <w:r>
        <w:rPr>
          <w:rFonts w:hint="eastAsia" w:ascii="宋体" w:hAnsi="宋体" w:cs="宋体"/>
          <w:kern w:val="0"/>
          <w:szCs w:val="21"/>
        </w:rPr>
        <w:br w:type="page"/>
      </w:r>
      <w:r>
        <w:rPr>
          <w:rFonts w:hint="eastAsia" w:ascii="Times New Roman" w:hAnsi="Times New Roman" w:eastAsia="黑体" w:cs="Times New Roman"/>
          <w:b/>
          <w:bCs/>
          <w:kern w:val="44"/>
          <w:sz w:val="32"/>
          <w:szCs w:val="32"/>
        </w:rPr>
        <w:t>选题的背景、研究问题、理论意义、实用价值</w:t>
      </w:r>
    </w:p>
    <w:p w14:paraId="37DDA22A">
      <w:pPr>
        <w:numPr>
          <w:ilvl w:val="0"/>
          <w:numId w:val="2"/>
        </w:numPr>
        <w:spacing w:line="300" w:lineRule="auto"/>
        <w:ind w:firstLine="562" w:firstLineChars="200"/>
        <w:jc w:val="left"/>
        <w:outlineLvl w:val="1"/>
        <w:rPr>
          <w:rFonts w:hint="eastAsia" w:ascii="Calibri Light" w:hAnsi="Calibri Light" w:eastAsia="宋体" w:cs="Times New Roman"/>
          <w:b/>
          <w:bCs/>
          <w:kern w:val="0"/>
          <w:sz w:val="28"/>
          <w:szCs w:val="28"/>
        </w:rPr>
      </w:pPr>
      <w:r>
        <w:rPr>
          <w:rFonts w:hint="eastAsia" w:ascii="Calibri Light" w:hAnsi="Calibri Light" w:eastAsia="宋体" w:cs="Times New Roman"/>
          <w:b/>
          <w:bCs/>
          <w:kern w:val="0"/>
          <w:sz w:val="28"/>
          <w:szCs w:val="28"/>
        </w:rPr>
        <w:t>研究背景</w:t>
      </w:r>
    </w:p>
    <w:p w14:paraId="51A16529">
      <w:pPr>
        <w:spacing w:line="300" w:lineRule="auto"/>
        <w:ind w:firstLine="480" w:firstLineChars="200"/>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近年来，随着我国经济的稳步增长以及互联网金融的快速发展，国内个人信贷行业迈入规模化、多元化的高速发展阶段，各类个人消费贷款、小额经营贷款产品持续丰富，业务覆盖面持续扩大，个人贷款已成为我国零售金融体系的核心组成部分，也是激发居民消费活力、支撑小微经营发展的重要金融载体</w:t>
      </w:r>
      <w:r>
        <w:rPr>
          <w:rFonts w:hint="eastAsia" w:ascii="Times New Roman" w:hAnsi="Times New Roman" w:eastAsia="宋体" w:cs="Times New Roman"/>
          <w:kern w:val="0"/>
          <w:sz w:val="24"/>
          <w:szCs w:val="28"/>
          <w:lang w:val="en-US" w:eastAsia="zh-CN"/>
        </w:rPr>
        <w:t>，其风险管控成效直接关乎商业银行资产质量、零售金融生态稳定与宏观金融安全。</w:t>
      </w:r>
    </w:p>
    <w:p w14:paraId="4B2B15B7">
      <w:pPr>
        <w:spacing w:line="300" w:lineRule="auto"/>
        <w:ind w:firstLine="480" w:firstLineChars="200"/>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根据中国人民银行发布的《金融机构贷款投向统计报告》的公开数据</w:t>
      </w:r>
      <w:r>
        <w:rPr>
          <w:rFonts w:hint="eastAsia" w:ascii="Times New Roman" w:hAnsi="Times New Roman" w:eastAsia="宋体" w:cs="Times New Roman"/>
          <w:kern w:val="0"/>
          <w:sz w:val="24"/>
          <w:szCs w:val="28"/>
          <w:lang w:val="en-US" w:eastAsia="zh-CN"/>
        </w:rPr>
        <w:t>显示，2025年一季度末我国住户贷款余额达83.88万亿元，其中不含个人住房的消费性贷款余额突破21.02万亿元，同比增长6.1%，个人贷款市场整体规模持续扩容、渗透力度不断提升，行业整体进入规模增量与风险管控并行的关键发展阶段。与此同时，</w:t>
      </w:r>
      <w:r>
        <w:rPr>
          <w:rFonts w:hint="eastAsia" w:ascii="Times New Roman" w:hAnsi="Times New Roman" w:eastAsia="宋体" w:cs="Times New Roman"/>
          <w:kern w:val="0"/>
          <w:sz w:val="24"/>
          <w:szCs w:val="28"/>
          <w:lang w:val="en-US" w:eastAsia="zh-CN"/>
        </w:rPr>
        <w:t>伴随个人信贷业务的快速扩张，信贷客户群体愈发下沉、风险结构日趋复杂，叠加近年宏观经济波动、市场利率调整、居民收入稳定性波动等外部因素影响，个人贷款不良风险呈现持续抬头态势，部分金融机构个人消费贷不良率已突破12%，信贷风险的隐蔽性、突发性、跨周期波动特征愈发凸显，行业风险防控压力持续加大。</w:t>
      </w:r>
    </w:p>
    <w:p w14:paraId="593CE52B">
      <w:pPr>
        <w:spacing w:line="300" w:lineRule="auto"/>
        <w:ind w:firstLine="480" w:firstLineChars="200"/>
        <w:jc w:val="left"/>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针对个人信贷领域风险结构化攀升的行业现状，国家层面</w:t>
      </w:r>
      <w:r>
        <w:rPr>
          <w:rFonts w:hint="eastAsia" w:cs="Times New Roman"/>
          <w:kern w:val="0"/>
          <w:sz w:val="24"/>
          <w:szCs w:val="28"/>
          <w:lang w:val="en-US" w:eastAsia="zh-CN"/>
        </w:rPr>
        <w:t>也</w:t>
      </w:r>
      <w:r>
        <w:rPr>
          <w:rFonts w:hint="eastAsia" w:ascii="Times New Roman" w:hAnsi="Times New Roman" w:eastAsia="宋体" w:cs="Times New Roman"/>
          <w:kern w:val="0"/>
          <w:sz w:val="24"/>
          <w:szCs w:val="28"/>
          <w:lang w:val="en-US" w:eastAsia="zh-CN"/>
        </w:rPr>
        <w:t>持续强化顶层监管布局，出台多项专项政策收紧信贷风控尺度、规范行业经营秩序，充分体现了监管部门对个人信贷风险防控的高度重视。2025年中国人民银行与国家金融监督管理总局联合印发《个人贷款业务明示综合融资成本规定》，同步落地助贷业务合规管控新规，明确要求金融机构全面明示个人贷款综合融资成本、严控贷款息费乱象、规范信贷业务审批与风险披露流程，同时明确提出专项管控目标，计划在2026年底前大幅压降超4倍LPR的高成本个人贷款存量占比，从政策源头遏制高风险信贷业务扩张。</w:t>
      </w:r>
    </w:p>
    <w:p w14:paraId="4A8A7983">
      <w:pPr>
        <w:spacing w:line="300" w:lineRule="auto"/>
        <w:ind w:firstLine="480" w:firstLineChars="200"/>
        <w:jc w:val="left"/>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在常态化强监管的政策背景下，传统人工风控规则、单一统计模型的风控模式弊端全面凸显，难以适配精细化、跨周期的风险管控要求，同时现有学术与行业建模普遍存在数据利用不充分的问题，个人信贷时序数据中普遍存在类别极度不平衡、右删失高风险样本闲置、风险决策边界模糊等核心缺陷，大量观测时长不足标准周期但已出现短期快速违约的高价值删失样本被直接剔除，造成关键风险信息严重流失，且多数模型仅依托样本内静态验证，缺乏对加息、监管收紧等宏观波动周期的适配性检验，导致模型泛化能力弱、实战落地性不足，难以满足当前国家强监管下的信贷风险预警与防控需求。</w:t>
      </w:r>
    </w:p>
    <w:p w14:paraId="7650B8DE">
      <w:pPr>
        <w:spacing w:line="300" w:lineRule="auto"/>
        <w:ind w:firstLine="480" w:firstLineChars="200"/>
        <w:jc w:val="left"/>
        <w:outlineLvl w:val="9"/>
        <w:rPr>
          <w:rFonts w:hint="eastAsia" w:ascii="Times New Roman" w:hAnsi="Times New Roman" w:eastAsia="宋体" w:cs="Times New Roman"/>
          <w:kern w:val="0"/>
          <w:sz w:val="24"/>
          <w:szCs w:val="28"/>
          <w:lang w:val="en-US" w:eastAsia="zh-CN"/>
        </w:rPr>
      </w:pPr>
      <w:r>
        <w:rPr>
          <w:rFonts w:hint="eastAsia" w:cs="Times New Roman"/>
          <w:kern w:val="0"/>
          <w:sz w:val="24"/>
          <w:szCs w:val="28"/>
          <w:lang w:val="en-US" w:eastAsia="zh-CN"/>
        </w:rPr>
        <w:t>同时</w:t>
      </w:r>
      <w:r>
        <w:rPr>
          <w:rFonts w:hint="eastAsia" w:ascii="Times New Roman" w:hAnsi="Times New Roman" w:eastAsia="宋体" w:cs="Times New Roman"/>
          <w:kern w:val="0"/>
          <w:sz w:val="24"/>
          <w:szCs w:val="28"/>
          <w:lang w:val="en-US" w:eastAsia="zh-CN"/>
        </w:rPr>
        <w:t>随着生成式机器学习、多模型集成学习、可解释性人工智能技术在金融领域的深度落地，信贷风险防控正式从传统规则化风控、单一模型拟合，转向数据精细化挖掘、算法智能化建模、结果可解释化分析的全新阶段。现有研究逐步通过智能过采样算法改善信贷数据极端不平衡问题，依托集成学习算法融合多模型优势提升风险预测的鲁棒性，借助SHAP、LIME等可解释算法打破机器学习模型黑盒弊端，为跨周期信贷风险管控提供了全新的技术突破口。</w:t>
      </w:r>
    </w:p>
    <w:p w14:paraId="0148DEE8">
      <w:pPr>
        <w:numPr>
          <w:ilvl w:val="0"/>
          <w:numId w:val="2"/>
        </w:numPr>
        <w:spacing w:line="300" w:lineRule="auto"/>
        <w:ind w:firstLine="562" w:firstLineChars="200"/>
        <w:jc w:val="left"/>
        <w:outlineLvl w:val="1"/>
        <w:rPr>
          <w:rFonts w:hint="eastAsia" w:ascii="Calibri Light" w:hAnsi="Calibri Light" w:eastAsia="宋体" w:cs="Times New Roman"/>
          <w:b/>
          <w:bCs/>
          <w:kern w:val="0"/>
          <w:sz w:val="28"/>
          <w:szCs w:val="28"/>
        </w:rPr>
      </w:pPr>
      <w:r>
        <w:rPr>
          <w:rFonts w:hint="eastAsia" w:ascii="Calibri Light" w:hAnsi="Calibri Light" w:cs="Times New Roman"/>
          <w:b/>
          <w:bCs/>
          <w:kern w:val="0"/>
          <w:sz w:val="28"/>
          <w:szCs w:val="28"/>
          <w:lang w:val="en-US" w:eastAsia="zh-CN"/>
        </w:rPr>
        <w:t>研究意义</w:t>
      </w:r>
    </w:p>
    <w:p w14:paraId="7BCEA85C">
      <w:pPr>
        <w:spacing w:line="300" w:lineRule="auto"/>
        <w:ind w:firstLine="480" w:firstLineChars="200"/>
        <w:jc w:val="left"/>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为有效改善传统个人贷款风控建模数据利用低效、模型泛化性差且可解释性薄弱的行业痛点，进一步完善金融智能风控的量化研究体系，本文通过构建边界感知条件生成对抗网络</w:t>
      </w:r>
      <w:r>
        <w:rPr>
          <w:rFonts w:hint="eastAsia" w:cs="Times New Roman"/>
          <w:kern w:val="0"/>
          <w:sz w:val="24"/>
          <w:szCs w:val="28"/>
          <w:lang w:val="en-US" w:eastAsia="zh-CN"/>
        </w:rPr>
        <w:t>来对</w:t>
      </w:r>
      <w:r>
        <w:rPr>
          <w:rFonts w:hint="eastAsia" w:ascii="Times New Roman" w:hAnsi="Times New Roman" w:eastAsia="宋体" w:cs="Times New Roman"/>
          <w:kern w:val="0"/>
          <w:sz w:val="24"/>
          <w:szCs w:val="28"/>
          <w:lang w:val="en-US" w:eastAsia="zh-CN"/>
        </w:rPr>
        <w:t>不平衡样本</w:t>
      </w:r>
      <w:r>
        <w:rPr>
          <w:rFonts w:hint="eastAsia" w:cs="Times New Roman"/>
          <w:kern w:val="0"/>
          <w:sz w:val="24"/>
          <w:szCs w:val="28"/>
          <w:lang w:val="en-US" w:eastAsia="zh-CN"/>
        </w:rPr>
        <w:t>进行处理</w:t>
      </w:r>
      <w:r>
        <w:rPr>
          <w:rFonts w:hint="eastAsia" w:ascii="Times New Roman" w:hAnsi="Times New Roman" w:eastAsia="宋体" w:cs="Times New Roman"/>
          <w:kern w:val="0"/>
          <w:sz w:val="24"/>
          <w:szCs w:val="28"/>
          <w:lang w:val="en-US" w:eastAsia="zh-CN"/>
        </w:rPr>
        <w:t>，</w:t>
      </w:r>
      <w:r>
        <w:rPr>
          <w:rFonts w:hint="eastAsia" w:cs="Times New Roman"/>
          <w:kern w:val="0"/>
          <w:sz w:val="24"/>
          <w:szCs w:val="28"/>
          <w:lang w:val="en-US" w:eastAsia="zh-CN"/>
        </w:rPr>
        <w:t>并</w:t>
      </w:r>
      <w:r>
        <w:rPr>
          <w:rFonts w:hint="eastAsia" w:ascii="Times New Roman" w:hAnsi="Times New Roman" w:eastAsia="宋体" w:cs="Times New Roman"/>
          <w:kern w:val="0"/>
          <w:sz w:val="24"/>
          <w:szCs w:val="28"/>
          <w:lang w:val="en-US" w:eastAsia="zh-CN"/>
        </w:rPr>
        <w:t>结合Stacking集成学习框架与SHAP可解释算法开展个人贷款跨周期违约预测研究，具备重要的理论意义</w:t>
      </w:r>
      <w:r>
        <w:rPr>
          <w:rFonts w:hint="eastAsia" w:cs="Times New Roman"/>
          <w:kern w:val="0"/>
          <w:sz w:val="24"/>
          <w:szCs w:val="28"/>
          <w:lang w:val="en-US" w:eastAsia="zh-CN"/>
        </w:rPr>
        <w:t>和现实意义</w:t>
      </w:r>
      <w:r>
        <w:rPr>
          <w:rFonts w:hint="eastAsia" w:ascii="Times New Roman" w:hAnsi="Times New Roman" w:eastAsia="宋体" w:cs="Times New Roman"/>
          <w:kern w:val="0"/>
          <w:sz w:val="24"/>
          <w:szCs w:val="28"/>
          <w:lang w:val="en-US" w:eastAsia="zh-CN"/>
        </w:rPr>
        <w:t>。</w:t>
      </w:r>
    </w:p>
    <w:p w14:paraId="2232C741">
      <w:pPr>
        <w:spacing w:line="300" w:lineRule="auto"/>
        <w:ind w:firstLine="482" w:firstLineChars="200"/>
        <w:jc w:val="left"/>
        <w:outlineLvl w:val="2"/>
        <w:rPr>
          <w:rFonts w:hint="default" w:ascii="Times New Roman" w:hAnsi="Times New Roman" w:eastAsia="宋体" w:cs="Times New Roman"/>
          <w:kern w:val="0"/>
          <w:sz w:val="24"/>
          <w:szCs w:val="28"/>
          <w:lang w:val="en-US" w:eastAsia="zh-CN"/>
        </w:rPr>
      </w:pPr>
      <w:r>
        <w:rPr>
          <w:rFonts w:hint="eastAsia" w:ascii="Times New Roman" w:hAnsi="Times New Roman" w:eastAsia="宋体" w:cs="Times New Roman"/>
          <w:b/>
          <w:bCs/>
          <w:kern w:val="0"/>
          <w:sz w:val="24"/>
          <w:szCs w:val="28"/>
          <w:lang w:val="en-US" w:eastAsia="zh-CN"/>
        </w:rPr>
        <w:t>1.</w:t>
      </w:r>
      <w:r>
        <w:rPr>
          <w:rFonts w:hint="eastAsia" w:ascii="Times New Roman" w:hAnsi="Times New Roman" w:eastAsia="宋体" w:cs="Times New Roman"/>
          <w:b/>
          <w:bCs/>
          <w:kern w:val="0"/>
          <w:sz w:val="24"/>
          <w:szCs w:val="28"/>
        </w:rPr>
        <w:t>理论意义</w:t>
      </w:r>
    </w:p>
    <w:p w14:paraId="23FD0FC3">
      <w:pPr>
        <w:spacing w:line="300" w:lineRule="auto"/>
        <w:ind w:firstLine="480" w:firstLineChars="200"/>
        <w:jc w:val="left"/>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从理论意义层面来看，</w:t>
      </w:r>
      <w:r>
        <w:rPr>
          <w:rFonts w:hint="eastAsia" w:ascii="Times New Roman" w:hAnsi="Times New Roman" w:eastAsia="宋体" w:cs="Times New Roman"/>
          <w:kern w:val="0"/>
          <w:sz w:val="24"/>
          <w:szCs w:val="28"/>
          <w:lang w:val="en-US" w:eastAsia="zh-CN"/>
        </w:rPr>
        <w:t>本文没有采取</w:t>
      </w:r>
      <w:r>
        <w:rPr>
          <w:rFonts w:hint="eastAsia" w:ascii="Times New Roman" w:hAnsi="Times New Roman" w:eastAsia="宋体" w:cs="Times New Roman"/>
          <w:kern w:val="0"/>
          <w:sz w:val="24"/>
          <w:szCs w:val="28"/>
          <w:lang w:val="en-US" w:eastAsia="zh-CN"/>
        </w:rPr>
        <w:t>传统删失数据直接剔除的方式</w:t>
      </w:r>
      <w:r>
        <w:rPr>
          <w:rFonts w:hint="eastAsia" w:ascii="Times New Roman" w:hAnsi="Times New Roman" w:eastAsia="宋体" w:cs="Times New Roman"/>
          <w:kern w:val="0"/>
          <w:sz w:val="24"/>
          <w:szCs w:val="28"/>
          <w:lang w:val="en-US" w:eastAsia="zh-CN"/>
        </w:rPr>
        <w:t>，而是</w:t>
      </w:r>
      <w:r>
        <w:rPr>
          <w:rFonts w:hint="eastAsia" w:ascii="Times New Roman" w:hAnsi="Times New Roman" w:eastAsia="宋体" w:cs="Times New Roman"/>
          <w:kern w:val="0"/>
          <w:sz w:val="24"/>
          <w:szCs w:val="28"/>
          <w:lang w:val="en-US" w:eastAsia="zh-CN"/>
        </w:rPr>
        <w:t>将右删失快速违约样本作为生成模型的条件引导先验，搭建起“删失信息挖掘-边界感知生成”的不平衡数据增强框架。同时，区别于传统研究单一数据集验证的局限模式，本文构建OOS样本内测试与OOT跨时间测试的双验证体系，结合加息宏观波动场景检验模型鲁棒性，验证</w:t>
      </w:r>
      <w:r>
        <w:rPr>
          <w:rFonts w:hint="eastAsia" w:ascii="Times New Roman" w:hAnsi="Times New Roman" w:eastAsia="宋体" w:cs="Times New Roman"/>
          <w:kern w:val="0"/>
          <w:sz w:val="24"/>
          <w:szCs w:val="28"/>
          <w:lang w:val="en-US" w:eastAsia="zh-CN"/>
        </w:rPr>
        <w:t>不同经济周期下信贷违约风险的差异化影响机制。此外，研究将SHAP可解释性算法与Stacking集成学习模型深度结合，实现信贷违约预测全局特征贡献与局部样本风险的双维度解析，解决</w:t>
      </w:r>
      <w:r>
        <w:rPr>
          <w:rFonts w:hint="eastAsia" w:ascii="Times New Roman" w:hAnsi="Times New Roman" w:eastAsia="宋体" w:cs="Times New Roman"/>
          <w:kern w:val="0"/>
          <w:sz w:val="24"/>
          <w:szCs w:val="28"/>
          <w:lang w:val="en-US" w:eastAsia="zh-CN"/>
        </w:rPr>
        <w:t>传统机器学习风控模型的黑箱问题</w:t>
      </w:r>
      <w:r>
        <w:rPr>
          <w:rFonts w:hint="eastAsia" w:ascii="Times New Roman" w:hAnsi="Times New Roman" w:eastAsia="宋体" w:cs="Times New Roman"/>
          <w:kern w:val="0"/>
          <w:sz w:val="24"/>
          <w:szCs w:val="28"/>
          <w:lang w:val="en-US" w:eastAsia="zh-CN"/>
        </w:rPr>
        <w:t>，显著提升了智能风控建模体系的完整性与理论科学性。</w:t>
      </w:r>
    </w:p>
    <w:p w14:paraId="65FB83DC">
      <w:pPr>
        <w:spacing w:line="300" w:lineRule="auto"/>
        <w:ind w:firstLine="482" w:firstLineChars="200"/>
        <w:jc w:val="left"/>
        <w:outlineLvl w:val="2"/>
        <w:rPr>
          <w:rFonts w:hint="eastAsia" w:ascii="Times New Roman" w:hAnsi="Times New Roman" w:eastAsia="宋体" w:cs="Times New Roman"/>
          <w:b/>
          <w:bCs/>
          <w:kern w:val="0"/>
          <w:sz w:val="24"/>
          <w:szCs w:val="28"/>
          <w:lang w:val="en-US" w:eastAsia="zh-CN"/>
        </w:rPr>
      </w:pPr>
      <w:r>
        <w:rPr>
          <w:rFonts w:hint="eastAsia" w:ascii="Times New Roman" w:hAnsi="Times New Roman" w:eastAsia="宋体" w:cs="Times New Roman"/>
          <w:b/>
          <w:bCs/>
          <w:kern w:val="0"/>
          <w:sz w:val="24"/>
          <w:szCs w:val="28"/>
          <w:lang w:val="en-US" w:eastAsia="zh-CN"/>
        </w:rPr>
        <w:t>2.实用价值</w:t>
      </w:r>
    </w:p>
    <w:p w14:paraId="5F4FBEE7">
      <w:pPr>
        <w:spacing w:line="300" w:lineRule="auto"/>
        <w:ind w:firstLine="480" w:firstLineChars="200"/>
        <w:rPr>
          <w:rFonts w:hint="eastAsia" w:cs="Times New Roman"/>
          <w:kern w:val="0"/>
          <w:sz w:val="24"/>
          <w:szCs w:val="28"/>
          <w:lang w:val="en-US" w:eastAsia="zh-CN"/>
        </w:rPr>
      </w:pPr>
      <w:r>
        <w:rPr>
          <w:rFonts w:hint="eastAsia" w:cs="Times New Roman"/>
          <w:kern w:val="0"/>
          <w:sz w:val="24"/>
          <w:szCs w:val="28"/>
          <w:lang w:val="en-US" w:eastAsia="zh-CN"/>
        </w:rPr>
        <w:t>实践意义层面，主要有以下三点：</w:t>
      </w:r>
    </w:p>
    <w:p w14:paraId="0D6F764B">
      <w:pPr>
        <w:spacing w:line="300" w:lineRule="auto"/>
        <w:ind w:firstLine="480" w:firstLineChars="200"/>
        <w:rPr>
          <w:rFonts w:hint="eastAsia" w:ascii="Times New Roman" w:hAnsi="Times New Roman" w:eastAsia="宋体" w:cs="Times New Roman"/>
          <w:kern w:val="0"/>
          <w:sz w:val="24"/>
          <w:szCs w:val="28"/>
          <w:lang w:val="en-US" w:eastAsia="zh-CN"/>
        </w:rPr>
      </w:pPr>
      <w:r>
        <w:rPr>
          <w:rFonts w:hint="eastAsia" w:cs="Times New Roman"/>
          <w:kern w:val="0"/>
          <w:sz w:val="24"/>
          <w:szCs w:val="28"/>
          <w:lang w:val="en-US" w:eastAsia="zh-CN"/>
        </w:rPr>
        <w:t>一是</w:t>
      </w:r>
      <w:r>
        <w:rPr>
          <w:rFonts w:hint="eastAsia" w:ascii="Times New Roman" w:hAnsi="Times New Roman" w:eastAsia="宋体" w:cs="Times New Roman"/>
          <w:kern w:val="0"/>
          <w:sz w:val="24"/>
          <w:szCs w:val="28"/>
          <w:lang w:val="en-US" w:eastAsia="zh-CN"/>
        </w:rPr>
        <w:t>所构建的BA-cWGAN-GP样本增强方法与Stacking集成预测模型，能够显著提升低违约率信贷场景下的风险识别精度，可</w:t>
      </w:r>
      <w:r>
        <w:rPr>
          <w:rFonts w:hint="eastAsia" w:cs="Times New Roman"/>
          <w:kern w:val="0"/>
          <w:sz w:val="24"/>
          <w:szCs w:val="28"/>
          <w:lang w:val="en-US" w:eastAsia="zh-CN"/>
        </w:rPr>
        <w:t>为</w:t>
      </w:r>
      <w:r>
        <w:rPr>
          <w:rFonts w:hint="eastAsia" w:ascii="Times New Roman" w:hAnsi="Times New Roman" w:eastAsia="宋体" w:cs="Times New Roman"/>
          <w:kern w:val="0"/>
          <w:sz w:val="24"/>
          <w:szCs w:val="28"/>
          <w:lang w:val="en-US" w:eastAsia="zh-CN"/>
        </w:rPr>
        <w:t>金融机构</w:t>
      </w:r>
      <w:r>
        <w:rPr>
          <w:rFonts w:hint="eastAsia" w:cs="Times New Roman"/>
          <w:kern w:val="0"/>
          <w:sz w:val="24"/>
          <w:szCs w:val="28"/>
          <w:lang w:val="en-US" w:eastAsia="zh-CN"/>
        </w:rPr>
        <w:t>在</w:t>
      </w:r>
      <w:r>
        <w:rPr>
          <w:rFonts w:hint="eastAsia" w:ascii="Times New Roman" w:hAnsi="Times New Roman" w:eastAsia="宋体" w:cs="Times New Roman"/>
          <w:kern w:val="0"/>
          <w:sz w:val="24"/>
          <w:szCs w:val="28"/>
          <w:lang w:val="en-US" w:eastAsia="zh-CN"/>
        </w:rPr>
        <w:t>智能风控建模提供成熟有效的技术方案。</w:t>
      </w:r>
    </w:p>
    <w:p w14:paraId="46D4C1DB">
      <w:pPr>
        <w:spacing w:line="300" w:lineRule="auto"/>
        <w:ind w:firstLine="480" w:firstLineChars="200"/>
        <w:rPr>
          <w:rFonts w:hint="eastAsia" w:ascii="Times New Roman" w:hAnsi="Times New Roman" w:eastAsia="宋体" w:cs="Times New Roman"/>
          <w:kern w:val="0"/>
          <w:sz w:val="24"/>
          <w:szCs w:val="28"/>
          <w:lang w:val="en-US" w:eastAsia="zh-CN"/>
        </w:rPr>
      </w:pPr>
      <w:r>
        <w:rPr>
          <w:rFonts w:hint="eastAsia" w:cs="Times New Roman"/>
          <w:kern w:val="0"/>
          <w:sz w:val="24"/>
          <w:szCs w:val="28"/>
          <w:lang w:val="en-US" w:eastAsia="zh-CN"/>
        </w:rPr>
        <w:t>二是</w:t>
      </w:r>
      <w:r>
        <w:rPr>
          <w:rFonts w:hint="eastAsia" w:ascii="Times New Roman" w:hAnsi="Times New Roman" w:eastAsia="宋体" w:cs="Times New Roman"/>
          <w:kern w:val="0"/>
          <w:sz w:val="24"/>
          <w:szCs w:val="28"/>
          <w:lang w:val="en-US" w:eastAsia="zh-CN"/>
        </w:rPr>
        <w:t>依托OOS与OOT双测试体系的跨周期实证研究，精准对比加息波动周期与常规运营周期的违约特征差异，明确不同宏观环境下住房信贷的核心风险因子，能够帮助金融机构依据市场环境动态调整风控策略，有效防范宏观市场波动引发的集中违约风险，为跨周期风控决策提供坚实的数据支撑与决策参考。</w:t>
      </w:r>
    </w:p>
    <w:p w14:paraId="7A2E37B8">
      <w:pPr>
        <w:spacing w:line="300" w:lineRule="auto"/>
        <w:ind w:firstLine="480" w:firstLineChars="200"/>
        <w:rPr>
          <w:rFonts w:hint="eastAsia" w:ascii="Calibri Light" w:hAnsi="Calibri Light" w:eastAsia="宋体" w:cs="Times New Roman"/>
          <w:b/>
          <w:bCs/>
          <w:kern w:val="0"/>
          <w:sz w:val="28"/>
          <w:szCs w:val="28"/>
        </w:rPr>
      </w:pPr>
      <w:r>
        <w:rPr>
          <w:rFonts w:hint="eastAsia" w:cs="Times New Roman"/>
          <w:kern w:val="0"/>
          <w:sz w:val="24"/>
          <w:szCs w:val="28"/>
          <w:lang w:val="en-US" w:eastAsia="zh-CN"/>
        </w:rPr>
        <w:t>三是</w:t>
      </w:r>
      <w:r>
        <w:rPr>
          <w:rFonts w:hint="eastAsia" w:ascii="Times New Roman" w:hAnsi="Times New Roman" w:eastAsia="宋体" w:cs="Times New Roman"/>
          <w:kern w:val="0"/>
          <w:sz w:val="24"/>
          <w:szCs w:val="28"/>
          <w:lang w:val="en-US" w:eastAsia="zh-CN"/>
        </w:rPr>
        <w:t>，基于SHAP算法提炼的可解释风控规则，彻底打破了传统机器学习模型仅能预测、无法解释的落地壁垒，便于一线风控人员直观理解模型决策逻辑与风险传导路径，大幅提升智能风控体系的可信度与实际落地应用效率。</w:t>
      </w:r>
    </w:p>
    <w:p w14:paraId="0FB11FA1">
      <w:pPr>
        <w:numPr>
          <w:ilvl w:val="0"/>
          <w:numId w:val="2"/>
        </w:numPr>
        <w:spacing w:line="300" w:lineRule="auto"/>
        <w:ind w:firstLine="562" w:firstLineChars="200"/>
        <w:jc w:val="left"/>
        <w:outlineLvl w:val="1"/>
        <w:rPr>
          <w:rFonts w:hint="eastAsia" w:ascii="Calibri Light" w:hAnsi="Calibri Light" w:eastAsia="宋体" w:cs="Times New Roman"/>
          <w:b/>
          <w:bCs/>
          <w:kern w:val="0"/>
          <w:sz w:val="28"/>
          <w:szCs w:val="28"/>
        </w:rPr>
      </w:pPr>
      <w:r>
        <w:rPr>
          <w:rFonts w:hint="eastAsia" w:ascii="Calibri Light" w:hAnsi="Calibri Light" w:eastAsia="宋体" w:cs="Times New Roman"/>
          <w:b/>
          <w:bCs/>
          <w:kern w:val="0"/>
          <w:sz w:val="28"/>
          <w:szCs w:val="28"/>
        </w:rPr>
        <w:t>研究问题</w:t>
      </w:r>
    </w:p>
    <w:p w14:paraId="729A5F60">
      <w:pPr>
        <w:spacing w:line="300" w:lineRule="auto"/>
        <w:ind w:firstLine="480" w:firstLineChars="200"/>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本文围绕住房信贷违约预测的现实痛点与技术缺陷，聚焦四大核心研究问题展开深入探究。首先针对传统研究直接舍弃观测期不足24个月的删失样本的固有问题，探究如何挖掘其中快速违约样本的风险特征，将删失数据蕴含的先验信息转化为模型训练的有效约束信号，有效弥补低违约样本场景下的特征缺失问题；其次针对SMOTE、基础GAN等传统采样方法存在的样本同质化、边界模糊、无效生成等缺陷，研究构建边界感知条件生成机制的有效路径，通过定向生成贴近决策边界的高质量违约样本，解决数据极端不平衡引发的模型退化问题；同时，针对LR、XGBoost、LightGBM等单一模型无法兼顾线性解释性与非线性风险挖掘能力、泛化性能有限的问题，尝试依托Stacking集成学习融合多类模型优势，搭建具备高鲁棒性的信贷违约预测框架；最后立足于宏观市场波动背景，探究不同经济周期下住房信贷违约核心驱动特征的差异化规律，通过量化分析常规周期与加息波动周期的特征影响差异，提炼贴合金融业务落地的风控规则。</w:t>
      </w:r>
    </w:p>
    <w:p w14:paraId="43C5659E">
      <w:pPr>
        <w:numPr>
          <w:ilvl w:val="0"/>
          <w:numId w:val="1"/>
        </w:numPr>
        <w:outlineLvl w:val="0"/>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rPr>
        <w:t>国内外研究现状与发展趋势</w:t>
      </w:r>
    </w:p>
    <w:p w14:paraId="4EDD05A1">
      <w:pPr>
        <w:spacing w:line="300" w:lineRule="auto"/>
        <w:ind w:firstLine="480" w:firstLineChars="200"/>
        <w:jc w:val="left"/>
        <w:outlineLvl w:val="9"/>
        <w:rPr>
          <w:rFonts w:hint="eastAsia" w:ascii="Times New Roman" w:hAnsi="Times New Roman" w:eastAsia="宋体" w:cs="Times New Roman"/>
          <w:kern w:val="0"/>
          <w:sz w:val="24"/>
          <w:szCs w:val="28"/>
          <w:lang w:val="en-US" w:eastAsia="zh-CN"/>
        </w:rPr>
      </w:pPr>
    </w:p>
    <w:p w14:paraId="370BAD44">
      <w:pPr>
        <w:numPr>
          <w:ilvl w:val="0"/>
          <w:numId w:val="1"/>
        </w:numPr>
        <w:outlineLvl w:val="0"/>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rPr>
        <w:t>研究的基本思路与方法</w:t>
      </w:r>
    </w:p>
    <w:p w14:paraId="1524BD99">
      <w:pPr>
        <w:numPr>
          <w:ilvl w:val="0"/>
          <w:numId w:val="3"/>
        </w:numPr>
        <w:spacing w:line="300" w:lineRule="auto"/>
        <w:ind w:firstLine="562" w:firstLineChars="200"/>
        <w:jc w:val="left"/>
        <w:outlineLvl w:val="1"/>
        <w:rPr>
          <w:rFonts w:hint="eastAsia" w:ascii="Calibri Light" w:hAnsi="Calibri Light" w:eastAsia="宋体" w:cs="Times New Roman"/>
          <w:b/>
          <w:bCs/>
          <w:kern w:val="0"/>
          <w:sz w:val="28"/>
          <w:szCs w:val="28"/>
          <w:lang w:val="en-US" w:eastAsia="zh-CN"/>
        </w:rPr>
      </w:pPr>
      <w:r>
        <w:rPr>
          <w:rFonts w:hint="eastAsia" w:ascii="Calibri Light" w:hAnsi="Calibri Light" w:eastAsia="宋体" w:cs="Times New Roman"/>
          <w:b/>
          <w:bCs/>
          <w:kern w:val="0"/>
          <w:sz w:val="28"/>
          <w:szCs w:val="28"/>
          <w:lang w:val="en-US" w:eastAsia="zh-CN"/>
        </w:rPr>
        <w:t>基本研究思路</w:t>
      </w:r>
    </w:p>
    <w:p w14:paraId="05671BE0">
      <w:pPr>
        <w:spacing w:line="300" w:lineRule="auto"/>
        <w:ind w:firstLine="480" w:firstLineChars="200"/>
        <w:rPr>
          <w:rFonts w:hint="default"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本研究从个人住房贷款入手，使用2022Q1-2025Q3的Freddie Mac单户贷款级数据集为研究对象，以24个月作为风险观测窗口判定违约状态，将观测期内出现90天及以上逾期或是发生止赎处置行为的贷款划定为违约样本，观测时长达标且未出现相关风险行为则归为正常样本。同时</w:t>
      </w:r>
      <w:r>
        <w:rPr>
          <w:rFonts w:hint="eastAsia" w:ascii="Times New Roman" w:hAnsi="Times New Roman" w:eastAsia="宋体" w:cs="Times New Roman"/>
          <w:kern w:val="0"/>
          <w:sz w:val="24"/>
          <w:szCs w:val="28"/>
          <w:lang w:val="en-US" w:eastAsia="zh-CN"/>
        </w:rPr>
        <w:t>由于受数据采集时间的</w:t>
      </w:r>
      <w:r>
        <w:rPr>
          <w:rFonts w:hint="eastAsia" w:ascii="Times New Roman" w:hAnsi="Times New Roman" w:eastAsia="宋体" w:cs="Times New Roman"/>
          <w:kern w:val="0"/>
          <w:sz w:val="24"/>
          <w:szCs w:val="28"/>
          <w:lang w:val="en-US" w:eastAsia="zh-CN"/>
        </w:rPr>
        <w:t>限制，2023年第四季度至2025年第三季度发放的贷款无法满足完整观测周期要求，这类样本统一界定为右删失数据，后续研究中将针对性展开分析处理。</w:t>
      </w:r>
    </w:p>
    <w:p w14:paraId="60D2FFCE">
      <w:pPr>
        <w:spacing w:line="300" w:lineRule="auto"/>
        <w:ind w:firstLine="480" w:firstLineChars="200"/>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随后为解决个人信贷数据集类别极度不平衡、传统采样样本质量差、风险边界拟合模糊等问题，本文依托留存的右删失快速违约样本构建边界感知条件BA-cWGAN-GP模型，以删失违约样本为条件先验，定向生成高质量边界违约样本，实现数据集均衡。并在此基础上，</w:t>
      </w:r>
      <w:r>
        <w:rPr>
          <w:rFonts w:hint="eastAsia" w:ascii="Times New Roman" w:hAnsi="Times New Roman" w:eastAsia="宋体" w:cs="Times New Roman"/>
          <w:kern w:val="0"/>
          <w:sz w:val="24"/>
          <w:szCs w:val="28"/>
          <w:lang w:val="en-US" w:eastAsia="zh-CN"/>
        </w:rPr>
        <w:t>基于LR、RF、XGBoost、LightGBM构建Stacking多模型集成框架，筛选最优集成结构，</w:t>
      </w:r>
      <w:r>
        <w:rPr>
          <w:rFonts w:hint="eastAsia" w:ascii="Times New Roman" w:hAnsi="Times New Roman" w:eastAsia="宋体" w:cs="Times New Roman"/>
          <w:kern w:val="0"/>
          <w:sz w:val="24"/>
          <w:szCs w:val="28"/>
          <w:lang w:val="en-US" w:eastAsia="zh-CN"/>
        </w:rPr>
        <w:t>最后通过OOS、OOT双测试集验证模型跨周期性能。</w:t>
      </w:r>
    </w:p>
    <w:p w14:paraId="1D89560C">
      <w:pPr>
        <w:spacing w:line="300" w:lineRule="auto"/>
        <w:ind w:firstLine="480" w:firstLineChars="200"/>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lang w:val="en-US" w:eastAsia="zh-CN"/>
        </w:rPr>
        <w:t>在模型可解释性方面，引入</w:t>
      </w:r>
      <w:r>
        <w:rPr>
          <w:rFonts w:hint="eastAsia" w:ascii="Times New Roman" w:hAnsi="Times New Roman" w:eastAsia="宋体" w:cs="Times New Roman"/>
          <w:kern w:val="0"/>
          <w:sz w:val="24"/>
          <w:szCs w:val="28"/>
          <w:lang w:val="en-US" w:eastAsia="zh-CN"/>
        </w:rPr>
        <w:t>SHAP算法解析全局与局部风险影响机制，并将其可视化呈现，</w:t>
      </w:r>
      <w:r>
        <w:rPr>
          <w:rFonts w:hint="eastAsia" w:cs="Times New Roman"/>
          <w:kern w:val="0"/>
          <w:sz w:val="24"/>
          <w:szCs w:val="28"/>
          <w:lang w:val="en-US" w:eastAsia="zh-CN"/>
        </w:rPr>
        <w:t>通过可视化的方式，</w:t>
      </w:r>
      <w:r>
        <w:rPr>
          <w:rFonts w:hint="eastAsia" w:ascii="Times New Roman" w:hAnsi="Times New Roman" w:eastAsia="宋体" w:cs="Times New Roman"/>
          <w:kern w:val="0"/>
          <w:sz w:val="24"/>
          <w:szCs w:val="28"/>
          <w:lang w:val="en-US" w:eastAsia="zh-CN"/>
        </w:rPr>
        <w:t>提炼风控规则，</w:t>
      </w:r>
      <w:r>
        <w:rPr>
          <w:rFonts w:hint="eastAsia" w:cs="Times New Roman"/>
          <w:kern w:val="0"/>
          <w:sz w:val="24"/>
          <w:szCs w:val="28"/>
          <w:lang w:val="en-US" w:eastAsia="zh-CN"/>
        </w:rPr>
        <w:t>识别不同经济周期下的影响违约预测的关键特征，</w:t>
      </w:r>
      <w:r>
        <w:rPr>
          <w:rFonts w:hint="eastAsia" w:ascii="Times New Roman" w:hAnsi="Times New Roman" w:eastAsia="宋体" w:cs="Times New Roman"/>
          <w:kern w:val="0"/>
          <w:sz w:val="24"/>
          <w:szCs w:val="28"/>
          <w:lang w:val="en-US" w:eastAsia="zh-CN"/>
        </w:rPr>
        <w:t>帮助更好的理解每个特征对预测结果的影响</w:t>
      </w:r>
      <w:r>
        <w:rPr>
          <w:rFonts w:hint="eastAsia" w:ascii="Times New Roman" w:hAnsi="Times New Roman" w:eastAsia="宋体" w:cs="Times New Roman"/>
          <w:kern w:val="0"/>
          <w:sz w:val="24"/>
          <w:szCs w:val="28"/>
          <w:lang w:val="en-US" w:eastAsia="zh-CN"/>
        </w:rPr>
        <w:t>。</w:t>
      </w:r>
    </w:p>
    <w:p w14:paraId="486802C1">
      <w:pPr>
        <w:numPr>
          <w:ilvl w:val="0"/>
          <w:numId w:val="3"/>
        </w:numPr>
        <w:spacing w:line="300" w:lineRule="auto"/>
        <w:ind w:firstLine="562" w:firstLineChars="200"/>
        <w:jc w:val="left"/>
        <w:outlineLvl w:val="1"/>
        <w:rPr>
          <w:rFonts w:hint="eastAsia" w:ascii="Calibri Light" w:hAnsi="Calibri Light" w:eastAsia="宋体" w:cs="Times New Roman"/>
          <w:b/>
          <w:bCs/>
          <w:kern w:val="0"/>
          <w:sz w:val="28"/>
          <w:szCs w:val="28"/>
          <w:lang w:val="en-US" w:eastAsia="zh-CN"/>
        </w:rPr>
      </w:pPr>
      <w:r>
        <w:rPr>
          <w:rFonts w:hint="eastAsia" w:ascii="Calibri Light" w:hAnsi="Calibri Light" w:eastAsia="宋体" w:cs="Times New Roman"/>
          <w:b/>
          <w:bCs/>
          <w:kern w:val="0"/>
          <w:sz w:val="28"/>
          <w:szCs w:val="28"/>
          <w:lang w:val="en-US" w:eastAsia="zh-CN"/>
        </w:rPr>
        <w:t>核心研究方法</w:t>
      </w:r>
    </w:p>
    <w:p w14:paraId="09EEBFF8">
      <w:pPr>
        <w:spacing w:line="300" w:lineRule="auto"/>
        <w:ind w:firstLine="480" w:firstLineChars="200"/>
        <w:rPr>
          <w:rFonts w:hint="eastAsia" w:ascii="Times New Roman" w:hAnsi="Times New Roman"/>
          <w:bCs/>
          <w:sz w:val="24"/>
          <w:szCs w:val="28"/>
          <w:lang w:val="en-US" w:eastAsia="zh-CN"/>
        </w:rPr>
      </w:pPr>
      <w:r>
        <w:rPr>
          <w:rFonts w:hint="eastAsia" w:ascii="Times New Roman" w:hAnsi="Times New Roman"/>
          <w:bCs/>
          <w:sz w:val="24"/>
          <w:szCs w:val="28"/>
          <w:lang w:val="en-US" w:eastAsia="zh-CN"/>
        </w:rPr>
        <w:t>本文整体研究依托不平衡数据采样理论、集成机器学习理论与可解释性学习理论三大核心体系展开，结合个人信贷数据特征完成模型改进与实证分析，具体理论方法基础如下。</w:t>
      </w:r>
    </w:p>
    <w:p w14:paraId="24E6FE00">
      <w:pPr>
        <w:numPr>
          <w:ilvl w:val="0"/>
          <w:numId w:val="0"/>
        </w:numPr>
        <w:spacing w:line="300" w:lineRule="auto"/>
        <w:ind w:firstLine="482" w:firstLineChars="200"/>
        <w:jc w:val="left"/>
        <w:outlineLvl w:val="2"/>
        <w:rPr>
          <w:rFonts w:hint="eastAsia" w:cs="Times New Roman"/>
          <w:b/>
          <w:bCs/>
          <w:kern w:val="0"/>
          <w:sz w:val="24"/>
          <w:szCs w:val="28"/>
          <w:lang w:val="en-US" w:eastAsia="zh-CN" w:bidi="ar-SA"/>
        </w:rPr>
      </w:pPr>
      <w:r>
        <w:rPr>
          <w:rFonts w:hint="default" w:ascii="Times New Roman" w:hAnsi="Times New Roman" w:eastAsia="宋体" w:cs="Times New Roman"/>
          <w:b/>
          <w:bCs/>
          <w:kern w:val="0"/>
          <w:sz w:val="24"/>
          <w:szCs w:val="28"/>
          <w:lang w:val="en-US" w:eastAsia="zh-CN" w:bidi="ar-SA"/>
        </w:rPr>
        <w:t>1.</w:t>
      </w:r>
      <w:r>
        <w:rPr>
          <w:rFonts w:hint="eastAsia" w:cs="Times New Roman"/>
          <w:b/>
          <w:bCs/>
          <w:kern w:val="0"/>
          <w:sz w:val="24"/>
          <w:szCs w:val="28"/>
          <w:lang w:val="en-US" w:eastAsia="zh-CN" w:bidi="ar-SA"/>
        </w:rPr>
        <w:t>不平衡分类的数据采样方法</w:t>
      </w:r>
    </w:p>
    <w:p w14:paraId="4E303D66">
      <w:pPr>
        <w:spacing w:line="300" w:lineRule="auto"/>
        <w:ind w:firstLine="480" w:firstLineChars="200"/>
        <w:rPr>
          <w:rFonts w:hint="eastAsia" w:ascii="Times New Roman" w:hAnsi="Times New Roman"/>
          <w:bCs/>
          <w:sz w:val="24"/>
          <w:szCs w:val="28"/>
          <w:lang w:val="en-US" w:eastAsia="zh-CN"/>
        </w:rPr>
      </w:pPr>
      <w:r>
        <w:rPr>
          <w:rFonts w:hint="eastAsia" w:ascii="Times New Roman" w:hAnsi="Times New Roman"/>
          <w:bCs/>
          <w:sz w:val="24"/>
          <w:szCs w:val="28"/>
          <w:lang w:val="en-US" w:eastAsia="zh-CN"/>
        </w:rPr>
        <w:t>个人信贷违约预测属于典型的二分类不平衡学习任务，少数违约样本分布稀疏、边界特征模糊，传统随机过采样易引发过拟合，SMOTE插值采样易生成噪声样本，无法贴合真实信贷风险分布规律。</w:t>
      </w:r>
    </w:p>
    <w:p w14:paraId="57E3081C">
      <w:pPr>
        <w:spacing w:line="300" w:lineRule="auto"/>
        <w:ind w:firstLine="480" w:firstLineChars="200"/>
        <w:rPr>
          <w:rFonts w:hint="default"/>
          <w:bCs/>
          <w:sz w:val="24"/>
          <w:szCs w:val="28"/>
          <w:lang w:val="en-US" w:eastAsia="zh-CN"/>
        </w:rPr>
      </w:pPr>
      <w:r>
        <w:rPr>
          <w:rFonts w:hint="eastAsia"/>
          <w:bCs/>
          <w:sz w:val="24"/>
          <w:szCs w:val="28"/>
          <w:lang w:val="en-US" w:eastAsia="zh-CN"/>
        </w:rPr>
        <w:t>而生成式对抗网络（GAN）作为当前一种强大的深度生成技术，其由生成器G和判别器D两个神经网络构成，</w:t>
      </w:r>
      <w:r>
        <w:rPr>
          <w:rFonts w:hint="eastAsia" w:ascii="Times New Roman" w:hAnsi="Times New Roman" w:eastAsia="宋体" w:cs="Times New Roman"/>
          <w:bCs/>
          <w:kern w:val="2"/>
          <w:sz w:val="24"/>
          <w:szCs w:val="28"/>
          <w:lang w:val="en-US" w:eastAsia="zh-CN" w:bidi="ar-SA"/>
        </w:rPr>
        <w:t>通过二者相互博弈完成训练，生成器依据随机噪声模拟复刻真实数据特征，判别器负责甄别样本真伪，双方在迭代对抗中不断优化性能，直至模型收敛稳定，此时生成器便可依照习得的数据分布规律，产出与原始样本特征高度契合的新增数据，以此实现样本扩充。</w:t>
      </w:r>
    </w:p>
    <w:p w14:paraId="792B6C2F">
      <w:pPr>
        <w:spacing w:line="300" w:lineRule="auto"/>
        <w:ind w:firstLine="480" w:firstLineChars="200"/>
        <w:rPr>
          <w:rFonts w:hint="eastAsia"/>
          <w:bCs/>
          <w:sz w:val="24"/>
          <w:szCs w:val="28"/>
          <w:lang w:val="en-US" w:eastAsia="zh-CN"/>
        </w:rPr>
      </w:pPr>
      <w:r>
        <w:rPr>
          <w:rFonts w:hint="eastAsia"/>
          <w:bCs/>
          <w:sz w:val="24"/>
          <w:szCs w:val="28"/>
          <w:lang w:val="en-US" w:eastAsia="zh-CN"/>
        </w:rPr>
        <w:t>但传统的生成式对抗网络在训练过程中容易出现模式崩溃和梯度消失等问题，导致生成样本质量不稳定，因此</w:t>
      </w:r>
      <w:r>
        <w:rPr>
          <w:rFonts w:hint="eastAsia" w:ascii="Times New Roman" w:hAnsi="Times New Roman"/>
          <w:bCs/>
          <w:sz w:val="24"/>
          <w:szCs w:val="28"/>
          <w:lang w:val="en-US" w:eastAsia="zh-CN"/>
        </w:rPr>
        <w:t>本文</w:t>
      </w:r>
      <w:r>
        <w:rPr>
          <w:rFonts w:hint="eastAsia"/>
          <w:bCs/>
          <w:sz w:val="24"/>
          <w:szCs w:val="28"/>
          <w:lang w:val="en-US" w:eastAsia="zh-CN"/>
        </w:rPr>
        <w:t>选择</w:t>
      </w:r>
      <w:r>
        <w:rPr>
          <w:rFonts w:hint="eastAsia" w:ascii="Times New Roman" w:hAnsi="Times New Roman"/>
          <w:bCs/>
          <w:sz w:val="24"/>
          <w:szCs w:val="28"/>
          <w:lang w:val="en-US" w:eastAsia="zh-CN"/>
        </w:rPr>
        <w:t>基于WGAN-GP</w:t>
      </w:r>
      <w:r>
        <w:rPr>
          <w:rFonts w:hint="eastAsia"/>
          <w:bCs/>
          <w:sz w:val="24"/>
          <w:szCs w:val="28"/>
          <w:lang w:val="en-US" w:eastAsia="zh-CN"/>
        </w:rPr>
        <w:t>，</w:t>
      </w:r>
      <w:r>
        <w:rPr>
          <w:rFonts w:hint="eastAsia" w:ascii="Times New Roman" w:hAnsi="Times New Roman"/>
          <w:bCs/>
          <w:sz w:val="24"/>
          <w:szCs w:val="28"/>
          <w:lang w:val="en-US" w:eastAsia="zh-CN"/>
        </w:rPr>
        <w:t>改进</w:t>
      </w:r>
      <w:r>
        <w:rPr>
          <w:rFonts w:hint="eastAsia"/>
          <w:bCs/>
          <w:sz w:val="24"/>
          <w:szCs w:val="28"/>
          <w:lang w:val="en-US" w:eastAsia="zh-CN"/>
        </w:rPr>
        <w:t>、</w:t>
      </w:r>
      <w:r>
        <w:rPr>
          <w:rFonts w:hint="eastAsia" w:ascii="Times New Roman" w:hAnsi="Times New Roman"/>
          <w:bCs/>
          <w:sz w:val="24"/>
          <w:szCs w:val="28"/>
          <w:lang w:val="en-US" w:eastAsia="zh-CN"/>
        </w:rPr>
        <w:t>构建边界感知条件生成对抗网络（BA-cWGAN-GP），依托生成对抗博弈思想完成高质量样本均衡</w:t>
      </w:r>
      <w:r>
        <w:rPr>
          <w:rFonts w:hint="eastAsia"/>
          <w:bCs/>
          <w:sz w:val="24"/>
          <w:szCs w:val="28"/>
          <w:lang w:val="en-US" w:eastAsia="zh-CN"/>
        </w:rPr>
        <w:t>，</w:t>
      </w:r>
      <w:r>
        <w:rPr>
          <w:rFonts w:hint="eastAsia" w:ascii="Times New Roman" w:hAnsi="Times New Roman"/>
          <w:bCs/>
          <w:sz w:val="24"/>
          <w:szCs w:val="28"/>
          <w:lang w:val="en-US" w:eastAsia="zh-CN"/>
        </w:rPr>
        <w:t>其核心基础为Wasserstein距离度量，有效解决</w:t>
      </w:r>
      <w:r>
        <w:rPr>
          <w:rFonts w:hint="eastAsia"/>
          <w:bCs/>
          <w:sz w:val="24"/>
          <w:szCs w:val="28"/>
          <w:lang w:val="en-US" w:eastAsia="zh-CN"/>
        </w:rPr>
        <w:t>了</w:t>
      </w:r>
      <w:r>
        <w:rPr>
          <w:rFonts w:hint="eastAsia" w:ascii="Times New Roman" w:hAnsi="Times New Roman"/>
          <w:bCs/>
          <w:sz w:val="24"/>
          <w:szCs w:val="28"/>
          <w:lang w:val="en-US" w:eastAsia="zh-CN"/>
        </w:rPr>
        <w:t>传统GAN训练梯度消失、模式崩溃问题，Wasserstein距离公式定义</w:t>
      </w:r>
      <w:r>
        <w:rPr>
          <w:rFonts w:hint="eastAsia"/>
          <w:bCs/>
          <w:sz w:val="24"/>
          <w:szCs w:val="28"/>
          <w:lang w:val="en-US" w:eastAsia="zh-CN"/>
        </w:rPr>
        <w:t>如式1：</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23"/>
        <w:gridCol w:w="599"/>
      </w:tblGrid>
      <w:tr w14:paraId="2E341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Borders>
              <w:tl2br w:val="nil"/>
              <w:tr2bl w:val="nil"/>
            </w:tcBorders>
            <w:vAlign w:val="center"/>
          </w:tcPr>
          <w:p w14:paraId="252168DF">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m:oMathPara>
              <m:oMath>
                <m:r>
                  <m:rPr/>
                  <w:rPr>
                    <w:rFonts w:hint="default" w:ascii="Cambria Math" w:hAnsi="Cambria Math"/>
                    <w:sz w:val="24"/>
                  </w:rPr>
                  <m:t>W(</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inf</m:t>
                            </m:r>
                            <m:ctrlPr>
                              <w:rPr>
                                <w:rFonts w:ascii="Cambria Math" w:hAnsi="Cambria Math"/>
                                <w:sz w:val="24"/>
                              </w:rPr>
                            </m:ctrlPr>
                          </m:e>
                          <m:sub>
                            <m:r>
                              <m:rPr/>
                              <w:rPr>
                                <w:rFonts w:hint="default" w:ascii="Cambria Math" w:hAnsi="Cambria Math"/>
                                <w:sz w:val="24"/>
                              </w:rPr>
                              <m:t>γ∈</m:t>
                            </m:r>
                            <m:r>
                              <m:rPr>
                                <m:sty m:val="p"/>
                              </m:rPr>
                              <w:rPr>
                                <w:rFonts w:hint="default" w:ascii="Cambria Math" w:hAnsi="Cambria Math"/>
                                <w:sz w:val="24"/>
                              </w:rPr>
                              <m:t>Π</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b>
                        </m:sSub>
                        <m:ctrlPr>
                          <w:rPr>
                            <w:rFonts w:hint="default" w:ascii="Cambria Math" w:hAnsi="Cambria Math"/>
                            <w:sz w:val="24"/>
                          </w:rPr>
                        </m:ctrlPr>
                      </m:fName>
                      <m:e>
                        <m:r>
                          <m:rPr>
                            <m:scr m:val="double-struck"/>
                          </m:rPr>
                          <w:rPr>
                            <w:rFonts w:hint="default" w:ascii="Cambria Math" w:hAnsi="Cambria Math" w:eastAsia="MS Mincho"/>
                            <w:sz w:val="24"/>
                          </w:rPr>
                          <m:t>E</m:t>
                        </m:r>
                        <m:ctrlPr>
                          <w:rPr>
                            <w:rFonts w:hint="default" w:ascii="Cambria Math" w:hAnsi="Cambria Math"/>
                            <w:sz w:val="24"/>
                          </w:rPr>
                        </m:ctrlPr>
                      </m:e>
                    </m:func>
                    <m:ctrlPr>
                      <w:rPr>
                        <w:rFonts w:hint="default" w:ascii="Cambria Math" w:hAnsi="Cambria Math"/>
                        <w:sz w:val="24"/>
                      </w:rPr>
                    </m:ctrlPr>
                  </m:e>
                  <m:sub>
                    <m:r>
                      <m:rPr/>
                      <w:rPr>
                        <w:rFonts w:hint="default" w:ascii="Cambria Math" w:hAnsi="Cambria Math"/>
                        <w:sz w:val="24"/>
                      </w:rPr>
                      <m:t>(x,y)∼γ</m:t>
                    </m:r>
                    <m:ctrlPr>
                      <w:rPr>
                        <w:rFonts w:hint="default" w:ascii="Cambria Math" w:hAnsi="Cambria Math"/>
                        <w:sz w:val="24"/>
                      </w:rPr>
                    </m:ctrlPr>
                  </m:sub>
                </m:sSub>
                <m:r>
                  <m:rPr/>
                  <w:rPr>
                    <w:rFonts w:hint="default" w:ascii="Cambria Math" w:hAnsi="Cambria Math"/>
                    <w:sz w:val="24"/>
                  </w:rPr>
                  <m:t>[‖x−y‖]</m:t>
                </m:r>
              </m:oMath>
            </m:oMathPara>
          </w:p>
        </w:tc>
        <w:tc>
          <w:tcPr>
            <w:tcW w:w="599" w:type="dxa"/>
            <w:tcBorders>
              <w:tl2br w:val="nil"/>
              <w:tr2bl w:val="nil"/>
            </w:tcBorders>
            <w:vAlign w:val="center"/>
          </w:tcPr>
          <w:p w14:paraId="7B0FC094">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w:t>
            </w:r>
            <w:r>
              <w:rPr>
                <w:rFonts w:hint="eastAsia"/>
                <w:bCs/>
                <w:sz w:val="24"/>
                <w:szCs w:val="28"/>
                <w:lang w:val="en-US" w:eastAsia="zh-CN"/>
              </w:rPr>
              <w:t>1</w:t>
            </w:r>
            <w:r>
              <w:rPr>
                <w:rFonts w:hint="eastAsia" w:ascii="Times New Roman" w:hAnsi="Times New Roman"/>
                <w:bCs/>
                <w:sz w:val="24"/>
                <w:szCs w:val="28"/>
              </w:rPr>
              <w:t>)</w:t>
            </w:r>
          </w:p>
        </w:tc>
      </w:tr>
    </w:tbl>
    <w:p w14:paraId="12BE4469">
      <w:pPr>
        <w:spacing w:line="300" w:lineRule="auto"/>
        <w:ind w:firstLine="480" w:firstLineChars="200"/>
        <w:rPr>
          <w:rFonts w:hint="eastAsia"/>
          <w:bCs/>
          <w:sz w:val="24"/>
          <w:szCs w:val="28"/>
          <w:lang w:val="en-US" w:eastAsia="zh-CN"/>
        </w:rPr>
      </w:pPr>
      <w:r>
        <w:rPr>
          <w:rFonts w:hint="eastAsia"/>
          <w:bCs/>
          <w:sz w:val="24"/>
          <w:szCs w:val="28"/>
          <w:lang w:val="en-US" w:eastAsia="zh-CN"/>
        </w:rPr>
        <w:t>其中</w:t>
      </w:r>
      <m:oMath>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P</m:t>
            </m:r>
            <m:ctrlPr>
              <w:rPr>
                <w:rFonts w:hint="eastAsia" w:ascii="Cambria Math" w:hAnsi="Cambria Math"/>
                <w:bCs/>
                <w:sz w:val="24"/>
                <w:szCs w:val="28"/>
                <w:lang w:val="en-US" w:eastAsia="zh-CN"/>
              </w:rPr>
            </m:ctrlPr>
          </m:e>
          <m:sub>
            <m:r>
              <m:rPr>
                <m:sty m:val="p"/>
              </m:rPr>
              <w:rPr>
                <w:rFonts w:hint="default" w:ascii="Times New Roman" w:hAnsi="Times New Roman"/>
                <w:sz w:val="24"/>
                <w:szCs w:val="28"/>
                <w:lang w:val="en-US" w:eastAsia="zh-CN"/>
              </w:rPr>
              <m:t>r</m:t>
            </m:r>
            <m:ctrlPr>
              <w:rPr>
                <w:rFonts w:hint="eastAsia" w:ascii="Cambria Math" w:hAnsi="Cambria Math"/>
                <w:bCs/>
                <w:sz w:val="24"/>
                <w:szCs w:val="28"/>
                <w:lang w:val="en-US" w:eastAsia="zh-CN"/>
              </w:rPr>
            </m:ctrlPr>
          </m:sub>
        </m:sSub>
      </m:oMath>
      <w:r>
        <w:rPr>
          <w:rFonts w:hint="eastAsia"/>
          <w:bCs/>
          <w:sz w:val="24"/>
          <w:szCs w:val="28"/>
          <w:lang w:val="en-US" w:eastAsia="zh-CN"/>
        </w:rPr>
        <w:t>代表真实数据分布，</w:t>
      </w:r>
      <m:oMath>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P</m:t>
            </m:r>
            <m:ctrlPr>
              <w:rPr>
                <w:rFonts w:hint="eastAsia" w:ascii="Cambria Math" w:hAnsi="Cambria Math"/>
                <w:bCs/>
                <w:sz w:val="24"/>
                <w:szCs w:val="28"/>
                <w:lang w:val="en-US" w:eastAsia="zh-CN"/>
              </w:rPr>
            </m:ctrlPr>
          </m:e>
          <m:sub>
            <m:r>
              <m:rPr>
                <m:sty m:val="p"/>
              </m:rPr>
              <w:rPr>
                <w:rFonts w:hint="default" w:ascii="Times New Roman" w:hAnsi="Times New Roman"/>
                <w:sz w:val="24"/>
                <w:szCs w:val="28"/>
                <w:lang w:val="en-US" w:eastAsia="zh-CN"/>
              </w:rPr>
              <m:t>g</m:t>
            </m:r>
            <m:ctrlPr>
              <w:rPr>
                <w:rFonts w:hint="eastAsia" w:ascii="Cambria Math" w:hAnsi="Cambria Math"/>
                <w:bCs/>
                <w:sz w:val="24"/>
                <w:szCs w:val="28"/>
                <w:lang w:val="en-US" w:eastAsia="zh-CN"/>
              </w:rPr>
            </m:ctrlPr>
          </m:sub>
        </m:sSub>
      </m:oMath>
      <w:r>
        <w:rPr>
          <w:rFonts w:hint="eastAsia"/>
          <w:bCs/>
          <w:sz w:val="24"/>
          <w:szCs w:val="28"/>
          <w:lang w:val="en-US" w:eastAsia="zh-CN"/>
        </w:rPr>
        <w:t>代表生成样本分布，该公式通过距离度量精准刻画违约样本分布差异。</w:t>
      </w:r>
    </w:p>
    <w:p w14:paraId="6A9FBDF8">
      <w:pPr>
        <w:spacing w:line="300" w:lineRule="auto"/>
        <w:ind w:firstLine="480" w:firstLineChars="200"/>
        <w:rPr>
          <w:rFonts w:hint="eastAsia"/>
          <w:bCs/>
          <w:sz w:val="24"/>
          <w:szCs w:val="28"/>
          <w:lang w:val="en-US" w:eastAsia="zh-CN"/>
        </w:rPr>
      </w:pPr>
      <w:r>
        <w:rPr>
          <w:rFonts w:hint="eastAsia"/>
          <w:bCs/>
          <w:sz w:val="24"/>
          <w:szCs w:val="28"/>
          <w:lang w:val="en-US" w:eastAsia="zh-CN"/>
        </w:rPr>
        <w:t>同时WGAN-GP引入梯度惩罚项约束梯度范围，梯度惩罚公式如式2，该惩罚约束强制判别器梯度保持平稳，保障模型训练稳定性。</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23"/>
        <w:gridCol w:w="599"/>
      </w:tblGrid>
      <w:tr w14:paraId="679C5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Borders>
              <w:tl2br w:val="nil"/>
              <w:tr2bl w:val="nil"/>
            </w:tcBorders>
            <w:vAlign w:val="center"/>
          </w:tcPr>
          <w:p w14:paraId="203DA504">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m:oMathPara>
              <m:oMath>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L</m:t>
                    </m:r>
                    <m:ctrlPr>
                      <w:rPr>
                        <w:rFonts w:hint="eastAsia" w:ascii="Cambria Math" w:hAnsi="Cambria Math"/>
                        <w:bCs/>
                        <w:sz w:val="24"/>
                        <w:szCs w:val="28"/>
                        <w:lang w:val="en-US" w:eastAsia="zh-CN"/>
                      </w:rPr>
                    </m:ctrlPr>
                  </m:e>
                  <m:sub>
                    <m:r>
                      <m:rPr>
                        <m:sty m:val="p"/>
                      </m:rPr>
                      <w:rPr>
                        <w:rFonts w:hint="default" w:ascii="Times New Roman" w:hAnsi="Times New Roman"/>
                        <w:sz w:val="24"/>
                        <w:szCs w:val="28"/>
                        <w:lang w:val="en-US" w:eastAsia="zh-CN"/>
                      </w:rPr>
                      <m:t>gp</m:t>
                    </m:r>
                    <m:ctrlPr>
                      <w:rPr>
                        <w:rFonts w:hint="eastAsia" w:ascii="Cambria Math" w:hAnsi="Cambria Math"/>
                        <w:bCs/>
                        <w:sz w:val="24"/>
                        <w:szCs w:val="28"/>
                        <w:lang w:val="en-US" w:eastAsia="zh-CN"/>
                      </w:rPr>
                    </m:ctrlPr>
                  </m:sub>
                </m:sSub>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scr m:val="double-struck"/>
                      </m:rPr>
                      <w:rPr>
                        <w:rFonts w:hint="default" w:ascii="Times New Roman" w:hAnsi="Times New Roman" w:eastAsia="MS Mincho"/>
                        <w:sz w:val="24"/>
                        <w:szCs w:val="28"/>
                        <w:lang w:val="en-US" w:eastAsia="zh-CN"/>
                      </w:rPr>
                      <m:t>E</m:t>
                    </m:r>
                    <m:ctrlPr>
                      <w:rPr>
                        <w:rFonts w:hint="eastAsia" w:ascii="Cambria Math" w:hAnsi="Cambria Math"/>
                        <w:bCs/>
                        <w:sz w:val="24"/>
                        <w:szCs w:val="28"/>
                        <w:lang w:val="en-US" w:eastAsia="zh-CN"/>
                      </w:rPr>
                    </m:ctrlPr>
                  </m:e>
                  <m:sub>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eastAsia" w:ascii="Cambria Math" w:hAnsi="Cambria Math"/>
                            <w:bCs/>
                            <w:sz w:val="24"/>
                            <w:szCs w:val="28"/>
                            <w:lang w:val="en-US" w:eastAsia="zh-CN"/>
                          </w:rPr>
                        </m:ctrlPr>
                      </m:e>
                    </m:acc>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P</m:t>
                        </m:r>
                        <m:ctrlPr>
                          <w:rPr>
                            <w:rFonts w:hint="eastAsia" w:ascii="Cambria Math" w:hAnsi="Cambria Math"/>
                            <w:bCs/>
                            <w:sz w:val="24"/>
                            <w:szCs w:val="28"/>
                            <w:lang w:val="en-US" w:eastAsia="zh-CN"/>
                          </w:rPr>
                        </m:ctrlPr>
                      </m:e>
                      <m:sub>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eastAsia" w:ascii="Cambria Math" w:hAnsi="Cambria Math"/>
                                <w:bCs/>
                                <w:sz w:val="24"/>
                                <w:szCs w:val="28"/>
                                <w:lang w:val="en-US" w:eastAsia="zh-CN"/>
                              </w:rPr>
                            </m:ctrlPr>
                          </m:e>
                        </m:acc>
                        <m:ctrlPr>
                          <w:rPr>
                            <w:rFonts w:hint="default" w:ascii="Cambria Math" w:hAnsi="Cambria Math"/>
                            <w:bCs/>
                            <w:sz w:val="24"/>
                            <w:szCs w:val="28"/>
                            <w:lang w:val="en-US" w:eastAsia="zh-CN"/>
                          </w:rPr>
                        </m:ctrlPr>
                      </m:sub>
                    </m:sSub>
                    <m:ctrlPr>
                      <w:rPr>
                        <w:rFonts w:hint="default" w:ascii="Cambria Math" w:hAnsi="Cambria Math"/>
                        <w:bCs/>
                        <w:sz w:val="24"/>
                        <w:szCs w:val="28"/>
                        <w:lang w:val="en-US" w:eastAsia="zh-CN"/>
                      </w:rPr>
                    </m:ctrlPr>
                  </m:sub>
                </m:sSub>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m:t>
                    </m:r>
                    <m:ctrlPr>
                      <w:rPr>
                        <w:rFonts w:hint="default" w:ascii="Cambria Math" w:hAnsi="Cambria Math"/>
                        <w:bCs/>
                        <w:sz w:val="24"/>
                        <w:szCs w:val="28"/>
                        <w:lang w:val="en-US" w:eastAsia="zh-CN"/>
                      </w:rPr>
                    </m:ctrlPr>
                  </m:e>
                  <m:sub>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default" w:ascii="Cambria Math" w:hAnsi="Cambria Math"/>
                            <w:bCs/>
                            <w:sz w:val="24"/>
                            <w:szCs w:val="28"/>
                            <w:lang w:val="en-US" w:eastAsia="zh-CN"/>
                          </w:rPr>
                        </m:ctrlPr>
                      </m:e>
                    </m:acc>
                    <m:ctrlPr>
                      <w:rPr>
                        <w:rFonts w:hint="default" w:ascii="Cambria Math" w:hAnsi="Cambria Math"/>
                        <w:bCs/>
                        <w:sz w:val="24"/>
                        <w:szCs w:val="28"/>
                        <w:lang w:val="en-US" w:eastAsia="zh-CN"/>
                      </w:rPr>
                    </m:ctrlPr>
                  </m:sub>
                </m:sSub>
                <m:r>
                  <m:rPr>
                    <m:sty m:val="p"/>
                  </m:rPr>
                  <w:rPr>
                    <w:rFonts w:hint="default" w:ascii="Times New Roman" w:hAnsi="Times New Roman"/>
                    <w:sz w:val="24"/>
                    <w:szCs w:val="28"/>
                    <w:lang w:val="en-US" w:eastAsia="zh-CN"/>
                  </w:rPr>
                  <m:t>D(</m:t>
                </m:r>
                <m:acc>
                  <m:accPr>
                    <m:ctrlPr>
                      <w:rPr>
                        <w:rFonts w:hint="default" w:ascii="Cambria Math" w:hAnsi="Cambria Math"/>
                        <w:bCs/>
                        <w:sz w:val="24"/>
                        <w:szCs w:val="28"/>
                        <w:lang w:val="en-US" w:eastAsia="zh-CN"/>
                      </w:rPr>
                    </m:ctrlPr>
                  </m:accPr>
                  <m:e>
                    <m:r>
                      <m:rPr>
                        <m:sty m:val="p"/>
                      </m:rPr>
                      <w:rPr>
                        <w:rFonts w:hint="default" w:ascii="Times New Roman" w:hAnsi="Times New Roman"/>
                        <w:sz w:val="24"/>
                        <w:szCs w:val="28"/>
                        <w:lang w:val="en-US" w:eastAsia="zh-CN"/>
                      </w:rPr>
                      <m:t>x</m:t>
                    </m:r>
                    <m:ctrlPr>
                      <w:rPr>
                        <w:rFonts w:hint="default" w:ascii="Cambria Math" w:hAnsi="Cambria Math"/>
                        <w:bCs/>
                        <w:sz w:val="24"/>
                        <w:szCs w:val="28"/>
                        <w:lang w:val="en-US" w:eastAsia="zh-CN"/>
                      </w:rPr>
                    </m:ctrlPr>
                  </m:e>
                </m:acc>
                <m:r>
                  <m:rPr>
                    <m:sty m:val="p"/>
                  </m:rPr>
                  <w:rPr>
                    <w:rFonts w:hint="default" w:ascii="Times New Roman" w:hAnsi="Times New Roman"/>
                    <w:sz w:val="24"/>
                    <w:szCs w:val="28"/>
                    <w:lang w:val="en-US" w:eastAsia="zh-CN"/>
                  </w:rPr>
                  <m:t>)</m:t>
                </m:r>
                <m:sSub>
                  <m:sSubPr>
                    <m:ctrlPr>
                      <w:rPr>
                        <w:rFonts w:hint="default" w:ascii="Cambria Math" w:hAnsi="Cambria Math"/>
                        <w:bCs/>
                        <w:sz w:val="24"/>
                        <w:szCs w:val="28"/>
                        <w:lang w:val="en-US" w:eastAsia="zh-CN"/>
                      </w:rPr>
                    </m:ctrlPr>
                  </m:sSubPr>
                  <m:e>
                    <m:r>
                      <m:rPr>
                        <m:sty m:val="p"/>
                      </m:rPr>
                      <w:rPr>
                        <w:rFonts w:hint="default" w:ascii="Times New Roman" w:hAnsi="Times New Roman"/>
                        <w:sz w:val="24"/>
                        <w:szCs w:val="28"/>
                        <w:lang w:val="en-US" w:eastAsia="zh-CN"/>
                      </w:rPr>
                      <m:t>‖</m:t>
                    </m:r>
                    <m:ctrlPr>
                      <w:rPr>
                        <w:rFonts w:hint="default" w:ascii="Cambria Math" w:hAnsi="Cambria Math"/>
                        <w:bCs/>
                        <w:sz w:val="24"/>
                        <w:szCs w:val="28"/>
                        <w:lang w:val="en-US" w:eastAsia="zh-CN"/>
                      </w:rPr>
                    </m:ctrlPr>
                  </m:e>
                  <m:sub>
                    <m:r>
                      <m:rPr>
                        <m:sty m:val="p"/>
                      </m:rPr>
                      <w:rPr>
                        <w:rFonts w:hint="default" w:ascii="Times New Roman" w:hAnsi="Times New Roman"/>
                        <w:sz w:val="24"/>
                        <w:szCs w:val="28"/>
                        <w:lang w:val="en-US" w:eastAsia="zh-CN"/>
                      </w:rPr>
                      <m:t>2</m:t>
                    </m:r>
                    <m:ctrlPr>
                      <w:rPr>
                        <w:rFonts w:hint="default" w:ascii="Cambria Math" w:hAnsi="Cambria Math"/>
                        <w:bCs/>
                        <w:sz w:val="24"/>
                        <w:szCs w:val="28"/>
                        <w:lang w:val="en-US" w:eastAsia="zh-CN"/>
                      </w:rPr>
                    </m:ctrlPr>
                  </m:sub>
                </m:sSub>
                <m:r>
                  <m:rPr>
                    <m:sty m:val="p"/>
                  </m:rPr>
                  <w:rPr>
                    <w:rFonts w:hint="default" w:ascii="Times New Roman" w:hAnsi="Times New Roman"/>
                    <w:sz w:val="24"/>
                    <w:szCs w:val="28"/>
                    <w:lang w:val="en-US" w:eastAsia="zh-CN"/>
                  </w:rPr>
                  <m:t>−1</m:t>
                </m:r>
                <m:sSup>
                  <m:sSupPr>
                    <m:ctrlPr>
                      <w:rPr>
                        <w:rFonts w:hint="default" w:ascii="Cambria Math" w:hAnsi="Cambria Math"/>
                        <w:bCs/>
                        <w:sz w:val="24"/>
                        <w:szCs w:val="28"/>
                        <w:lang w:val="en-US" w:eastAsia="zh-CN"/>
                      </w:rPr>
                    </m:ctrlPr>
                  </m:sSupPr>
                  <m:e>
                    <m:r>
                      <m:rPr>
                        <m:sty m:val="p"/>
                      </m:rPr>
                      <w:rPr>
                        <w:rFonts w:hint="default" w:ascii="Times New Roman" w:hAnsi="Times New Roman"/>
                        <w:sz w:val="24"/>
                        <w:szCs w:val="28"/>
                        <w:lang w:val="en-US" w:eastAsia="zh-CN"/>
                      </w:rPr>
                      <m:t>)</m:t>
                    </m:r>
                    <m:ctrlPr>
                      <w:rPr>
                        <w:rFonts w:hint="default" w:ascii="Cambria Math" w:hAnsi="Cambria Math"/>
                        <w:bCs/>
                        <w:sz w:val="24"/>
                        <w:szCs w:val="28"/>
                        <w:lang w:val="en-US" w:eastAsia="zh-CN"/>
                      </w:rPr>
                    </m:ctrlPr>
                  </m:e>
                  <m:sup>
                    <m:r>
                      <m:rPr>
                        <m:sty m:val="p"/>
                      </m:rPr>
                      <w:rPr>
                        <w:rFonts w:hint="default" w:ascii="Times New Roman" w:hAnsi="Times New Roman"/>
                        <w:sz w:val="24"/>
                        <w:szCs w:val="28"/>
                        <w:lang w:val="en-US" w:eastAsia="zh-CN"/>
                      </w:rPr>
                      <m:t>2</m:t>
                    </m:r>
                    <m:ctrlPr>
                      <w:rPr>
                        <w:rFonts w:hint="default" w:ascii="Cambria Math" w:hAnsi="Cambria Math"/>
                        <w:bCs/>
                        <w:sz w:val="24"/>
                        <w:szCs w:val="28"/>
                        <w:lang w:val="en-US" w:eastAsia="zh-CN"/>
                      </w:rPr>
                    </m:ctrlPr>
                  </m:sup>
                </m:sSup>
                <m:r>
                  <m:rPr>
                    <m:sty m:val="p"/>
                  </m:rPr>
                  <w:rPr>
                    <w:rFonts w:hint="default" w:ascii="Times New Roman" w:hAnsi="Times New Roman"/>
                    <w:sz w:val="24"/>
                    <w:szCs w:val="28"/>
                    <w:lang w:val="en-US" w:eastAsia="zh-CN"/>
                  </w:rPr>
                  <m:t>]</m:t>
                </m:r>
              </m:oMath>
            </m:oMathPara>
          </w:p>
        </w:tc>
        <w:tc>
          <w:tcPr>
            <w:tcW w:w="599" w:type="dxa"/>
            <w:tcBorders>
              <w:tl2br w:val="nil"/>
              <w:tr2bl w:val="nil"/>
            </w:tcBorders>
            <w:vAlign w:val="center"/>
          </w:tcPr>
          <w:p w14:paraId="6DBB2375">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w:t>
            </w:r>
            <w:r>
              <w:rPr>
                <w:rFonts w:hint="eastAsia"/>
                <w:bCs/>
                <w:sz w:val="24"/>
                <w:szCs w:val="28"/>
                <w:lang w:val="en-US" w:eastAsia="zh-CN"/>
              </w:rPr>
              <w:t>2</w:t>
            </w:r>
            <w:r>
              <w:rPr>
                <w:rFonts w:hint="eastAsia" w:ascii="Times New Roman" w:hAnsi="Times New Roman"/>
                <w:bCs/>
                <w:sz w:val="24"/>
                <w:szCs w:val="28"/>
              </w:rPr>
              <w:t>)</w:t>
            </w:r>
          </w:p>
        </w:tc>
      </w:tr>
    </w:tbl>
    <w:p w14:paraId="5D843DE9">
      <w:pPr>
        <w:spacing w:line="300" w:lineRule="auto"/>
        <w:ind w:firstLine="480" w:firstLineChars="200"/>
        <w:rPr>
          <w:rFonts w:hint="default"/>
          <w:bCs/>
          <w:sz w:val="24"/>
          <w:szCs w:val="28"/>
          <w:lang w:val="en-US" w:eastAsia="zh-CN"/>
        </w:rPr>
      </w:pPr>
      <w:r>
        <w:rPr>
          <w:rFonts w:hint="eastAsia"/>
          <w:bCs/>
          <w:sz w:val="24"/>
          <w:szCs w:val="28"/>
          <w:lang w:val="en-US" w:eastAsia="zh-CN"/>
        </w:rPr>
        <w:t>在此基础上，本文引入条件约束与边界感知机制，将右删失快速违约样本的风险分布先验作为条件编码输入生成器，同时利用预训练分类器定位信贷决策边界，对模型高不确定性边界区域施加权重增益，引导生成器仅聚焦风险模糊区间合成样本，摒弃无效样本生成，实现贴合真实信贷风险特征的精准过采样，有效弥补传统采样方法信息利用不足、样本质量差的缺陷。</w:t>
      </w:r>
    </w:p>
    <w:p w14:paraId="795AC5BE">
      <w:pPr>
        <w:numPr>
          <w:ilvl w:val="0"/>
          <w:numId w:val="0"/>
        </w:numPr>
        <w:spacing w:line="300" w:lineRule="auto"/>
        <w:ind w:firstLine="482" w:firstLineChars="200"/>
        <w:jc w:val="left"/>
        <w:outlineLvl w:val="2"/>
        <w:rPr>
          <w:rFonts w:hint="eastAsia" w:cs="Times New Roman"/>
          <w:b/>
          <w:bCs/>
          <w:kern w:val="0"/>
          <w:sz w:val="24"/>
          <w:szCs w:val="28"/>
          <w:lang w:val="en-US" w:eastAsia="zh-CN"/>
        </w:rPr>
      </w:pPr>
      <w:r>
        <w:rPr>
          <w:rFonts w:hint="eastAsia" w:cs="Times New Roman"/>
          <w:b/>
          <w:bCs/>
          <w:kern w:val="0"/>
          <w:sz w:val="24"/>
          <w:szCs w:val="28"/>
          <w:lang w:val="en-US" w:eastAsia="zh-CN"/>
        </w:rPr>
        <w:t>2.机器学习模型</w:t>
      </w:r>
    </w:p>
    <w:p w14:paraId="66E96864">
      <w:pPr>
        <w:spacing w:line="300" w:lineRule="auto"/>
        <w:ind w:firstLine="480" w:firstLineChars="200"/>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为兼顾信贷风险预测的线性解释能力与非线性拟合能力，本文基于Stacking堆叠集成学习理论构建双层异构模型框架，依托基学习器差异化特征融合提升模型泛化性能。Stacking集成核心思想为利用第一层多类基模型挖掘数据不同维度特征，将基模型输出结果作为新特征输入第二层元模型完成最终拟合预测。而本文的集成框架选取逻辑回归、随机森林、XGBoost和LightGBM四类具有高度互补性的基学习器，各模型具体理论细节如下。</w:t>
      </w:r>
    </w:p>
    <w:p w14:paraId="0F400A01">
      <w:pPr>
        <w:spacing w:line="300" w:lineRule="auto"/>
        <w:ind w:firstLine="480" w:firstLineChars="200"/>
        <w:rPr>
          <w:rFonts w:hint="default"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逻辑回归是经典的线性概率二分类模型，凭借结构简单、训练高效、可解释性强的优势，被广泛应用于信贷风险评估任务，主要用于挖掘特征与违约标签之间的线性相关关系。模型通过Sigmoid激活函数将线性拟合结果映射至0-1概率区间，以此输出贷款违约的概率值，其核心概率计算公式</w:t>
      </w:r>
      <w:r>
        <w:rPr>
          <w:rFonts w:hint="eastAsia" w:cs="Times New Roman"/>
          <w:bCs/>
          <w:kern w:val="2"/>
          <w:sz w:val="24"/>
          <w:szCs w:val="28"/>
          <w:lang w:val="en-US" w:eastAsia="zh-CN" w:bidi="ar-SA"/>
        </w:rPr>
        <w:t>如式3。</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23"/>
        <w:gridCol w:w="599"/>
      </w:tblGrid>
      <w:tr w14:paraId="04E82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Borders>
              <w:tl2br w:val="nil"/>
              <w:tr2bl w:val="nil"/>
            </w:tcBorders>
            <w:vAlign w:val="center"/>
          </w:tcPr>
          <w:p w14:paraId="0F54BB22">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m:oMathPara>
              <m:oMath>
                <m:r>
                  <m:rPr/>
                  <w:rPr>
                    <w:rFonts w:hint="default" w:ascii="Cambria Math" w:hAnsi="Cambria Math" w:eastAsia="宋体"/>
                    <w:sz w:val="24"/>
                  </w:rPr>
                  <m:t>P(Y=1|X)=</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ω</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X+b)</m:t>
                        </m:r>
                        <m:ctrlPr>
                          <w:rPr>
                            <w:rFonts w:hint="default" w:ascii="Cambria Math" w:hAnsi="Cambria Math" w:eastAsia="宋体"/>
                            <w:sz w:val="24"/>
                          </w:rPr>
                        </m:ctrlPr>
                      </m:sup>
                    </m:sSup>
                    <m:ctrlPr>
                      <w:rPr>
                        <w:rFonts w:hint="default" w:ascii="Cambria Math" w:hAnsi="Cambria Math" w:eastAsia="宋体"/>
                        <w:sz w:val="24"/>
                      </w:rPr>
                    </m:ctrlPr>
                  </m:den>
                </m:f>
              </m:oMath>
            </m:oMathPara>
          </w:p>
        </w:tc>
        <w:tc>
          <w:tcPr>
            <w:tcW w:w="599" w:type="dxa"/>
            <w:tcBorders>
              <w:tl2br w:val="nil"/>
              <w:tr2bl w:val="nil"/>
            </w:tcBorders>
            <w:vAlign w:val="center"/>
          </w:tcPr>
          <w:p w14:paraId="453657F8">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w:t>
            </w:r>
            <w:r>
              <w:rPr>
                <w:rFonts w:hint="eastAsia"/>
                <w:bCs/>
                <w:sz w:val="24"/>
                <w:szCs w:val="28"/>
                <w:lang w:val="en-US" w:eastAsia="zh-CN"/>
              </w:rPr>
              <w:t>3</w:t>
            </w:r>
            <w:r>
              <w:rPr>
                <w:rFonts w:hint="eastAsia" w:ascii="Times New Roman" w:hAnsi="Times New Roman"/>
                <w:bCs/>
                <w:sz w:val="24"/>
                <w:szCs w:val="28"/>
              </w:rPr>
              <w:t>)</w:t>
            </w:r>
          </w:p>
        </w:tc>
      </w:tr>
    </w:tbl>
    <w:p w14:paraId="7820F8E2">
      <w:pPr>
        <w:spacing w:line="300" w:lineRule="auto"/>
        <w:ind w:firstLine="480" w:firstLineChars="200"/>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其中</w:t>
      </w:r>
      <m:oMath>
        <m:r>
          <m:rPr>
            <m:sty m:val="p"/>
          </m:rPr>
          <w:rPr>
            <w:rFonts w:hint="default" w:ascii="Times New Roman" w:hAnsi="Times New Roman" w:eastAsia="宋体" w:cs="Times New Roman"/>
            <w:kern w:val="2"/>
            <w:sz w:val="24"/>
            <w:szCs w:val="28"/>
            <w:lang w:val="en-US" w:eastAsia="zh-CN" w:bidi="ar-SA"/>
          </w:rPr>
          <m:t>X</m:t>
        </m:r>
      </m:oMath>
      <w:r>
        <w:rPr>
          <w:rFonts w:hint="eastAsia" w:ascii="Times New Roman" w:hAnsi="Times New Roman" w:eastAsia="宋体" w:cs="Times New Roman"/>
          <w:bCs/>
          <w:kern w:val="2"/>
          <w:sz w:val="24"/>
          <w:szCs w:val="28"/>
          <w:lang w:val="en-US" w:eastAsia="zh-CN" w:bidi="ar-SA"/>
        </w:rPr>
        <w:t>为输入特征向量，</w:t>
      </w:r>
      <m:oMath>
        <m:r>
          <m:rPr>
            <m:sty m:val="p"/>
          </m:rPr>
          <w:rPr>
            <w:rFonts w:hint="default" w:ascii="Times New Roman" w:hAnsi="Times New Roman" w:eastAsia="宋体" w:cs="Times New Roman"/>
            <w:kern w:val="2"/>
            <w:sz w:val="24"/>
            <w:szCs w:val="28"/>
            <w:lang w:val="en-US" w:eastAsia="zh-CN" w:bidi="ar-SA"/>
          </w:rPr>
          <m:t>ω</m:t>
        </m:r>
      </m:oMath>
      <w:r>
        <w:rPr>
          <w:rFonts w:hint="eastAsia" w:ascii="Times New Roman" w:hAnsi="Times New Roman" w:eastAsia="宋体" w:cs="Times New Roman"/>
          <w:bCs/>
          <w:kern w:val="2"/>
          <w:sz w:val="24"/>
          <w:szCs w:val="28"/>
          <w:lang w:val="en-US" w:eastAsia="zh-CN" w:bidi="ar-SA"/>
        </w:rPr>
        <w:t>为特征权重系数，</w:t>
      </w:r>
      <m:oMath>
        <m:r>
          <m:rPr>
            <m:sty m:val="p"/>
          </m:rPr>
          <w:rPr>
            <w:rFonts w:hint="default" w:ascii="Times New Roman" w:hAnsi="Times New Roman" w:eastAsia="宋体" w:cs="Times New Roman"/>
            <w:kern w:val="2"/>
            <w:sz w:val="24"/>
            <w:szCs w:val="28"/>
            <w:lang w:val="en-US" w:eastAsia="zh-CN" w:bidi="ar-SA"/>
          </w:rPr>
          <m:t>b</m:t>
        </m:r>
      </m:oMath>
      <w:r>
        <w:rPr>
          <w:rFonts w:hint="eastAsia" w:ascii="Times New Roman" w:hAnsi="Times New Roman" w:eastAsia="宋体" w:cs="Times New Roman"/>
          <w:bCs/>
          <w:kern w:val="2"/>
          <w:sz w:val="24"/>
          <w:szCs w:val="28"/>
          <w:lang w:val="en-US" w:eastAsia="zh-CN" w:bidi="ar-SA"/>
        </w:rPr>
        <w:t>为偏置项，</w:t>
      </w:r>
      <m:oMath>
        <m:r>
          <m:rPr>
            <m:sty m:val="p"/>
          </m:rPr>
          <w:rPr>
            <w:rFonts w:hint="default" w:ascii="Times New Roman" w:hAnsi="Times New Roman" w:eastAsia="宋体" w:cs="Times New Roman"/>
            <w:kern w:val="2"/>
            <w:sz w:val="24"/>
            <w:szCs w:val="28"/>
            <w:lang w:val="en-US" w:eastAsia="zh-CN" w:bidi="ar-SA"/>
          </w:rPr>
          <m:t>P(Y=1|X)</m:t>
        </m:r>
      </m:oMath>
      <w:r>
        <w:rPr>
          <w:rFonts w:hint="eastAsia" w:ascii="Times New Roman" w:hAnsi="Times New Roman" w:eastAsia="宋体" w:cs="Times New Roman"/>
          <w:bCs/>
          <w:kern w:val="2"/>
          <w:sz w:val="24"/>
          <w:szCs w:val="28"/>
          <w:lang w:val="en-US" w:eastAsia="zh-CN" w:bidi="ar-SA"/>
        </w:rPr>
        <w:t>代表样本违约概率。模型训练过程依托极大似然估计最小化交叉熵损失，不断迭代优化权重参数，最终实现对信贷风险的线性拟合。逻辑回归的核心优势在于模型参数具备明确的业务解释性，各特征权重可直接反映该指标对贷款违约风险的正负向影响与贡献力度，高度贴合金融风控的业务解释需求，同时模型训练速度快、不易过拟合、稳定性强，对低维度线性特征敏感度极高。但该模型存在明显短板，无法捕捉特征间的非线性交互关系，对复杂、高维度、非线性的信贷风险数据拟合能力有限，单独使用难以挖掘隐性风险特征，仅能完成基础线性风险判别，因此需要与非线性模型融合互补。</w:t>
      </w:r>
    </w:p>
    <w:p w14:paraId="74BE9FDF">
      <w:pPr>
        <w:spacing w:line="300" w:lineRule="auto"/>
        <w:ind w:firstLine="480" w:firstLineChars="200"/>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随机森林是基于集成思想构建的并行式决策树模型，以多棵互不关联的决策树为基础学习单元，通过Bagging抽样与特征随机选择机制降低单棵决策树的过拟合风险与预测偏差，最终通过投票机制输出分类结果。模型训练过程中，每棵决策树仅随机选取部分样本与部分特征进行分裂训练，有效增强单树模型的随机性与差异性，通过多树结果融合实现整体预测稳定性提升。相较于单一决策树，随机森林抗噪能力强、泛化性能优异，能够有效捕捉信贷数据中的非线性特征与简单特征交互关系，无需对数据进行标准化处理，对异常信贷样本、非正态分布信贷数据具备良好的适配性。同时模型可输出特征重要性得分，能够初步筛选影响贷款违约的核心指标。但随机森林存在固有缺陷，模型属于静态并行集成结构，无法迭代修正残差误差，对边界模糊、高区分难度的稀缺违约样本拟合精度不足，对极端不平衡数据的学习能力较弱，且模型整体拟合深度有限，难以挖掘高维复杂的隐性风险关联特征。</w:t>
      </w:r>
    </w:p>
    <w:p w14:paraId="0307C4A0">
      <w:pPr>
        <w:spacing w:line="300" w:lineRule="auto"/>
        <w:ind w:firstLine="480" w:firstLineChars="200"/>
        <w:rPr>
          <w:rFonts w:hint="eastAsia"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XGBoost是基于梯度提升框架优化的串行集成树模型，相较于传统随机森林的并行训练模式，该模型采用迭代残差拟合机制，通过不断新增决策树拟合前序模型的预测残差，逐步降低整体预测误差，具备极强的非线性特征挖掘能力。为有效解决传统梯度提升树过拟合、泛化性差的问题，XGBoost在损失函数中引入L1、L2正则化约束，其标准化目标损失函数公式</w:t>
      </w:r>
      <w:r>
        <w:rPr>
          <w:rFonts w:hint="eastAsia" w:cs="Times New Roman"/>
          <w:bCs/>
          <w:kern w:val="2"/>
          <w:sz w:val="24"/>
          <w:szCs w:val="28"/>
          <w:lang w:val="en-US" w:eastAsia="zh-CN" w:bidi="ar-SA"/>
        </w:rPr>
        <w:t>如式4。</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23"/>
        <w:gridCol w:w="599"/>
      </w:tblGrid>
      <w:tr w14:paraId="2D069BE6">
        <w:tc>
          <w:tcPr>
            <w:tcW w:w="7923" w:type="dxa"/>
            <w:tcBorders>
              <w:tl2br w:val="nil"/>
              <w:tr2bl w:val="nil"/>
            </w:tcBorders>
            <w:vAlign w:val="center"/>
          </w:tcPr>
          <w:p w14:paraId="3A0136CE">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m:oMathPara>
              <m:oMath>
                <m:r>
                  <m:rPr/>
                  <w:rPr>
                    <w:rFonts w:hint="default" w:ascii="Cambria Math" w:hAnsi="Cambria Math" w:eastAsia="宋体"/>
                    <w:sz w:val="24"/>
                  </w:rPr>
                  <m:t>L(θ)=</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l</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K</m:t>
                    </m:r>
                    <m:ctrlPr>
                      <w:rPr>
                        <w:rFonts w:hint="default" w:ascii="Cambria Math" w:hAnsi="Cambria Math" w:eastAsia="宋体"/>
                        <w:sz w:val="24"/>
                      </w:rPr>
                    </m:ctrlPr>
                  </m:sup>
                  <m:e>
                    <m:r>
                      <m:rPr>
                        <m:sty m:val="p"/>
                      </m:rPr>
                      <w:rPr>
                        <w:rFonts w:hint="default" w:ascii="Cambria Math" w:hAnsi="Cambria Math" w:eastAsia="宋体"/>
                        <w:sz w:val="24"/>
                      </w:rPr>
                      <m:t>Ω</m:t>
                    </m:r>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oMath>
            </m:oMathPara>
          </w:p>
        </w:tc>
        <w:tc>
          <w:tcPr>
            <w:tcW w:w="599" w:type="dxa"/>
            <w:tcBorders>
              <w:tl2br w:val="nil"/>
              <w:tr2bl w:val="nil"/>
            </w:tcBorders>
            <w:vAlign w:val="center"/>
          </w:tcPr>
          <w:p w14:paraId="45DF59E1">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w:t>
            </w:r>
            <w:r>
              <w:rPr>
                <w:rFonts w:hint="eastAsia"/>
                <w:bCs/>
                <w:sz w:val="24"/>
                <w:szCs w:val="28"/>
                <w:lang w:val="en-US" w:eastAsia="zh-CN"/>
              </w:rPr>
              <w:t>4</w:t>
            </w:r>
            <w:r>
              <w:rPr>
                <w:rFonts w:hint="eastAsia" w:ascii="Times New Roman" w:hAnsi="Times New Roman"/>
                <w:bCs/>
                <w:sz w:val="24"/>
                <w:szCs w:val="28"/>
              </w:rPr>
              <w:t>)</w:t>
            </w:r>
          </w:p>
        </w:tc>
      </w:tr>
    </w:tbl>
    <w:p w14:paraId="757149C9">
      <w:pPr>
        <w:spacing w:line="300" w:lineRule="auto"/>
        <w:ind w:firstLine="480" w:firstLineChars="200"/>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其中</w:t>
      </w:r>
      <m:oMath>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l</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oMath>
      <w:r>
        <w:rPr>
          <w:rFonts w:hint="eastAsia" w:ascii="Times New Roman" w:hAnsi="Times New Roman" w:eastAsia="宋体" w:cs="Times New Roman"/>
          <w:bCs/>
          <w:kern w:val="2"/>
          <w:sz w:val="24"/>
          <w:szCs w:val="28"/>
          <w:lang w:val="en-US" w:eastAsia="zh-CN" w:bidi="ar-SA"/>
        </w:rPr>
        <w:t>为模型预测误差损失，用于拟合真实数据分布，</w:t>
      </w:r>
      <m:oMath>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e>
            <m:r>
              <m:rPr>
                <m:sty m:val="p"/>
              </m:rPr>
              <w:rPr>
                <w:rFonts w:hint="default" w:ascii="Cambria Math" w:hAnsi="Cambria Math" w:eastAsia="宋体"/>
                <w:sz w:val="24"/>
              </w:rPr>
              <m:t>Ω</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Times New Roman" w:hAnsi="Times New Roman" w:eastAsia="宋体" w:cs="Times New Roman"/>
          <w:bCs/>
          <w:kern w:val="2"/>
          <w:sz w:val="24"/>
          <w:szCs w:val="28"/>
          <w:lang w:val="en-US" w:eastAsia="zh-CN" w:bidi="ar-SA"/>
        </w:rPr>
        <w:t>为正则化惩罚项，用于约束树模型复杂度、抑制过拟合。XGBoost支持稀疏数据自动处理、自适应学习率调整与多维度特征分裂优化，能够深度挖掘个人信贷数据中复杂的高阶非线性特征、特征交互效应与隐性风险规律，对稀缺违约样本的细节拟合能力显著优于传统线性模型与随机森林。但其缺点在于模型复杂度较高、超参数较多，对参数调优依赖性强，且在宏观周期波动场景下易出现过拟合现象，单一使用难以适配跨周期风控建模需求。</w:t>
      </w:r>
    </w:p>
    <w:p w14:paraId="170D5B5B">
      <w:pPr>
        <w:spacing w:line="300" w:lineRule="auto"/>
        <w:ind w:firstLine="480" w:firstLineChars="200"/>
        <w:rPr>
          <w:rFonts w:hint="eastAsia" w:ascii="Times New Roman" w:hAnsi="Times New Roman" w:eastAsia="宋体" w:cs="Times New Roman"/>
          <w:bCs/>
          <w:kern w:val="2"/>
          <w:sz w:val="24"/>
          <w:szCs w:val="28"/>
          <w:lang w:val="en-US" w:eastAsia="zh-CN" w:bidi="ar-SA"/>
        </w:rPr>
      </w:pPr>
      <w:r>
        <w:rPr>
          <w:rFonts w:hint="eastAsia" w:ascii="Times New Roman" w:hAnsi="Times New Roman" w:eastAsia="宋体" w:cs="Times New Roman"/>
          <w:bCs/>
          <w:kern w:val="2"/>
          <w:sz w:val="24"/>
          <w:szCs w:val="28"/>
          <w:lang w:val="en-US" w:eastAsia="zh-CN" w:bidi="ar-SA"/>
        </w:rPr>
        <w:t>LightGBM是在XGBoost算法基础上优化升级的轻量化梯度提升模型，创新性引入基于梯度的单边采样与互斥特征捆绑技术，在保证预测精度基本持平的前提下，大幅降低模型训练耗时与内存占用，适配海量信贷样本的快速建模场景。该模型摒弃传统梯度提升树的逐层遍历分裂方式，采用叶子优先生长策略，每次迭代优先分裂增益最大的叶子节点，有效提升模型收敛速度与特征拟合效率，能够高效处理本文百万级别的大规模个人信贷数据集。LightGBM同样具备优秀的非线性特征挖掘能力，可精准捕捉信贷数据中的高阶风险关联规律，对不平衡数据、稀疏特征与噪声数据具备良好的鲁棒性，相较于XGBoost更不易过拟合、泛化能力更优，更适配跨周期波动的复杂金融场景。该模型的局限性在于叶子优先生长策略易导致局部最优解，对小样本、高稀缺的极端违约样本拟合精度略低于XGBoost，单独使用无法兼顾全局拟合精度与边界风险识别能力。</w:t>
      </w:r>
    </w:p>
    <w:p w14:paraId="4E4C2DBC">
      <w:pPr>
        <w:numPr>
          <w:ilvl w:val="0"/>
          <w:numId w:val="0"/>
        </w:numPr>
        <w:spacing w:line="300" w:lineRule="auto"/>
        <w:ind w:firstLine="482" w:firstLineChars="200"/>
        <w:jc w:val="left"/>
        <w:outlineLvl w:val="2"/>
        <w:rPr>
          <w:rFonts w:hint="eastAsia" w:cs="Times New Roman"/>
          <w:b/>
          <w:bCs/>
          <w:kern w:val="0"/>
          <w:sz w:val="24"/>
          <w:szCs w:val="28"/>
          <w:lang w:val="en-US" w:eastAsia="zh-CN"/>
        </w:rPr>
      </w:pPr>
      <w:r>
        <w:rPr>
          <w:rFonts w:hint="eastAsia" w:cs="Times New Roman"/>
          <w:b/>
          <w:bCs/>
          <w:kern w:val="0"/>
          <w:sz w:val="24"/>
          <w:szCs w:val="28"/>
          <w:lang w:val="en-US" w:eastAsia="zh-CN"/>
        </w:rPr>
        <w:t>3.SHAP价值解释框架</w:t>
      </w:r>
    </w:p>
    <w:p w14:paraId="2FBEC6AE">
      <w:pPr>
        <w:spacing w:line="300" w:lineRule="auto"/>
        <w:ind w:firstLine="480" w:firstLineChars="200"/>
        <w:rPr>
          <w:rFonts w:ascii="Times New Roman" w:hAnsi="Times New Roman"/>
          <w:bCs/>
          <w:sz w:val="24"/>
          <w:szCs w:val="28"/>
        </w:rPr>
      </w:pPr>
      <w:r>
        <w:rPr>
          <w:rFonts w:hint="eastAsia" w:ascii="Times New Roman" w:hAnsi="Times New Roman"/>
          <w:bCs/>
          <w:sz w:val="24"/>
          <w:szCs w:val="28"/>
        </w:rPr>
        <w:t>SHAP（SHapley Additive exPlanations）价值解释框架是基于博弈论中的SHAP值提出的一种可解释性人工智能（XAI）方法，其核心在于将模型的预测结果分解为各个特征对预测值的贡献度，从而量化每个特征在预测过程中的具体作用，有效解决了机器学习模型（尤其是集成学习模型）的“黑箱”问题。XGBoost等集成模型虽具备优异的预测性能，但其复杂的模型结构导致决策过程难以解释，而SHAP框架通过赋予每个特征明确的贡献值，能够清晰揭示特征变量对结果的影响方向与程度，为模型的实际应用和决策制定提供了理论依据。</w:t>
      </w:r>
    </w:p>
    <w:p w14:paraId="44D8CA6A">
      <w:pPr>
        <w:spacing w:line="300" w:lineRule="auto"/>
        <w:ind w:firstLine="480" w:firstLineChars="200"/>
        <w:rPr>
          <w:rFonts w:ascii="Times New Roman" w:hAnsi="Times New Roman"/>
          <w:bCs/>
          <w:sz w:val="24"/>
          <w:szCs w:val="28"/>
        </w:rPr>
      </w:pPr>
      <w:r>
        <w:rPr>
          <w:rFonts w:hint="eastAsia" w:ascii="Times New Roman" w:hAnsi="Times New Roman"/>
          <w:bCs/>
          <w:sz w:val="24"/>
          <w:szCs w:val="28"/>
        </w:rPr>
        <w:t>SHAP价值的本质是SHAP值在机器学习可解释性领域的延伸应用。SHAP值由博弈论学者Shapley于1953年提出，用于衡量合作博弈中每个参与者对联盟总收益的贡献程度。在机器学习模型中，可将模型的预测过程视为一场“博弈”：特征集合为参与博弈的“参与者”，模型的预测值为“总收益”，而SHAP值则是每个特征对最终预测结果的边际贡献。</w:t>
      </w:r>
    </w:p>
    <w:p w14:paraId="4BDA301B">
      <w:pPr>
        <w:spacing w:line="300" w:lineRule="auto"/>
        <w:ind w:firstLine="480" w:firstLineChars="200"/>
        <w:rPr>
          <w:rFonts w:hint="default" w:ascii="Times New Roman" w:hAnsi="Times New Roman" w:eastAsia="宋体"/>
          <w:bCs/>
          <w:sz w:val="24"/>
          <w:szCs w:val="28"/>
          <w:lang w:val="en-US" w:eastAsia="zh-CN"/>
        </w:rPr>
      </w:pPr>
      <w:r>
        <w:rPr>
          <w:rFonts w:hint="eastAsia" w:ascii="Times New Roman" w:hAnsi="Times New Roman"/>
          <w:bCs/>
          <w:sz w:val="24"/>
          <w:szCs w:val="28"/>
        </w:rPr>
        <w:t>对于一个给定的预测样本</w:t>
      </w:r>
      <m:oMath>
        <m:r>
          <m:rPr>
            <m:sty m:val="p"/>
          </m:rPr>
          <w:rPr>
            <w:rFonts w:hint="eastAsia" w:ascii="Times New Roman" w:hAnsi="Times New Roman"/>
            <w:sz w:val="24"/>
            <w:szCs w:val="28"/>
          </w:rPr>
          <m:t>x</m:t>
        </m:r>
      </m:oMath>
      <w:r>
        <w:rPr>
          <w:rFonts w:hint="eastAsia" w:ascii="Times New Roman" w:hAnsi="Times New Roman"/>
          <w:bCs/>
          <w:sz w:val="24"/>
          <w:szCs w:val="28"/>
        </w:rPr>
        <w:t>，模型的预测值</w:t>
      </w:r>
      <m:oMath>
        <m:r>
          <m:rPr>
            <m:sty m:val="p"/>
          </m:rPr>
          <w:rPr>
            <w:rFonts w:hint="eastAsia" w:ascii="Times New Roman" w:hAnsi="Times New Roman"/>
            <w:sz w:val="24"/>
            <w:szCs w:val="28"/>
          </w:rPr>
          <m:t>f(x)</m:t>
        </m:r>
      </m:oMath>
      <w:r>
        <w:rPr>
          <w:rFonts w:hint="eastAsia" w:ascii="Times New Roman" w:hAnsi="Times New Roman"/>
          <w:bCs/>
          <w:sz w:val="24"/>
          <w:szCs w:val="28"/>
        </w:rPr>
        <w:t>可通过SHAP值分解</w:t>
      </w:r>
      <w:r>
        <w:rPr>
          <w:rFonts w:hint="eastAsia"/>
          <w:bCs/>
          <w:sz w:val="24"/>
          <w:szCs w:val="28"/>
          <w:lang w:eastAsia="zh-CN"/>
        </w:rPr>
        <w:t>，</w:t>
      </w:r>
      <w:r>
        <w:rPr>
          <w:rFonts w:hint="eastAsia"/>
          <w:bCs/>
          <w:sz w:val="24"/>
          <w:szCs w:val="28"/>
          <w:lang w:val="en-US" w:eastAsia="zh-CN"/>
        </w:rPr>
        <w:t>具体的分解公式如式5。</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23"/>
        <w:gridCol w:w="599"/>
      </w:tblGrid>
      <w:tr w14:paraId="104CA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Borders>
              <w:tl2br w:val="nil"/>
              <w:tr2bl w:val="nil"/>
            </w:tcBorders>
            <w:vAlign w:val="center"/>
          </w:tcPr>
          <w:p w14:paraId="5B8DA0E1">
            <w:pPr>
              <w:spacing w:line="300" w:lineRule="auto"/>
              <w:ind w:firstLine="480" w:firstLineChars="200"/>
              <w:rPr>
                <w:rFonts w:ascii="Times New Roman" w:hAnsi="Times New Roman"/>
                <w:bCs/>
                <w:sz w:val="24"/>
                <w:szCs w:val="28"/>
              </w:rPr>
            </w:pPr>
            <m:oMathPara>
              <m:oMath>
                <m:r>
                  <m:rPr>
                    <m:sty m:val="p"/>
                  </m:rPr>
                  <w:rPr>
                    <w:rFonts w:hint="eastAsia" w:ascii="Times New Roman" w:hAnsi="Times New Roman"/>
                    <w:sz w:val="24"/>
                    <w:szCs w:val="28"/>
                  </w:rPr>
                  <m:t>f</m:t>
                </m:r>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r>
                  <m:rPr>
                    <m:sty m:val="p"/>
                  </m:rPr>
                  <w:rPr>
                    <w:rFonts w:hint="eastAsia" w:ascii="Times New Roman" w:hAnsi="Times New Roman"/>
                    <w:sz w:val="24"/>
                    <w:szCs w:val="28"/>
                  </w:rPr>
                  <m:t>=</m:t>
                </m:r>
                <m:sSub>
                  <m:sSubPr>
                    <m:ctrlPr>
                      <w:rPr>
                        <w:rFonts w:hint="eastAsia" w:ascii="Cambria Math" w:hAnsi="Cambria Math"/>
                        <w:bCs/>
                        <w:sz w:val="24"/>
                        <w:szCs w:val="28"/>
                      </w:rPr>
                    </m:ctrlPr>
                  </m:sSubPr>
                  <m:e>
                    <m:r>
                      <m:rPr>
                        <m:sty m:val="p"/>
                      </m:rPr>
                      <w:rPr>
                        <w:rFonts w:hint="eastAsia" w:ascii="Times New Roman" w:hAnsi="Times New Roman"/>
                        <w:sz w:val="24"/>
                        <w:szCs w:val="28"/>
                      </w:rPr>
                      <m:t>f</m:t>
                    </m:r>
                    <m:ctrlPr>
                      <w:rPr>
                        <w:rFonts w:hint="eastAsia" w:ascii="Cambria Math" w:hAnsi="Cambria Math"/>
                        <w:bCs/>
                        <w:sz w:val="24"/>
                        <w:szCs w:val="28"/>
                      </w:rPr>
                    </m:ctrlPr>
                  </m:e>
                  <m:sub>
                    <m:r>
                      <m:rPr>
                        <m:sty m:val="p"/>
                      </m:rPr>
                      <w:rPr>
                        <w:rFonts w:hint="eastAsia" w:ascii="Times New Roman" w:hAnsi="Times New Roman"/>
                        <w:sz w:val="24"/>
                        <w:szCs w:val="28"/>
                      </w:rPr>
                      <m:t>0</m:t>
                    </m:r>
                    <m:ctrlPr>
                      <w:rPr>
                        <w:rFonts w:hint="eastAsia" w:ascii="Cambria Math" w:hAnsi="Cambria Math"/>
                        <w:bCs/>
                        <w:sz w:val="24"/>
                        <w:szCs w:val="28"/>
                      </w:rPr>
                    </m:ctrlPr>
                  </m:sub>
                </m:sSub>
                <m:r>
                  <m:rPr>
                    <m:sty m:val="p"/>
                  </m:rPr>
                  <w:rPr>
                    <w:rFonts w:hint="eastAsia" w:ascii="Times New Roman" w:hAnsi="Times New Roman"/>
                    <w:sz w:val="24"/>
                    <w:szCs w:val="28"/>
                  </w:rPr>
                  <m:t>+</m:t>
                </m:r>
                <m:nary>
                  <m:naryPr>
                    <m:chr m:val="∑"/>
                    <m:ctrlPr>
                      <w:rPr>
                        <w:rFonts w:hint="eastAsia" w:ascii="Cambria Math" w:hAnsi="Cambria Math"/>
                        <w:bCs/>
                        <w:i/>
                        <w:iCs/>
                        <w:sz w:val="24"/>
                        <w:szCs w:val="28"/>
                      </w:rPr>
                    </m:ctrlPr>
                  </m:naryPr>
                  <m:sub>
                    <m:r>
                      <m:rPr/>
                      <w:rPr>
                        <w:rFonts w:hint="eastAsia" w:ascii="Times New Roman" w:hAnsi="Times New Roman"/>
                        <w:sz w:val="24"/>
                        <w:szCs w:val="28"/>
                      </w:rPr>
                      <m:t>i=1</m:t>
                    </m:r>
                    <m:ctrlPr>
                      <w:rPr>
                        <w:rFonts w:hint="eastAsia" w:ascii="Cambria Math" w:hAnsi="Cambria Math"/>
                        <w:bCs/>
                        <w:i/>
                        <w:iCs/>
                        <w:sz w:val="24"/>
                        <w:szCs w:val="28"/>
                      </w:rPr>
                    </m:ctrlPr>
                  </m:sub>
                  <m:sup>
                    <m:r>
                      <m:rPr/>
                      <w:rPr>
                        <w:rFonts w:hint="eastAsia" w:ascii="Times New Roman" w:hAnsi="Times New Roman"/>
                        <w:sz w:val="24"/>
                        <w:szCs w:val="28"/>
                      </w:rPr>
                      <m:t>M</m:t>
                    </m:r>
                    <m:ctrlPr>
                      <w:rPr>
                        <w:rFonts w:hint="eastAsia" w:ascii="Cambria Math" w:hAnsi="Cambria Math"/>
                        <w:bCs/>
                        <w:i/>
                        <w:iCs/>
                        <w:sz w:val="24"/>
                        <w:szCs w:val="28"/>
                      </w:rPr>
                    </m:ctrlPr>
                  </m:sup>
                  <m:e>
                    <m:sSub>
                      <m:sSubPr>
                        <m:ctrlPr>
                          <w:rPr>
                            <w:rFonts w:hint="eastAsia" w:ascii="Cambria Math" w:hAnsi="Cambria Math"/>
                            <w:bCs/>
                            <w:i/>
                            <w:iCs/>
                            <w:sz w:val="24"/>
                            <w:szCs w:val="28"/>
                          </w:rPr>
                        </m:ctrlPr>
                      </m:sSubPr>
                      <m:e>
                        <m:r>
                          <m:rPr/>
                          <w:rPr>
                            <w:rFonts w:hint="eastAsia" w:ascii="Times New Roman" w:hAnsi="Times New Roman"/>
                            <w:sz w:val="24"/>
                            <w:szCs w:val="28"/>
                          </w:rPr>
                          <m:t>ϕ</m:t>
                        </m:r>
                        <m:ctrlPr>
                          <w:rPr>
                            <w:rFonts w:hint="eastAsia" w:ascii="Cambria Math" w:hAnsi="Cambria Math"/>
                            <w:bCs/>
                            <w:i/>
                            <w:iCs/>
                            <w:sz w:val="24"/>
                            <w:szCs w:val="28"/>
                          </w:rPr>
                        </m:ctrlPr>
                      </m:e>
                      <m:sub>
                        <m:r>
                          <m:rPr/>
                          <w:rPr>
                            <w:rFonts w:hint="eastAsia" w:ascii="Times New Roman" w:hAnsi="Times New Roman"/>
                            <w:sz w:val="24"/>
                            <w:szCs w:val="28"/>
                          </w:rPr>
                          <m:t>i</m:t>
                        </m:r>
                        <m:ctrlPr>
                          <w:rPr>
                            <w:rFonts w:hint="eastAsia" w:ascii="Cambria Math" w:hAnsi="Cambria Math"/>
                            <w:bCs/>
                            <w:i/>
                            <w:iCs/>
                            <w:sz w:val="24"/>
                            <w:szCs w:val="28"/>
                          </w:rPr>
                        </m:ctrlPr>
                      </m:sub>
                    </m:sSub>
                    <m:d>
                      <m:dPr>
                        <m:ctrlPr>
                          <w:rPr>
                            <w:rFonts w:hint="eastAsia" w:ascii="Cambria Math" w:hAnsi="Cambria Math"/>
                            <w:bCs/>
                            <w:i/>
                            <w:iCs/>
                            <w:sz w:val="24"/>
                            <w:szCs w:val="28"/>
                          </w:rPr>
                        </m:ctrlPr>
                      </m:dPr>
                      <m:e>
                        <m:r>
                          <m:rPr/>
                          <w:rPr>
                            <w:rFonts w:hint="eastAsia" w:ascii="Times New Roman" w:hAnsi="Times New Roman"/>
                            <w:sz w:val="24"/>
                            <w:szCs w:val="28"/>
                          </w:rPr>
                          <m:t>x</m:t>
                        </m:r>
                        <m:ctrlPr>
                          <w:rPr>
                            <w:rFonts w:hint="eastAsia" w:ascii="Cambria Math" w:hAnsi="Cambria Math"/>
                            <w:bCs/>
                            <w:i/>
                            <w:iCs/>
                            <w:sz w:val="24"/>
                            <w:szCs w:val="28"/>
                          </w:rPr>
                        </m:ctrlPr>
                      </m:e>
                    </m:d>
                    <m:ctrlPr>
                      <w:rPr>
                        <w:rFonts w:hint="eastAsia" w:ascii="Cambria Math" w:hAnsi="Cambria Math"/>
                        <w:bCs/>
                        <w:i/>
                        <w:iCs/>
                        <w:sz w:val="24"/>
                        <w:szCs w:val="28"/>
                      </w:rPr>
                    </m:ctrlPr>
                  </m:e>
                </m:nary>
              </m:oMath>
            </m:oMathPara>
          </w:p>
        </w:tc>
        <w:tc>
          <w:tcPr>
            <w:tcW w:w="599" w:type="dxa"/>
            <w:tcBorders>
              <w:tl2br w:val="nil"/>
              <w:tr2bl w:val="nil"/>
            </w:tcBorders>
            <w:vAlign w:val="center"/>
          </w:tcPr>
          <w:p w14:paraId="06470BEB">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w:t>
            </w:r>
            <w:r>
              <w:rPr>
                <w:rFonts w:hint="eastAsia"/>
                <w:bCs/>
                <w:sz w:val="24"/>
                <w:szCs w:val="28"/>
                <w:lang w:val="en-US" w:eastAsia="zh-CN"/>
              </w:rPr>
              <w:t>5</w:t>
            </w:r>
            <w:r>
              <w:rPr>
                <w:rFonts w:hint="eastAsia" w:ascii="Times New Roman" w:hAnsi="Times New Roman"/>
                <w:bCs/>
                <w:sz w:val="24"/>
                <w:szCs w:val="28"/>
              </w:rPr>
              <w:t>)</w:t>
            </w:r>
          </w:p>
        </w:tc>
      </w:tr>
    </w:tbl>
    <w:p w14:paraId="65151DD7">
      <w:pPr>
        <w:spacing w:line="300" w:lineRule="auto"/>
        <w:ind w:firstLine="480" w:firstLineChars="200"/>
        <w:rPr>
          <w:rFonts w:ascii="Times New Roman" w:hAnsi="Times New Roman"/>
          <w:bCs/>
          <w:sz w:val="24"/>
          <w:szCs w:val="28"/>
        </w:rPr>
      </w:pPr>
      <w:r>
        <w:rPr>
          <w:rFonts w:hint="eastAsia" w:ascii="Times New Roman" w:hAnsi="Times New Roman"/>
          <w:bCs/>
          <w:sz w:val="24"/>
          <w:szCs w:val="28"/>
        </w:rPr>
        <w:t>其中，</w:t>
      </w:r>
      <m:oMath>
        <m:sSub>
          <m:sSubPr>
            <m:ctrlPr>
              <w:rPr>
                <w:rFonts w:hint="eastAsia" w:ascii="Cambria Math" w:hAnsi="Cambria Math"/>
                <w:bCs/>
                <w:sz w:val="24"/>
                <w:szCs w:val="28"/>
              </w:rPr>
            </m:ctrlPr>
          </m:sSubPr>
          <m:e>
            <m:r>
              <m:rPr>
                <m:sty m:val="p"/>
              </m:rPr>
              <w:rPr>
                <w:rFonts w:hint="eastAsia" w:ascii="Times New Roman" w:hAnsi="Times New Roman"/>
                <w:sz w:val="24"/>
                <w:szCs w:val="28"/>
              </w:rPr>
              <m:t>f</m:t>
            </m:r>
            <m:ctrlPr>
              <w:rPr>
                <w:rFonts w:hint="eastAsia" w:ascii="Cambria Math" w:hAnsi="Cambria Math"/>
                <w:bCs/>
                <w:sz w:val="24"/>
                <w:szCs w:val="28"/>
              </w:rPr>
            </m:ctrlPr>
          </m:e>
          <m:sub>
            <m:r>
              <m:rPr>
                <m:sty m:val="p"/>
              </m:rPr>
              <w:rPr>
                <w:rFonts w:hint="eastAsia" w:ascii="Times New Roman" w:hAnsi="Times New Roman"/>
                <w:sz w:val="24"/>
                <w:szCs w:val="28"/>
              </w:rPr>
              <m:t>0</m:t>
            </m:r>
            <m:ctrlPr>
              <w:rPr>
                <w:rFonts w:hint="eastAsia" w:ascii="Cambria Math" w:hAnsi="Cambria Math"/>
                <w:bCs/>
                <w:sz w:val="24"/>
                <w:szCs w:val="28"/>
              </w:rPr>
            </m:ctrlPr>
          </m:sub>
        </m:sSub>
      </m:oMath>
      <w:r>
        <w:rPr>
          <w:rFonts w:hint="eastAsia" w:ascii="Times New Roman" w:hAnsi="Times New Roman"/>
          <w:bCs/>
          <w:sz w:val="24"/>
          <w:szCs w:val="28"/>
        </w:rPr>
        <w:t>为模型的基准预测值（通常为所有样本的平均预测值），</w:t>
      </w:r>
      <m:oMath>
        <m:r>
          <m:rPr>
            <m:sty m:val="p"/>
          </m:rPr>
          <w:rPr>
            <w:rFonts w:hint="eastAsia" w:ascii="Times New Roman" w:hAnsi="Times New Roman"/>
            <w:sz w:val="24"/>
            <w:szCs w:val="28"/>
          </w:rPr>
          <m:t>M</m:t>
        </m:r>
      </m:oMath>
      <w:r>
        <w:rPr>
          <w:rFonts w:hint="eastAsia" w:ascii="Times New Roman" w:hAnsi="Times New Roman"/>
          <w:bCs/>
          <w:sz w:val="24"/>
          <w:szCs w:val="28"/>
        </w:rPr>
        <w:t>为特征的数量，</w:t>
      </w:r>
      <m:oMath>
        <m:sSub>
          <m:sSubPr>
            <m:ctrlPr>
              <w:rPr>
                <w:rFonts w:hint="eastAsia" w:ascii="Cambria Math" w:hAnsi="Cambria Math"/>
                <w:bCs/>
                <w:sz w:val="24"/>
                <w:szCs w:val="28"/>
              </w:rPr>
            </m:ctrlPr>
          </m:sSubPr>
          <m:e>
            <m:r>
              <m:rPr>
                <m:sty m:val="p"/>
              </m:rPr>
              <w:rPr>
                <w:rFonts w:hint="eastAsia" w:ascii="Times New Roman" w:hAnsi="Times New Roman"/>
                <w:sz w:val="24"/>
                <w:szCs w:val="28"/>
              </w:rPr>
              <m:t>ϕ</m:t>
            </m:r>
            <m:ctrlPr>
              <w:rPr>
                <w:rFonts w:hint="eastAsia" w:ascii="Cambria Math" w:hAnsi="Cambria Math"/>
                <w:bCs/>
                <w:sz w:val="24"/>
                <w:szCs w:val="28"/>
              </w:rPr>
            </m:ctrlPr>
          </m:e>
          <m:sub>
            <m:r>
              <m:rPr>
                <m:sty m:val="p"/>
              </m:rPr>
              <w:rPr>
                <w:rFonts w:hint="eastAsia" w:ascii="Times New Roman" w:hAnsi="Times New Roman"/>
                <w:sz w:val="24"/>
                <w:szCs w:val="28"/>
              </w:rPr>
              <m:t>i</m:t>
            </m:r>
            <m:ctrlPr>
              <w:rPr>
                <w:rFonts w:hint="eastAsia" w:ascii="Cambria Math" w:hAnsi="Cambria Math"/>
                <w:bCs/>
                <w:sz w:val="24"/>
                <w:szCs w:val="28"/>
              </w:rPr>
            </m:ctrlPr>
          </m:sub>
        </m:sSub>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oMath>
      <w:r>
        <w:rPr>
          <w:rFonts w:hint="eastAsia" w:ascii="Times New Roman" w:hAnsi="Times New Roman"/>
          <w:bCs/>
          <w:sz w:val="24"/>
          <w:szCs w:val="28"/>
        </w:rPr>
        <w:t>为第</w:t>
      </w:r>
      <m:oMath>
        <m:r>
          <m:rPr>
            <m:sty m:val="p"/>
          </m:rPr>
          <w:rPr>
            <w:rFonts w:hint="eastAsia" w:ascii="Times New Roman" w:hAnsi="Times New Roman"/>
            <w:sz w:val="24"/>
            <w:szCs w:val="28"/>
          </w:rPr>
          <m:t>i</m:t>
        </m:r>
      </m:oMath>
      <w:r>
        <w:rPr>
          <w:rFonts w:hint="eastAsia" w:ascii="Times New Roman" w:hAnsi="Times New Roman"/>
          <w:bCs/>
          <w:sz w:val="24"/>
          <w:szCs w:val="28"/>
        </w:rPr>
        <w:t>个特征的SHAP值，代表该特征对预测值偏离基准值的贡献程度。若</w:t>
      </w:r>
      <m:oMath>
        <m:sSub>
          <m:sSubPr>
            <m:ctrlPr>
              <w:rPr>
                <w:rFonts w:hint="eastAsia" w:ascii="Cambria Math" w:hAnsi="Cambria Math"/>
                <w:bCs/>
                <w:sz w:val="24"/>
                <w:szCs w:val="28"/>
              </w:rPr>
            </m:ctrlPr>
          </m:sSubPr>
          <m:e>
            <m:r>
              <m:rPr>
                <m:sty m:val="p"/>
              </m:rPr>
              <w:rPr>
                <w:rFonts w:ascii="Times New Roman" w:hAnsi="Times New Roman"/>
                <w:sz w:val="24"/>
                <w:szCs w:val="28"/>
              </w:rPr>
              <m:t>ϕ</m:t>
            </m:r>
            <m:ctrlPr>
              <w:rPr>
                <w:rFonts w:hint="eastAsia" w:ascii="Cambria Math" w:hAnsi="Cambria Math"/>
                <w:bCs/>
                <w:sz w:val="24"/>
                <w:szCs w:val="28"/>
              </w:rPr>
            </m:ctrlPr>
          </m:e>
          <m:sub>
            <m:r>
              <m:rPr>
                <m:sty m:val="p"/>
              </m:rPr>
              <w:rPr>
                <w:rFonts w:hint="eastAsia" w:ascii="Times New Roman" w:hAnsi="Times New Roman"/>
                <w:sz w:val="24"/>
                <w:szCs w:val="28"/>
              </w:rPr>
              <m:t>i</m:t>
            </m:r>
            <m:ctrlPr>
              <w:rPr>
                <w:rFonts w:hint="eastAsia" w:ascii="Cambria Math" w:hAnsi="Cambria Math"/>
                <w:bCs/>
                <w:sz w:val="24"/>
                <w:szCs w:val="28"/>
              </w:rPr>
            </m:ctrlPr>
          </m:sub>
        </m:sSub>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r>
          <m:rPr>
            <m:sty m:val="p"/>
          </m:rPr>
          <w:rPr>
            <w:rFonts w:hint="eastAsia" w:ascii="Times New Roman" w:hAnsi="Times New Roman"/>
            <w:sz w:val="24"/>
            <w:szCs w:val="28"/>
          </w:rPr>
          <m:t>&gt;0</m:t>
        </m:r>
      </m:oMath>
      <w:r>
        <w:rPr>
          <w:rFonts w:hint="eastAsia" w:ascii="Times New Roman" w:hAnsi="Times New Roman"/>
          <w:bCs/>
          <w:sz w:val="24"/>
          <w:szCs w:val="28"/>
        </w:rPr>
        <w:t>，说明该特征的取值使预测值高于基准值；若</w:t>
      </w:r>
      <m:oMath>
        <m:sSub>
          <m:sSubPr>
            <m:ctrlPr>
              <w:rPr>
                <w:rFonts w:hint="eastAsia" w:ascii="Cambria Math" w:hAnsi="Cambria Math"/>
                <w:bCs/>
                <w:sz w:val="24"/>
                <w:szCs w:val="28"/>
              </w:rPr>
            </m:ctrlPr>
          </m:sSubPr>
          <m:e>
            <m:r>
              <m:rPr>
                <m:sty m:val="p"/>
              </m:rPr>
              <w:rPr>
                <w:rFonts w:ascii="Times New Roman" w:hAnsi="Times New Roman"/>
                <w:sz w:val="24"/>
                <w:szCs w:val="28"/>
              </w:rPr>
              <m:t>ϕ</m:t>
            </m:r>
            <m:ctrlPr>
              <w:rPr>
                <w:rFonts w:hint="eastAsia" w:ascii="Cambria Math" w:hAnsi="Cambria Math"/>
                <w:bCs/>
                <w:sz w:val="24"/>
                <w:szCs w:val="28"/>
              </w:rPr>
            </m:ctrlPr>
          </m:e>
          <m:sub>
            <m:r>
              <m:rPr>
                <m:sty m:val="p"/>
              </m:rPr>
              <w:rPr>
                <w:rFonts w:hint="eastAsia" w:ascii="Times New Roman" w:hAnsi="Times New Roman"/>
                <w:sz w:val="24"/>
                <w:szCs w:val="28"/>
              </w:rPr>
              <m:t>i</m:t>
            </m:r>
            <m:ctrlPr>
              <w:rPr>
                <w:rFonts w:hint="eastAsia" w:ascii="Cambria Math" w:hAnsi="Cambria Math"/>
                <w:bCs/>
                <w:sz w:val="24"/>
                <w:szCs w:val="28"/>
              </w:rPr>
            </m:ctrlPr>
          </m:sub>
        </m:sSub>
        <m:d>
          <m:dPr>
            <m:ctrlPr>
              <w:rPr>
                <w:rFonts w:hint="eastAsia" w:ascii="Cambria Math" w:hAnsi="Cambria Math"/>
                <w:bCs/>
                <w:sz w:val="24"/>
                <w:szCs w:val="28"/>
              </w:rPr>
            </m:ctrlPr>
          </m:dPr>
          <m:e>
            <m:r>
              <m:rPr>
                <m:sty m:val="p"/>
              </m:rPr>
              <w:rPr>
                <w:rFonts w:hint="eastAsia" w:ascii="Times New Roman" w:hAnsi="Times New Roman"/>
                <w:sz w:val="24"/>
                <w:szCs w:val="28"/>
              </w:rPr>
              <m:t>x</m:t>
            </m:r>
            <m:ctrlPr>
              <w:rPr>
                <w:rFonts w:hint="eastAsia" w:ascii="Cambria Math" w:hAnsi="Cambria Math"/>
                <w:bCs/>
                <w:sz w:val="24"/>
                <w:szCs w:val="28"/>
              </w:rPr>
            </m:ctrlPr>
          </m:e>
        </m:d>
        <m:r>
          <m:rPr>
            <m:sty m:val="p"/>
          </m:rPr>
          <w:rPr>
            <w:rFonts w:hint="eastAsia" w:ascii="Times New Roman" w:hAnsi="Times New Roman"/>
            <w:sz w:val="24"/>
            <w:szCs w:val="28"/>
          </w:rPr>
          <m:t>&lt;</m:t>
        </m:r>
        <m:r>
          <m:rPr>
            <m:sty m:val="p"/>
          </m:rPr>
          <w:rPr>
            <w:rFonts w:ascii="Times New Roman" w:hAnsi="Times New Roman"/>
            <w:sz w:val="24"/>
            <w:szCs w:val="28"/>
          </w:rPr>
          <m:t>0</m:t>
        </m:r>
      </m:oMath>
      <w:r>
        <w:rPr>
          <w:rFonts w:hint="eastAsia" w:ascii="Times New Roman" w:hAnsi="Times New Roman"/>
          <w:bCs/>
          <w:sz w:val="24"/>
          <w:szCs w:val="28"/>
        </w:rPr>
        <w:t>，则表示该特征的取值降低了预测值。</w:t>
      </w:r>
    </w:p>
    <w:p w14:paraId="76269B64">
      <w:pPr>
        <w:spacing w:line="300" w:lineRule="auto"/>
        <w:ind w:firstLine="480" w:firstLineChars="200"/>
        <w:rPr>
          <w:rFonts w:hint="eastAsia"/>
          <w:bCs/>
          <w:sz w:val="24"/>
          <w:szCs w:val="28"/>
          <w:lang w:val="en-US" w:eastAsia="zh-CN"/>
        </w:rPr>
      </w:pPr>
      <w:r>
        <w:rPr>
          <w:rFonts w:hint="eastAsia" w:ascii="Times New Roman" w:hAnsi="Times New Roman"/>
          <w:bCs/>
          <w:sz w:val="24"/>
          <w:szCs w:val="28"/>
        </w:rPr>
        <w:t>SHAP值的计算需严格满足四大公理，这也是 SHAP 值具备公平性与合理性的关键：一是</w:t>
      </w:r>
      <w:r>
        <w:rPr>
          <w:rFonts w:ascii="Times New Roman" w:hAnsi="Times New Roman"/>
          <w:bCs/>
          <w:sz w:val="24"/>
          <w:szCs w:val="28"/>
        </w:rPr>
        <w:t>有效性公理，即所有特征的 SHAP 值之和等于模型预测值与基准值的差值，确保贡献分配无遗漏或重复；二是对称性公理，若两个特征在所有子集组合中的边际贡献完全相同，则两者的 SHAP 值相等，避免因特征顺序或命名差异导致的分配偏差；三是线性公理，若模型为线性组合形式，SHAP 值可直接对应特征的线性系数，保证与传统线性模型解释逻辑的一致性；四是空值公理，若某一特征对所有子集的边际贡献均为 0，则其 SHAP 值为0，确保无意义特征不干扰解释结果。基于上述公理，SHAP 值的具体计算需遍历所有特征子集，通过对比</w:t>
      </w:r>
      <w:r>
        <w:rPr>
          <w:rFonts w:hint="eastAsia"/>
          <w:bCs/>
          <w:sz w:val="24"/>
          <w:szCs w:val="28"/>
          <w:lang w:eastAsia="zh-CN"/>
        </w:rPr>
        <w:t>“</w:t>
      </w:r>
      <w:r>
        <w:rPr>
          <w:rFonts w:ascii="Times New Roman" w:hAnsi="Times New Roman"/>
          <w:bCs/>
          <w:sz w:val="24"/>
          <w:szCs w:val="28"/>
        </w:rPr>
        <w:t>包含该特征的子集预测值</w:t>
      </w:r>
      <w:r>
        <w:rPr>
          <w:rFonts w:hint="eastAsia"/>
          <w:bCs/>
          <w:sz w:val="24"/>
          <w:szCs w:val="28"/>
          <w:lang w:eastAsia="zh-CN"/>
        </w:rPr>
        <w:t>”</w:t>
      </w:r>
      <w:r>
        <w:rPr>
          <w:rFonts w:ascii="Times New Roman" w:hAnsi="Times New Roman"/>
          <w:bCs/>
          <w:sz w:val="24"/>
          <w:szCs w:val="28"/>
        </w:rPr>
        <w:t>与</w:t>
      </w:r>
      <w:r>
        <w:rPr>
          <w:rFonts w:hint="eastAsia"/>
          <w:bCs/>
          <w:sz w:val="24"/>
          <w:szCs w:val="28"/>
          <w:lang w:eastAsia="zh-CN"/>
        </w:rPr>
        <w:t>“</w:t>
      </w:r>
      <w:r>
        <w:rPr>
          <w:rFonts w:ascii="Times New Roman" w:hAnsi="Times New Roman"/>
          <w:bCs/>
          <w:sz w:val="24"/>
          <w:szCs w:val="28"/>
        </w:rPr>
        <w:t>不包含该特征的子集预测值</w:t>
      </w:r>
      <w:r>
        <w:rPr>
          <w:rFonts w:hint="eastAsia"/>
          <w:bCs/>
          <w:sz w:val="24"/>
          <w:szCs w:val="28"/>
          <w:lang w:eastAsia="zh-CN"/>
        </w:rPr>
        <w:t>”</w:t>
      </w:r>
      <w:r>
        <w:rPr>
          <w:rFonts w:ascii="Times New Roman" w:hAnsi="Times New Roman"/>
          <w:bCs/>
          <w:sz w:val="24"/>
          <w:szCs w:val="28"/>
        </w:rPr>
        <w:t>，求解边际贡献的期望，</w:t>
      </w:r>
      <w:r>
        <w:rPr>
          <w:rFonts w:hint="eastAsia" w:ascii="Times New Roman" w:hAnsi="Times New Roman"/>
          <w:bCs/>
          <w:sz w:val="24"/>
          <w:szCs w:val="28"/>
        </w:rPr>
        <w:t>其计算公式</w:t>
      </w:r>
      <w:r>
        <w:rPr>
          <w:rFonts w:hint="eastAsia"/>
          <w:bCs/>
          <w:sz w:val="24"/>
          <w:szCs w:val="28"/>
          <w:lang w:val="en-US" w:eastAsia="zh-CN"/>
        </w:rPr>
        <w:t>如式6。</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23"/>
        <w:gridCol w:w="599"/>
      </w:tblGrid>
      <w:tr w14:paraId="31E0B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Borders>
              <w:tl2br w:val="nil"/>
              <w:tr2bl w:val="nil"/>
            </w:tcBorders>
            <w:vAlign w:val="center"/>
          </w:tcPr>
          <w:p w14:paraId="3930ABBE">
            <w:pPr>
              <w:spacing w:line="300" w:lineRule="auto"/>
              <w:ind w:firstLine="480" w:firstLineChars="200"/>
              <w:rPr>
                <w:rFonts w:ascii="Times New Roman" w:hAnsi="Times New Roman"/>
                <w:bCs/>
                <w:sz w:val="24"/>
                <w:szCs w:val="28"/>
              </w:rPr>
            </w:pPr>
            <m:oMathPara>
              <m:oMath>
                <m:sSub>
                  <m:sSubPr>
                    <m:ctrlPr>
                      <w:rPr>
                        <w:rFonts w:hint="eastAsia" w:ascii="Cambria Math" w:hAnsi="Cambria Math"/>
                        <w:bCs/>
                        <w:sz w:val="24"/>
                        <w:szCs w:val="28"/>
                      </w:rPr>
                    </m:ctrlPr>
                  </m:sSubPr>
                  <m:e>
                    <m:r>
                      <m:rPr>
                        <m:sty m:val="p"/>
                      </m:rPr>
                      <w:rPr>
                        <w:rFonts w:ascii="Times New Roman" w:hAnsi="Times New Roman"/>
                        <w:sz w:val="24"/>
                        <w:szCs w:val="28"/>
                      </w:rPr>
                      <m:t>ϕ</m:t>
                    </m:r>
                    <m:ctrlPr>
                      <w:rPr>
                        <w:rFonts w:hint="eastAsia" w:ascii="Cambria Math" w:hAnsi="Cambria Math"/>
                        <w:bCs/>
                        <w:sz w:val="24"/>
                        <w:szCs w:val="28"/>
                      </w:rPr>
                    </m:ctrlPr>
                  </m:e>
                  <m:sub>
                    <m:r>
                      <m:rPr>
                        <m:sty m:val="p"/>
                      </m:rPr>
                      <w:rPr>
                        <w:rFonts w:ascii="Times New Roman" w:hAnsi="Times New Roman"/>
                        <w:sz w:val="24"/>
                        <w:szCs w:val="28"/>
                      </w:rPr>
                      <m:t>i</m:t>
                    </m:r>
                    <m:ctrlPr>
                      <w:rPr>
                        <w:rFonts w:hint="eastAsia" w:ascii="Cambria Math" w:hAnsi="Cambria Math"/>
                        <w:bCs/>
                        <w:sz w:val="24"/>
                        <w:szCs w:val="28"/>
                      </w:rPr>
                    </m:ctrlPr>
                  </m:sub>
                </m:sSub>
                <m:r>
                  <m:rPr>
                    <m:sty m:val="p"/>
                  </m:rPr>
                  <w:rPr>
                    <w:rFonts w:hint="eastAsia" w:ascii="Times New Roman" w:hAnsi="Times New Roman"/>
                    <w:sz w:val="24"/>
                    <w:szCs w:val="28"/>
                  </w:rPr>
                  <m:t>=</m:t>
                </m:r>
                <m:nary>
                  <m:naryPr>
                    <m:chr m:val="∑"/>
                    <m:supHide m:val="1"/>
                    <m:ctrlPr>
                      <w:rPr>
                        <w:rFonts w:hint="eastAsia" w:ascii="Cambria Math" w:hAnsi="Cambria Math"/>
                        <w:bCs/>
                        <w:sz w:val="24"/>
                        <w:szCs w:val="28"/>
                      </w:rPr>
                    </m:ctrlPr>
                  </m:naryPr>
                  <m:sub>
                    <m:r>
                      <m:rPr>
                        <m:sty m:val="p"/>
                      </m:rPr>
                      <w:rPr>
                        <w:rFonts w:ascii="Times New Roman" w:hAnsi="Times New Roman"/>
                        <w:sz w:val="24"/>
                        <w:szCs w:val="28"/>
                      </w:rPr>
                      <m:t>S</m:t>
                    </m:r>
                    <m:r>
                      <m:rPr>
                        <m:sty m:val="p"/>
                      </m:rPr>
                      <w:rPr>
                        <w:rFonts w:hint="eastAsia" w:ascii="Times New Roman" w:hAnsi="Times New Roman"/>
                        <w:sz w:val="24"/>
                        <w:szCs w:val="28"/>
                      </w:rPr>
                      <m:t>⊆</m:t>
                    </m:r>
                    <m:r>
                      <m:rPr>
                        <m:sty m:val="p"/>
                      </m:rPr>
                      <w:rPr>
                        <w:rFonts w:ascii="Times New Roman" w:hAnsi="Times New Roman"/>
                        <w:sz w:val="24"/>
                        <w:szCs w:val="28"/>
                      </w:rPr>
                      <m:t>F</m:t>
                    </m:r>
                    <m:r>
                      <m:rPr>
                        <m:sty m:val="p"/>
                      </m:rPr>
                      <w:rPr>
                        <w:rFonts w:hint="eastAsia" w:ascii="Times New Roman" w:hAnsi="Times New Roman"/>
                        <w:sz w:val="24"/>
                        <w:szCs w:val="28"/>
                      </w:rPr>
                      <m:t>∖</m:t>
                    </m:r>
                    <m:r>
                      <m:rPr>
                        <m:lit/>
                        <m:sty m:val="p"/>
                      </m:rPr>
                      <w:rPr>
                        <w:rFonts w:hint="eastAsia" w:ascii="Times New Roman" w:hAnsi="Times New Roman"/>
                        <w:sz w:val="24"/>
                        <w:szCs w:val="28"/>
                      </w:rPr>
                      <m:t>{</m:t>
                    </m:r>
                    <m:r>
                      <m:rPr>
                        <m:sty m:val="p"/>
                      </m:rPr>
                      <w:rPr>
                        <w:rFonts w:ascii="Times New Roman" w:hAnsi="Times New Roman"/>
                        <w:sz w:val="24"/>
                        <w:szCs w:val="28"/>
                      </w:rPr>
                      <m:t>i</m:t>
                    </m:r>
                    <m:r>
                      <m:rPr>
                        <m:lit/>
                        <m:sty m:val="p"/>
                      </m:rPr>
                      <w:rPr>
                        <w:rFonts w:hint="eastAsia" w:ascii="Times New Roman" w:hAnsi="Times New Roman"/>
                        <w:sz w:val="24"/>
                        <w:szCs w:val="28"/>
                      </w:rPr>
                      <m:t>}</m:t>
                    </m:r>
                    <m:ctrlPr>
                      <w:rPr>
                        <w:rFonts w:hint="eastAsia" w:ascii="Cambria Math" w:hAnsi="Cambria Math"/>
                        <w:bCs/>
                        <w:sz w:val="24"/>
                        <w:szCs w:val="28"/>
                      </w:rPr>
                    </m:ctrlPr>
                  </m:sub>
                  <m:sup>
                    <m:ctrlPr>
                      <w:rPr>
                        <w:rFonts w:hint="eastAsia" w:ascii="Cambria Math" w:hAnsi="Cambria Math"/>
                        <w:bCs/>
                        <w:sz w:val="24"/>
                        <w:szCs w:val="28"/>
                      </w:rPr>
                    </m:ctrlPr>
                  </m:sup>
                  <m:e>
                    <m:f>
                      <m:fPr>
                        <m:ctrlPr>
                          <w:rPr>
                            <w:rFonts w:hint="eastAsia" w:ascii="Cambria Math" w:hAnsi="Cambria Math"/>
                            <w:bCs/>
                            <w:sz w:val="24"/>
                            <w:szCs w:val="28"/>
                          </w:rPr>
                        </m:ctrlPr>
                      </m:fPr>
                      <m:num>
                        <m:d>
                          <m:dPr>
                            <m:begChr m:val="|"/>
                            <m:endChr m:val="|"/>
                            <m:ctrlPr>
                              <w:rPr>
                                <w:rFonts w:hint="eastAsia" w:ascii="Cambria Math" w:hAnsi="Cambria Math"/>
                                <w:bCs/>
                                <w:sz w:val="24"/>
                                <w:szCs w:val="28"/>
                              </w:rPr>
                            </m:ctrlPr>
                          </m:dPr>
                          <m:e>
                            <m:r>
                              <m:rPr>
                                <m:sty m:val="p"/>
                              </m:rPr>
                              <w:rPr>
                                <w:rFonts w:ascii="Times New Roman" w:hAnsi="Times New Roman"/>
                                <w:sz w:val="24"/>
                                <w:szCs w:val="28"/>
                              </w:rPr>
                              <m:t>S</m:t>
                            </m:r>
                            <m:ctrlPr>
                              <w:rPr>
                                <w:rFonts w:hint="eastAsia" w:ascii="Cambria Math" w:hAnsi="Cambria Math"/>
                                <w:bCs/>
                                <w:sz w:val="24"/>
                                <w:szCs w:val="28"/>
                              </w:rPr>
                            </m:ctrlPr>
                          </m:e>
                        </m:d>
                        <m:r>
                          <m:rPr>
                            <m:sty m:val="p"/>
                          </m:rPr>
                          <w:rPr>
                            <w:rFonts w:hint="eastAsia" w:ascii="Times New Roman" w:hAnsi="Times New Roman"/>
                            <w:sz w:val="24"/>
                            <w:szCs w:val="28"/>
                          </w:rPr>
                          <m:t>!</m:t>
                        </m:r>
                        <m:d>
                          <m:dPr>
                            <m:ctrlPr>
                              <w:rPr>
                                <w:rFonts w:hint="eastAsia" w:ascii="Cambria Math" w:hAnsi="Cambria Math"/>
                                <w:bCs/>
                                <w:sz w:val="24"/>
                                <w:szCs w:val="28"/>
                              </w:rPr>
                            </m:ctrlPr>
                          </m:dPr>
                          <m:e>
                            <m:d>
                              <m:dPr>
                                <m:begChr m:val="|"/>
                                <m:endChr m:val="|"/>
                                <m:ctrlPr>
                                  <w:rPr>
                                    <w:rFonts w:hint="eastAsia" w:ascii="Cambria Math" w:hAnsi="Cambria Math"/>
                                    <w:bCs/>
                                    <w:sz w:val="24"/>
                                    <w:szCs w:val="28"/>
                                  </w:rPr>
                                </m:ctrlPr>
                              </m:dPr>
                              <m:e>
                                <m:r>
                                  <m:rPr>
                                    <m:sty m:val="p"/>
                                  </m:rPr>
                                  <w:rPr>
                                    <w:rFonts w:ascii="Times New Roman" w:hAnsi="Times New Roman"/>
                                    <w:sz w:val="24"/>
                                    <w:szCs w:val="28"/>
                                  </w:rPr>
                                  <m:t>F</m:t>
                                </m:r>
                                <m:ctrlPr>
                                  <w:rPr>
                                    <w:rFonts w:hint="eastAsia" w:ascii="Cambria Math" w:hAnsi="Cambria Math"/>
                                    <w:bCs/>
                                    <w:sz w:val="24"/>
                                    <w:szCs w:val="28"/>
                                  </w:rPr>
                                </m:ctrlPr>
                              </m:e>
                            </m:d>
                            <m:r>
                              <m:rPr>
                                <m:sty m:val="p"/>
                              </m:rPr>
                              <w:rPr>
                                <w:rFonts w:hint="eastAsia" w:ascii="Times New Roman" w:hAnsi="Times New Roman"/>
                                <w:sz w:val="24"/>
                                <w:szCs w:val="28"/>
                              </w:rPr>
                              <m:t>−</m:t>
                            </m:r>
                            <m:d>
                              <m:dPr>
                                <m:begChr m:val="|"/>
                                <m:endChr m:val="|"/>
                                <m:ctrlPr>
                                  <w:rPr>
                                    <w:rFonts w:hint="eastAsia" w:ascii="Cambria Math" w:hAnsi="Cambria Math"/>
                                    <w:bCs/>
                                    <w:sz w:val="24"/>
                                    <w:szCs w:val="28"/>
                                  </w:rPr>
                                </m:ctrlPr>
                              </m:dPr>
                              <m:e>
                                <m:r>
                                  <m:rPr>
                                    <m:sty m:val="p"/>
                                  </m:rPr>
                                  <w:rPr>
                                    <w:rFonts w:ascii="Times New Roman" w:hAnsi="Times New Roman"/>
                                    <w:sz w:val="24"/>
                                    <w:szCs w:val="28"/>
                                  </w:rPr>
                                  <m:t>S</m:t>
                                </m:r>
                                <m:ctrlPr>
                                  <w:rPr>
                                    <w:rFonts w:hint="eastAsia" w:ascii="Cambria Math" w:hAnsi="Cambria Math"/>
                                    <w:bCs/>
                                    <w:sz w:val="24"/>
                                    <w:szCs w:val="28"/>
                                  </w:rPr>
                                </m:ctrlPr>
                              </m:e>
                            </m:d>
                            <m:r>
                              <m:rPr>
                                <m:sty m:val="p"/>
                              </m:rPr>
                              <w:rPr>
                                <w:rFonts w:hint="eastAsia" w:ascii="Times New Roman" w:hAnsi="Times New Roman"/>
                                <w:sz w:val="24"/>
                                <w:szCs w:val="28"/>
                              </w:rPr>
                              <m:t>−1</m:t>
                            </m:r>
                            <m:ctrlPr>
                              <w:rPr>
                                <w:rFonts w:hint="eastAsia" w:ascii="Cambria Math" w:hAnsi="Cambria Math"/>
                                <w:bCs/>
                                <w:sz w:val="24"/>
                                <w:szCs w:val="28"/>
                              </w:rPr>
                            </m:ctrlPr>
                          </m:e>
                        </m:d>
                        <m:r>
                          <m:rPr>
                            <m:sty m:val="p"/>
                          </m:rPr>
                          <w:rPr>
                            <w:rFonts w:hint="eastAsia" w:ascii="Times New Roman" w:hAnsi="Times New Roman"/>
                            <w:sz w:val="24"/>
                            <w:szCs w:val="28"/>
                          </w:rPr>
                          <m:t>!</m:t>
                        </m:r>
                        <m:ctrlPr>
                          <w:rPr>
                            <w:rFonts w:hint="eastAsia" w:ascii="Cambria Math" w:hAnsi="Cambria Math"/>
                            <w:bCs/>
                            <w:sz w:val="24"/>
                            <w:szCs w:val="28"/>
                          </w:rPr>
                        </m:ctrlPr>
                      </m:num>
                      <m:den>
                        <m:d>
                          <m:dPr>
                            <m:begChr m:val="|"/>
                            <m:endChr m:val="|"/>
                            <m:ctrlPr>
                              <w:rPr>
                                <w:rFonts w:hint="eastAsia" w:ascii="Cambria Math" w:hAnsi="Cambria Math"/>
                                <w:bCs/>
                                <w:sz w:val="24"/>
                                <w:szCs w:val="28"/>
                              </w:rPr>
                            </m:ctrlPr>
                          </m:dPr>
                          <m:e>
                            <m:r>
                              <m:rPr>
                                <m:sty m:val="p"/>
                              </m:rPr>
                              <w:rPr>
                                <w:rFonts w:ascii="Times New Roman" w:hAnsi="Times New Roman"/>
                                <w:sz w:val="24"/>
                                <w:szCs w:val="28"/>
                              </w:rPr>
                              <m:t>F</m:t>
                            </m:r>
                            <m:ctrlPr>
                              <w:rPr>
                                <w:rFonts w:hint="eastAsia" w:ascii="Cambria Math" w:hAnsi="Cambria Math"/>
                                <w:bCs/>
                                <w:sz w:val="24"/>
                                <w:szCs w:val="28"/>
                              </w:rPr>
                            </m:ctrlPr>
                          </m:e>
                        </m:d>
                        <m:r>
                          <m:rPr>
                            <m:sty m:val="p"/>
                          </m:rPr>
                          <w:rPr>
                            <w:rFonts w:hint="eastAsia" w:ascii="Times New Roman" w:hAnsi="Times New Roman"/>
                            <w:sz w:val="24"/>
                            <w:szCs w:val="28"/>
                          </w:rPr>
                          <m:t>!</m:t>
                        </m:r>
                        <m:ctrlPr>
                          <w:rPr>
                            <w:rFonts w:hint="eastAsia" w:ascii="Cambria Math" w:hAnsi="Cambria Math"/>
                            <w:bCs/>
                            <w:sz w:val="24"/>
                            <w:szCs w:val="28"/>
                          </w:rPr>
                        </m:ctrlPr>
                      </m:den>
                    </m:f>
                    <m:ctrlPr>
                      <w:rPr>
                        <w:rFonts w:hint="eastAsia" w:ascii="Cambria Math" w:hAnsi="Cambria Math"/>
                        <w:bCs/>
                        <w:sz w:val="24"/>
                        <w:szCs w:val="28"/>
                      </w:rPr>
                    </m:ctrlPr>
                  </m:e>
                </m:nary>
                <m:d>
                  <m:dPr>
                    <m:begChr m:val="["/>
                    <m:endChr m:val="]"/>
                    <m:ctrlPr>
                      <w:rPr>
                        <w:rFonts w:hint="eastAsia" w:ascii="Cambria Math" w:hAnsi="Cambria Math"/>
                        <w:bCs/>
                        <w:sz w:val="24"/>
                        <w:szCs w:val="28"/>
                      </w:rPr>
                    </m:ctrlPr>
                  </m:dPr>
                  <m:e>
                    <m:r>
                      <m:rPr>
                        <m:sty m:val="p"/>
                      </m:rPr>
                      <w:rPr>
                        <w:rFonts w:ascii="Times New Roman" w:hAnsi="Times New Roman"/>
                        <w:sz w:val="24"/>
                        <w:szCs w:val="28"/>
                      </w:rPr>
                      <m:t>f</m:t>
                    </m:r>
                    <m:d>
                      <m:dPr>
                        <m:ctrlPr>
                          <w:rPr>
                            <w:rFonts w:hint="eastAsia" w:ascii="Cambria Math" w:hAnsi="Cambria Math"/>
                            <w:bCs/>
                            <w:sz w:val="24"/>
                            <w:szCs w:val="28"/>
                          </w:rPr>
                        </m:ctrlPr>
                      </m:dPr>
                      <m:e>
                        <m:r>
                          <m:rPr>
                            <m:sty m:val="p"/>
                          </m:rPr>
                          <w:rPr>
                            <w:rFonts w:ascii="Times New Roman" w:hAnsi="Times New Roman"/>
                            <w:sz w:val="24"/>
                            <w:szCs w:val="28"/>
                          </w:rPr>
                          <m:t>S</m:t>
                        </m:r>
                        <m:r>
                          <m:rPr>
                            <m:sty m:val="p"/>
                          </m:rPr>
                          <w:rPr>
                            <w:rFonts w:hint="eastAsia" w:ascii="Times New Roman" w:hAnsi="Times New Roman"/>
                            <w:sz w:val="24"/>
                            <w:szCs w:val="28"/>
                          </w:rPr>
                          <m:t>∪</m:t>
                        </m:r>
                        <m:r>
                          <m:rPr>
                            <m:lit/>
                            <m:sty m:val="p"/>
                          </m:rPr>
                          <w:rPr>
                            <w:rFonts w:hint="eastAsia" w:ascii="Times New Roman" w:hAnsi="Times New Roman"/>
                            <w:sz w:val="24"/>
                            <w:szCs w:val="28"/>
                          </w:rPr>
                          <m:t>{</m:t>
                        </m:r>
                        <m:r>
                          <m:rPr>
                            <m:sty m:val="p"/>
                          </m:rPr>
                          <w:rPr>
                            <w:rFonts w:ascii="Times New Roman" w:hAnsi="Times New Roman"/>
                            <w:sz w:val="24"/>
                            <w:szCs w:val="28"/>
                          </w:rPr>
                          <m:t>i</m:t>
                        </m:r>
                        <m:r>
                          <m:rPr>
                            <m:lit/>
                            <m:sty m:val="p"/>
                          </m:rPr>
                          <w:rPr>
                            <w:rFonts w:hint="eastAsia" w:ascii="Times New Roman" w:hAnsi="Times New Roman"/>
                            <w:sz w:val="24"/>
                            <w:szCs w:val="28"/>
                          </w:rPr>
                          <m:t>}</m:t>
                        </m:r>
                        <m:ctrlPr>
                          <w:rPr>
                            <w:rFonts w:hint="eastAsia" w:ascii="Cambria Math" w:hAnsi="Cambria Math"/>
                            <w:bCs/>
                            <w:sz w:val="24"/>
                            <w:szCs w:val="28"/>
                          </w:rPr>
                        </m:ctrlPr>
                      </m:e>
                    </m:d>
                    <m:r>
                      <m:rPr>
                        <m:sty m:val="p"/>
                      </m:rPr>
                      <w:rPr>
                        <w:rFonts w:hint="eastAsia" w:ascii="Times New Roman" w:hAnsi="Times New Roman"/>
                        <w:sz w:val="24"/>
                        <w:szCs w:val="28"/>
                      </w:rPr>
                      <m:t>−</m:t>
                    </m:r>
                    <m:r>
                      <m:rPr>
                        <m:sty m:val="p"/>
                      </m:rPr>
                      <w:rPr>
                        <w:rFonts w:ascii="Times New Roman" w:hAnsi="Times New Roman"/>
                        <w:sz w:val="24"/>
                        <w:szCs w:val="28"/>
                      </w:rPr>
                      <m:t>f</m:t>
                    </m:r>
                    <m:d>
                      <m:dPr>
                        <m:ctrlPr>
                          <w:rPr>
                            <w:rFonts w:hint="eastAsia" w:ascii="Cambria Math" w:hAnsi="Cambria Math"/>
                            <w:bCs/>
                            <w:sz w:val="24"/>
                            <w:szCs w:val="28"/>
                          </w:rPr>
                        </m:ctrlPr>
                      </m:dPr>
                      <m:e>
                        <m:r>
                          <m:rPr>
                            <m:sty m:val="p"/>
                          </m:rPr>
                          <w:rPr>
                            <w:rFonts w:ascii="Times New Roman" w:hAnsi="Times New Roman"/>
                            <w:sz w:val="24"/>
                            <w:szCs w:val="28"/>
                          </w:rPr>
                          <m:t>S</m:t>
                        </m:r>
                        <m:ctrlPr>
                          <w:rPr>
                            <w:rFonts w:hint="eastAsia" w:ascii="Cambria Math" w:hAnsi="Cambria Math"/>
                            <w:bCs/>
                            <w:sz w:val="24"/>
                            <w:szCs w:val="28"/>
                          </w:rPr>
                        </m:ctrlPr>
                      </m:e>
                    </m:d>
                    <m:ctrlPr>
                      <w:rPr>
                        <w:rFonts w:hint="eastAsia" w:ascii="Cambria Math" w:hAnsi="Cambria Math"/>
                        <w:bCs/>
                        <w:sz w:val="24"/>
                        <w:szCs w:val="28"/>
                      </w:rPr>
                    </m:ctrlPr>
                  </m:e>
                </m:d>
              </m:oMath>
            </m:oMathPara>
          </w:p>
        </w:tc>
        <w:tc>
          <w:tcPr>
            <w:tcW w:w="599" w:type="dxa"/>
            <w:tcBorders>
              <w:tl2br w:val="nil"/>
              <w:tr2bl w:val="nil"/>
            </w:tcBorders>
            <w:vAlign w:val="center"/>
          </w:tcPr>
          <w:p w14:paraId="49397979">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w:t>
            </w:r>
            <w:r>
              <w:rPr>
                <w:rFonts w:hint="eastAsia"/>
                <w:bCs/>
                <w:sz w:val="24"/>
                <w:szCs w:val="28"/>
                <w:lang w:val="en-US" w:eastAsia="zh-CN"/>
              </w:rPr>
              <w:t>6</w:t>
            </w:r>
            <w:r>
              <w:rPr>
                <w:rFonts w:hint="eastAsia" w:ascii="Times New Roman" w:hAnsi="Times New Roman"/>
                <w:bCs/>
                <w:sz w:val="24"/>
                <w:szCs w:val="28"/>
              </w:rPr>
              <w:t>)</w:t>
            </w:r>
          </w:p>
        </w:tc>
      </w:tr>
    </w:tbl>
    <w:p w14:paraId="04BD5A3B">
      <w:pPr>
        <w:spacing w:line="300" w:lineRule="auto"/>
        <w:ind w:firstLine="480" w:firstLineChars="200"/>
        <w:rPr>
          <w:rFonts w:ascii="Times New Roman" w:hAnsi="Times New Roman"/>
          <w:bCs/>
          <w:sz w:val="24"/>
          <w:szCs w:val="28"/>
        </w:rPr>
      </w:pPr>
      <w:r>
        <w:rPr>
          <w:rFonts w:hint="eastAsia" w:ascii="Times New Roman" w:hAnsi="Times New Roman"/>
          <w:bCs/>
          <w:sz w:val="24"/>
          <w:szCs w:val="28"/>
        </w:rPr>
        <w:t>其中，</w:t>
      </w:r>
      <m:oMath>
        <m:r>
          <m:rPr>
            <m:sty m:val="p"/>
          </m:rPr>
          <w:rPr>
            <w:rFonts w:hint="eastAsia" w:ascii="Times New Roman" w:hAnsi="Times New Roman"/>
            <w:sz w:val="24"/>
            <w:szCs w:val="28"/>
          </w:rPr>
          <m:t>F</m:t>
        </m:r>
      </m:oMath>
      <w:r>
        <w:rPr>
          <w:rFonts w:hint="eastAsia" w:ascii="Times New Roman" w:hAnsi="Times New Roman"/>
          <w:bCs/>
          <w:sz w:val="24"/>
          <w:szCs w:val="28"/>
        </w:rPr>
        <w:t>为所有特征的集合，</w:t>
      </w:r>
      <m:oMath>
        <m:r>
          <m:rPr>
            <m:sty m:val="p"/>
          </m:rPr>
          <w:rPr>
            <w:rFonts w:hint="eastAsia" w:ascii="Times New Roman" w:hAnsi="Times New Roman"/>
            <w:sz w:val="24"/>
            <w:szCs w:val="28"/>
          </w:rPr>
          <m:t>S</m:t>
        </m:r>
      </m:oMath>
      <w:r>
        <w:rPr>
          <w:rFonts w:hint="eastAsia" w:ascii="Times New Roman" w:hAnsi="Times New Roman"/>
          <w:bCs/>
          <w:sz w:val="24"/>
          <w:szCs w:val="28"/>
        </w:rPr>
        <w:t>为</w:t>
      </w:r>
      <m:oMath>
        <m:r>
          <m:rPr>
            <m:sty m:val="p"/>
          </m:rPr>
          <w:rPr>
            <w:rFonts w:hint="eastAsia" w:ascii="Times New Roman" w:hAnsi="Times New Roman"/>
            <w:sz w:val="24"/>
            <w:szCs w:val="28"/>
          </w:rPr>
          <m:t>F</m:t>
        </m:r>
      </m:oMath>
      <w:r>
        <w:rPr>
          <w:rFonts w:hint="eastAsia" w:ascii="Times New Roman" w:hAnsi="Times New Roman"/>
          <w:bCs/>
          <w:sz w:val="24"/>
          <w:szCs w:val="28"/>
        </w:rPr>
        <w:t>的子集，</w:t>
      </w:r>
      <m:oMath>
        <m:d>
          <m:dPr>
            <m:begChr m:val="|"/>
            <m:endChr m:val="|"/>
            <m:ctrlPr>
              <w:rPr>
                <w:rFonts w:hint="eastAsia" w:ascii="Cambria Math" w:hAnsi="Cambria Math"/>
                <w:bCs/>
                <w:sz w:val="24"/>
                <w:szCs w:val="28"/>
              </w:rPr>
            </m:ctrlPr>
          </m:dPr>
          <m:e>
            <m:r>
              <m:rPr>
                <m:sty m:val="p"/>
              </m:rPr>
              <w:rPr>
                <w:rFonts w:hint="eastAsia" w:ascii="Times New Roman" w:hAnsi="Times New Roman"/>
                <w:sz w:val="24"/>
                <w:szCs w:val="28"/>
              </w:rPr>
              <m:t>S</m:t>
            </m:r>
            <m:ctrlPr>
              <w:rPr>
                <w:rFonts w:hint="eastAsia" w:ascii="Cambria Math" w:hAnsi="Cambria Math"/>
                <w:bCs/>
                <w:sz w:val="24"/>
                <w:szCs w:val="28"/>
              </w:rPr>
            </m:ctrlPr>
          </m:e>
        </m:d>
      </m:oMath>
      <w:r>
        <w:rPr>
          <w:rFonts w:hint="eastAsia" w:ascii="Times New Roman" w:hAnsi="Times New Roman"/>
          <w:bCs/>
          <w:sz w:val="24"/>
          <w:szCs w:val="28"/>
        </w:rPr>
        <w:t>为子集</w:t>
      </w:r>
      <m:oMath>
        <m:r>
          <m:rPr>
            <m:sty m:val="p"/>
          </m:rPr>
          <w:rPr>
            <w:rFonts w:hint="eastAsia" w:ascii="Times New Roman" w:hAnsi="Times New Roman"/>
            <w:sz w:val="24"/>
            <w:szCs w:val="28"/>
          </w:rPr>
          <m:t>S</m:t>
        </m:r>
      </m:oMath>
      <w:r>
        <w:rPr>
          <w:rFonts w:hint="eastAsia" w:ascii="Times New Roman" w:hAnsi="Times New Roman"/>
          <w:bCs/>
          <w:sz w:val="24"/>
          <w:szCs w:val="28"/>
        </w:rPr>
        <w:t>的特征数量，</w:t>
      </w:r>
      <m:oMath>
        <m:r>
          <m:rPr>
            <m:sty m:val="p"/>
          </m:rPr>
          <w:rPr>
            <w:rFonts w:hint="eastAsia" w:ascii="Times New Roman" w:hAnsi="Times New Roman"/>
            <w:sz w:val="24"/>
            <w:szCs w:val="28"/>
          </w:rPr>
          <m:t>f</m:t>
        </m:r>
        <m:d>
          <m:dPr>
            <m:ctrlPr>
              <w:rPr>
                <w:rFonts w:hint="eastAsia" w:ascii="Cambria Math" w:hAnsi="Cambria Math"/>
                <w:bCs/>
                <w:sz w:val="24"/>
                <w:szCs w:val="28"/>
              </w:rPr>
            </m:ctrlPr>
          </m:dPr>
          <m:e>
            <m:r>
              <m:rPr>
                <m:sty m:val="p"/>
              </m:rPr>
              <w:rPr>
                <w:rFonts w:hint="eastAsia" w:ascii="Times New Roman" w:hAnsi="Times New Roman"/>
                <w:sz w:val="24"/>
                <w:szCs w:val="28"/>
              </w:rPr>
              <m:t>S</m:t>
            </m:r>
            <m:ctrlPr>
              <w:rPr>
                <w:rFonts w:hint="eastAsia" w:ascii="Cambria Math" w:hAnsi="Cambria Math"/>
                <w:bCs/>
                <w:sz w:val="24"/>
                <w:szCs w:val="28"/>
              </w:rPr>
            </m:ctrlPr>
          </m:e>
        </m:d>
      </m:oMath>
      <w:r>
        <w:rPr>
          <w:rFonts w:hint="eastAsia" w:ascii="Times New Roman" w:hAnsi="Times New Roman"/>
          <w:bCs/>
          <w:sz w:val="24"/>
          <w:szCs w:val="28"/>
        </w:rPr>
        <w:t>为仅使用子集</w:t>
      </w:r>
      <m:oMath>
        <m:r>
          <m:rPr>
            <m:sty m:val="p"/>
          </m:rPr>
          <w:rPr>
            <w:rFonts w:hint="eastAsia" w:ascii="Times New Roman" w:hAnsi="Times New Roman"/>
            <w:sz w:val="24"/>
            <w:szCs w:val="28"/>
          </w:rPr>
          <m:t>S</m:t>
        </m:r>
      </m:oMath>
      <w:r>
        <w:rPr>
          <w:rFonts w:hint="eastAsia" w:ascii="Times New Roman" w:hAnsi="Times New Roman"/>
          <w:bCs/>
          <w:sz w:val="24"/>
          <w:szCs w:val="28"/>
        </w:rPr>
        <w:t>中的特征时模型的预测值</w:t>
      </w:r>
      <w:r>
        <w:rPr>
          <w:rFonts w:ascii="Times New Roman" w:hAnsi="Times New Roman"/>
          <w:bCs/>
          <w:sz w:val="24"/>
          <w:szCs w:val="28"/>
        </w:rPr>
        <w:t>。</w:t>
      </w:r>
    </w:p>
    <w:p w14:paraId="3C14023F">
      <w:pPr>
        <w:spacing w:line="300" w:lineRule="auto"/>
        <w:ind w:firstLine="480" w:firstLineChars="200"/>
        <w:rPr>
          <w:rFonts w:hint="default" w:cs="Times New Roman"/>
          <w:b/>
          <w:bCs/>
          <w:kern w:val="0"/>
          <w:sz w:val="24"/>
          <w:szCs w:val="28"/>
          <w:lang w:val="en-US" w:eastAsia="zh-CN"/>
        </w:rPr>
      </w:pPr>
      <w:r>
        <w:rPr>
          <w:rFonts w:hint="eastAsia" w:ascii="Times New Roman" w:hAnsi="Times New Roman"/>
          <w:bCs/>
          <w:sz w:val="24"/>
          <w:szCs w:val="28"/>
        </w:rPr>
        <w:t>SHAP 框架提供了一系列可视化工具，通过直观的图形化表达将抽象的 SHAP 值转化为可理解的决策逻辑。SHAP 摘要图以散点图为基础，纵轴按特征重要性排序（特征的 SHAP 值波动越大，排序越靠前），横轴为特征的 SHAP 值，每个散点代表单个样本中某一特征的 SHAP 值，同时通过颜色梯度区分特征的取值高低，可同时呈现特征重要性、特征取值与 SHAP 值的关联。SHAP 依赖图聚焦单个特征，以特征的实际取值为横轴、该特征的 SHAP 值为纵轴，通过散点分布展示特征取值变化对 SHAP 值的影响趋势，若散点呈现明显的线性或非线性规律，可直接反映该特征与模型预测结果的关联模式。SHAP 力图针对单个样本，以水平条形图的形式展示各特征的 SHAP 值，红色条形表示特征对预测结果的正向推动，蓝色条形表示负向抑制，条形长度对应 SHAP 值的绝对值，可清晰追溯单个样本预测结果的形成原因</w:t>
      </w:r>
      <w:r>
        <w:rPr>
          <w:rFonts w:hint="eastAsia" w:ascii="Times New Roman" w:hAnsi="Times New Roman"/>
          <w:bCs/>
          <w:sz w:val="24"/>
          <w:szCs w:val="28"/>
          <w:lang w:eastAsia="zh-CN"/>
        </w:rPr>
        <w:t>。</w:t>
      </w:r>
    </w:p>
    <w:p w14:paraId="51EA45AE">
      <w:pPr>
        <w:numPr>
          <w:ilvl w:val="0"/>
          <w:numId w:val="0"/>
        </w:numPr>
        <w:spacing w:line="300" w:lineRule="auto"/>
        <w:ind w:firstLine="482" w:firstLineChars="200"/>
        <w:jc w:val="left"/>
        <w:outlineLvl w:val="2"/>
        <w:rPr>
          <w:rFonts w:hint="eastAsia" w:cs="Times New Roman"/>
          <w:b/>
          <w:bCs/>
          <w:kern w:val="0"/>
          <w:sz w:val="24"/>
          <w:szCs w:val="28"/>
          <w:lang w:val="en-US" w:eastAsia="zh-CN"/>
        </w:rPr>
      </w:pPr>
      <w:r>
        <w:rPr>
          <w:rFonts w:hint="eastAsia" w:cs="Times New Roman"/>
          <w:b/>
          <w:bCs/>
          <w:kern w:val="0"/>
          <w:sz w:val="24"/>
          <w:szCs w:val="28"/>
          <w:lang w:val="en-US" w:eastAsia="zh-CN"/>
        </w:rPr>
        <w:t>4.评价指标</w:t>
      </w:r>
    </w:p>
    <w:p w14:paraId="0E185DC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ascii="Times New Roman" w:hAnsi="Times New Roman" w:eastAsia="宋体" w:cs="Times New Roman"/>
          <w:kern w:val="0"/>
          <w:sz w:val="24"/>
          <w:szCs w:val="28"/>
        </w:rPr>
      </w:pPr>
      <w:r>
        <w:rPr>
          <w:rFonts w:ascii="Times New Roman" w:hAnsi="Times New Roman" w:eastAsia="宋体" w:cs="Times New Roman"/>
          <w:kern w:val="0"/>
          <w:sz w:val="24"/>
          <w:szCs w:val="28"/>
        </w:rPr>
        <w:t>在机器学习中</w:t>
      </w:r>
      <w:r>
        <w:rPr>
          <w:rFonts w:hint="eastAsia" w:ascii="Times New Roman" w:hAnsi="Times New Roman" w:eastAsia="宋体" w:cs="Times New Roman"/>
          <w:kern w:val="0"/>
          <w:sz w:val="24"/>
          <w:szCs w:val="28"/>
        </w:rPr>
        <w:t>，</w:t>
      </w:r>
      <w:r>
        <w:rPr>
          <w:rFonts w:ascii="Times New Roman" w:hAnsi="Times New Roman" w:eastAsia="宋体" w:cs="Times New Roman"/>
          <w:kern w:val="0"/>
          <w:sz w:val="24"/>
          <w:szCs w:val="28"/>
        </w:rPr>
        <w:t>模型的评估指标是评估模型性能的关键工具</w:t>
      </w:r>
      <w:r>
        <w:rPr>
          <w:rFonts w:hint="eastAsia" w:ascii="Times New Roman" w:hAnsi="Times New Roman" w:eastAsia="宋体" w:cs="Times New Roman"/>
          <w:kern w:val="0"/>
          <w:sz w:val="24"/>
          <w:szCs w:val="28"/>
        </w:rPr>
        <w:t>，而在二分类问题中，根据模型的预测结果将真实标记和预测结果进行组合可以得到“混淆矩阵”，混淆矩阵如表1所示。</w:t>
      </w:r>
    </w:p>
    <w:p w14:paraId="776462D0">
      <w:pPr>
        <w:pStyle w:val="3"/>
        <w:keepNext w:val="0"/>
        <w:keepLines w:val="0"/>
        <w:pageBreakBefore w:val="0"/>
        <w:widowControl w:val="0"/>
        <w:kinsoku/>
        <w:wordWrap/>
        <w:overflowPunct/>
        <w:topLinePunct w:val="0"/>
        <w:autoSpaceDE/>
        <w:autoSpaceDN/>
        <w:bidi w:val="0"/>
        <w:adjustRightInd/>
        <w:snapToGrid/>
        <w:jc w:val="center"/>
        <w:textAlignment w:val="auto"/>
        <w:outlineLvl w:val="9"/>
        <w:rPr>
          <w:rFonts w:ascii="Times New Roman" w:hAnsi="Times New Roman" w:eastAsia="宋体" w:cs="Times New Roman"/>
          <w:b/>
          <w:bCs/>
          <w:kern w:val="0"/>
          <w:sz w:val="24"/>
          <w:szCs w:val="28"/>
        </w:rPr>
      </w:pPr>
      <w:r>
        <w:rPr>
          <w:rFonts w:hint="eastAsia" w:ascii="Times New Roman" w:hAnsi="Times New Roman" w:eastAsia="宋体" w:cs="Times New Roman"/>
          <w:b/>
          <w:bCs/>
          <w:kern w:val="0"/>
          <w:sz w:val="24"/>
          <w:szCs w:val="28"/>
        </w:rPr>
        <w:t xml:space="preserve">表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表 \* ARABIC </w:instrText>
      </w:r>
      <w:r>
        <w:rPr>
          <w:rFonts w:hint="eastAsia" w:ascii="Times New Roman" w:hAnsi="Times New Roman" w:eastAsia="宋体" w:cs="Times New Roman"/>
          <w:b/>
          <w:bCs/>
          <w:kern w:val="0"/>
          <w:sz w:val="24"/>
          <w:szCs w:val="28"/>
        </w:rPr>
        <w:fldChar w:fldCharType="separate"/>
      </w:r>
      <w:r>
        <w:rPr>
          <w:rFonts w:ascii="Times New Roman" w:hAnsi="Times New Roman" w:eastAsia="宋体" w:cs="Times New Roman"/>
          <w:b/>
          <w:bCs/>
          <w:kern w:val="0"/>
          <w:sz w:val="24"/>
          <w:szCs w:val="28"/>
        </w:rPr>
        <w:t>1</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混合矩阵示例</w:t>
      </w:r>
    </w:p>
    <w:tbl>
      <w:tblPr>
        <w:tblStyle w:val="6"/>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9"/>
        <w:gridCol w:w="2840"/>
        <w:gridCol w:w="2840"/>
      </w:tblGrid>
      <w:tr w14:paraId="5C6454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bottom w:val="single" w:color="auto" w:sz="6" w:space="0"/>
            </w:tcBorders>
            <w:vAlign w:val="center"/>
          </w:tcPr>
          <w:p w14:paraId="1EAB05D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p>
        </w:tc>
        <w:tc>
          <w:tcPr>
            <w:tcW w:w="1666" w:type="pct"/>
            <w:tcBorders>
              <w:bottom w:val="single" w:color="auto" w:sz="6" w:space="0"/>
            </w:tcBorders>
            <w:vAlign w:val="center"/>
          </w:tcPr>
          <w:p w14:paraId="74C53FB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预测结果：</w:t>
            </w:r>
            <w:r>
              <w:rPr>
                <w:rFonts w:hint="eastAsia" w:ascii="Times New Roman" w:hAnsi="Times New Roman" w:eastAsia="宋体" w:cs="Times New Roman"/>
                <w:kern w:val="0"/>
                <w:szCs w:val="21"/>
              </w:rPr>
              <w:t>正例</w:t>
            </w:r>
          </w:p>
        </w:tc>
        <w:tc>
          <w:tcPr>
            <w:tcW w:w="1666" w:type="pct"/>
            <w:tcBorders>
              <w:bottom w:val="single" w:color="auto" w:sz="6" w:space="0"/>
            </w:tcBorders>
            <w:vAlign w:val="center"/>
          </w:tcPr>
          <w:p w14:paraId="24DA594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预测结果：</w:t>
            </w:r>
            <w:r>
              <w:rPr>
                <w:rFonts w:hint="eastAsia" w:ascii="Times New Roman" w:hAnsi="Times New Roman" w:eastAsia="宋体" w:cs="Times New Roman"/>
                <w:kern w:val="0"/>
                <w:szCs w:val="21"/>
              </w:rPr>
              <w:t>反例</w:t>
            </w:r>
          </w:p>
        </w:tc>
      </w:tr>
      <w:tr w14:paraId="04CB22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op w:val="single" w:color="auto" w:sz="6" w:space="0"/>
              <w:tl2br w:val="nil"/>
              <w:tr2bl w:val="nil"/>
            </w:tcBorders>
            <w:vAlign w:val="center"/>
          </w:tcPr>
          <w:p w14:paraId="4749B87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lang w:val="en-US" w:eastAsia="zh-CN"/>
              </w:rPr>
              <w:t>真实情况：</w:t>
            </w:r>
            <w:r>
              <w:rPr>
                <w:rFonts w:hint="eastAsia" w:ascii="Times New Roman" w:hAnsi="Times New Roman" w:eastAsia="宋体" w:cs="Times New Roman"/>
                <w:kern w:val="0"/>
                <w:szCs w:val="21"/>
              </w:rPr>
              <w:t>正例</w:t>
            </w:r>
          </w:p>
        </w:tc>
        <w:tc>
          <w:tcPr>
            <w:tcW w:w="1666" w:type="pct"/>
            <w:tcBorders>
              <w:top w:val="single" w:color="auto" w:sz="6" w:space="0"/>
              <w:tl2br w:val="nil"/>
              <w:tr2bl w:val="nil"/>
            </w:tcBorders>
            <w:vAlign w:val="center"/>
          </w:tcPr>
          <w:p w14:paraId="5CB1945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rPr>
              <w:t>真正例（TP）</w:t>
            </w:r>
          </w:p>
        </w:tc>
        <w:tc>
          <w:tcPr>
            <w:tcW w:w="1666" w:type="pct"/>
            <w:tcBorders>
              <w:top w:val="single" w:color="auto" w:sz="6" w:space="0"/>
              <w:tl2br w:val="nil"/>
              <w:tr2bl w:val="nil"/>
            </w:tcBorders>
            <w:vAlign w:val="center"/>
          </w:tcPr>
          <w:p w14:paraId="7BFB654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rPr>
              <w:t>假反例（FN）</w:t>
            </w:r>
          </w:p>
        </w:tc>
      </w:tr>
      <w:tr w14:paraId="73F0D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pct"/>
            <w:tcBorders>
              <w:tl2br w:val="nil"/>
              <w:tr2bl w:val="nil"/>
            </w:tcBorders>
            <w:vAlign w:val="center"/>
          </w:tcPr>
          <w:p w14:paraId="1403B49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lang w:val="en-US" w:eastAsia="zh-CN"/>
              </w:rPr>
              <w:t>真实情况：</w:t>
            </w:r>
            <w:r>
              <w:rPr>
                <w:rFonts w:hint="eastAsia" w:ascii="Times New Roman" w:hAnsi="Times New Roman" w:eastAsia="宋体" w:cs="Times New Roman"/>
                <w:kern w:val="0"/>
                <w:szCs w:val="21"/>
              </w:rPr>
              <w:t>反例</w:t>
            </w:r>
          </w:p>
        </w:tc>
        <w:tc>
          <w:tcPr>
            <w:tcW w:w="1666" w:type="pct"/>
            <w:tcBorders>
              <w:tl2br w:val="nil"/>
              <w:tr2bl w:val="nil"/>
            </w:tcBorders>
            <w:vAlign w:val="center"/>
          </w:tcPr>
          <w:p w14:paraId="29A78FF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Times New Roman" w:hAnsi="Times New Roman" w:eastAsia="宋体" w:cs="Times New Roman"/>
                <w:kern w:val="0"/>
                <w:szCs w:val="21"/>
              </w:rPr>
            </w:pPr>
            <w:r>
              <w:rPr>
                <w:rFonts w:hint="eastAsia" w:ascii="Times New Roman" w:hAnsi="Times New Roman" w:eastAsia="宋体" w:cs="Times New Roman"/>
                <w:kern w:val="0"/>
                <w:szCs w:val="21"/>
              </w:rPr>
              <w:t>假正例（FP）</w:t>
            </w:r>
          </w:p>
        </w:tc>
        <w:tc>
          <w:tcPr>
            <w:tcW w:w="1666" w:type="pct"/>
            <w:tcBorders>
              <w:tl2br w:val="nil"/>
              <w:tr2bl w:val="nil"/>
            </w:tcBorders>
            <w:vAlign w:val="center"/>
          </w:tcPr>
          <w:p w14:paraId="0741D9A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rPr>
              <w:t>真反例（TN）</w:t>
            </w:r>
          </w:p>
        </w:tc>
      </w:tr>
    </w:tbl>
    <w:p w14:paraId="2E3761AA">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ascii="Times New Roman" w:hAnsi="Times New Roman" w:eastAsia="宋体" w:cs="Times New Roman"/>
          <w:kern w:val="0"/>
          <w:sz w:val="24"/>
          <w:szCs w:val="28"/>
        </w:rPr>
      </w:pPr>
      <w:r>
        <w:rPr>
          <w:rFonts w:hint="eastAsia" w:ascii="Times New Roman" w:hAnsi="Times New Roman" w:eastAsia="宋体" w:cs="Times New Roman"/>
          <w:kern w:val="0"/>
          <w:sz w:val="24"/>
          <w:szCs w:val="28"/>
        </w:rPr>
        <w:t>由表1可知，其结果可以分为四类——真正例（TP）、假正例（FP）、真反例（TN）和假反例（FN），根据这四类指标可以计算得到准确率、精确率、召回率、</w:t>
      </w:r>
      <m:oMath>
        <m:sSub>
          <m:sSubPr>
            <m:ctrlPr>
              <w:rPr>
                <w:rFonts w:ascii="Cambria Math" w:hAnsi="Cambria Math" w:eastAsia="宋体" w:cs="Times New Roman"/>
                <w:kern w:val="0"/>
                <w:sz w:val="24"/>
                <w:szCs w:val="28"/>
              </w:rPr>
            </m:ctrlPr>
          </m:sSubPr>
          <m:e>
            <m:r>
              <m:rPr>
                <m:sty m:val="p"/>
              </m:rPr>
              <w:rPr>
                <w:rFonts w:ascii="Cambria Math" w:hAnsi="Cambria Math" w:eastAsia="宋体" w:cs="Times New Roman"/>
                <w:kern w:val="0"/>
                <w:sz w:val="24"/>
                <w:szCs w:val="28"/>
              </w:rPr>
              <m:t>F</m:t>
            </m:r>
            <m:ctrlPr>
              <w:rPr>
                <w:rFonts w:ascii="Cambria Math" w:hAnsi="Cambria Math" w:eastAsia="宋体" w:cs="Times New Roman"/>
                <w:kern w:val="0"/>
                <w:sz w:val="24"/>
                <w:szCs w:val="28"/>
              </w:rPr>
            </m:ctrlPr>
          </m:e>
          <m:sub>
            <m:r>
              <m:rPr>
                <m:sty m:val="p"/>
              </m:rPr>
              <w:rPr>
                <w:rFonts w:ascii="Cambria Math" w:hAnsi="Cambria Math" w:eastAsia="宋体" w:cs="Times New Roman"/>
                <w:kern w:val="0"/>
                <w:sz w:val="24"/>
                <w:szCs w:val="28"/>
              </w:rPr>
              <m:t>1</m:t>
            </m:r>
            <m:ctrlPr>
              <w:rPr>
                <w:rFonts w:ascii="Cambria Math" w:hAnsi="Cambria Math" w:eastAsia="宋体" w:cs="Times New Roman"/>
                <w:kern w:val="0"/>
                <w:sz w:val="24"/>
                <w:szCs w:val="28"/>
              </w:rPr>
            </m:ctrlPr>
          </m:sub>
        </m:sSub>
      </m:oMath>
      <w:r>
        <w:rPr>
          <w:rFonts w:hint="eastAsia" w:ascii="Times New Roman" w:hAnsi="Times New Roman" w:eastAsia="宋体" w:cs="Times New Roman"/>
          <w:kern w:val="0"/>
          <w:sz w:val="24"/>
          <w:szCs w:val="28"/>
        </w:rPr>
        <w:t>分数、ROC曲线下面积（AUC）。这些评估指标的具体定义和计算方法如下：</w:t>
      </w:r>
    </w:p>
    <w:p w14:paraId="63F55F7F">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ascii="Cambria Math" w:hAnsi="Cambria Math" w:eastAsia="宋体" w:cs="Times New Roman"/>
          <w:kern w:val="0"/>
          <w:sz w:val="24"/>
          <w:szCs w:val="28"/>
        </w:rPr>
      </w:pPr>
      <w:r>
        <w:rPr>
          <w:rFonts w:hint="eastAsia" w:ascii="Cambria Math" w:hAnsi="Cambria Math" w:eastAsia="宋体" w:cs="Times New Roman"/>
          <w:kern w:val="0"/>
          <w:sz w:val="24"/>
          <w:szCs w:val="28"/>
        </w:rPr>
        <w:t>准确率是通过计算模型正确分类的样本数量与总样本数量之间的比率得出，其计算公式如式7所示；</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23"/>
        <w:gridCol w:w="599"/>
      </w:tblGrid>
      <w:tr w14:paraId="6C6C6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Borders>
              <w:tl2br w:val="nil"/>
              <w:tr2bl w:val="nil"/>
            </w:tcBorders>
            <w:vAlign w:val="center"/>
          </w:tcPr>
          <w:p w14:paraId="30D69913">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m:oMathPara>
              <m:oMath>
                <m:r>
                  <m:rPr/>
                  <w:rPr>
                    <w:rFonts w:ascii="Cambria Math" w:hAnsi="Cambria Math"/>
                    <w:sz w:val="24"/>
                    <w:szCs w:val="28"/>
                  </w:rPr>
                  <m:t>Accuracy=</m:t>
                </m:r>
                <m:f>
                  <m:fPr>
                    <m:ctrlPr>
                      <w:rPr>
                        <w:rFonts w:ascii="Cambria Math" w:hAnsi="Cambria Math"/>
                        <w:i/>
                        <w:sz w:val="24"/>
                        <w:szCs w:val="28"/>
                      </w:rPr>
                    </m:ctrlPr>
                  </m:fPr>
                  <m:num>
                    <m:r>
                      <m:rPr/>
                      <w:rPr>
                        <w:rFonts w:ascii="Cambria Math" w:hAnsi="Cambria Math"/>
                        <w:sz w:val="24"/>
                        <w:szCs w:val="28"/>
                      </w:rPr>
                      <m:t>TP+TN</m:t>
                    </m:r>
                    <m:ctrlPr>
                      <w:rPr>
                        <w:rFonts w:ascii="Cambria Math" w:hAnsi="Cambria Math"/>
                        <w:i/>
                        <w:sz w:val="24"/>
                        <w:szCs w:val="28"/>
                      </w:rPr>
                    </m:ctrlPr>
                  </m:num>
                  <m:den>
                    <m:r>
                      <m:rPr/>
                      <w:rPr>
                        <w:rFonts w:ascii="Cambria Math" w:hAnsi="Cambria Math"/>
                        <w:sz w:val="24"/>
                        <w:szCs w:val="28"/>
                      </w:rPr>
                      <m:t>TP+TN+FP+FN</m:t>
                    </m:r>
                    <m:ctrlPr>
                      <w:rPr>
                        <w:rFonts w:ascii="Cambria Math" w:hAnsi="Cambria Math"/>
                        <w:i/>
                        <w:sz w:val="24"/>
                        <w:szCs w:val="28"/>
                      </w:rPr>
                    </m:ctrlPr>
                  </m:den>
                </m:f>
              </m:oMath>
            </m:oMathPara>
          </w:p>
        </w:tc>
        <w:tc>
          <w:tcPr>
            <w:tcW w:w="599" w:type="dxa"/>
            <w:tcBorders>
              <w:tl2br w:val="nil"/>
              <w:tr2bl w:val="nil"/>
            </w:tcBorders>
            <w:vAlign w:val="center"/>
          </w:tcPr>
          <w:p w14:paraId="76A2C625">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w:t>
            </w:r>
            <w:r>
              <w:rPr>
                <w:rFonts w:hint="eastAsia"/>
                <w:bCs/>
                <w:sz w:val="24"/>
                <w:szCs w:val="28"/>
                <w:lang w:val="en-US" w:eastAsia="zh-CN"/>
              </w:rPr>
              <w:t>7</w:t>
            </w:r>
            <w:r>
              <w:rPr>
                <w:rFonts w:hint="eastAsia" w:ascii="Times New Roman" w:hAnsi="Times New Roman"/>
                <w:bCs/>
                <w:sz w:val="24"/>
                <w:szCs w:val="28"/>
              </w:rPr>
              <w:t>)</w:t>
            </w:r>
          </w:p>
        </w:tc>
      </w:tr>
    </w:tbl>
    <w:p w14:paraId="131C21BB">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ascii="Times New Roman" w:hAnsi="Times New Roman" w:eastAsia="宋体" w:cs="Times New Roman"/>
          <w:kern w:val="0"/>
          <w:sz w:val="24"/>
          <w:szCs w:val="28"/>
        </w:rPr>
      </w:pPr>
      <w:r>
        <w:rPr>
          <w:rFonts w:hint="eastAsia" w:ascii="Times New Roman" w:hAnsi="Times New Roman" w:eastAsia="宋体" w:cs="Times New Roman"/>
          <w:kern w:val="0"/>
          <w:sz w:val="24"/>
          <w:szCs w:val="28"/>
        </w:rPr>
        <w:t>精确率指</w:t>
      </w:r>
      <w:r>
        <w:rPr>
          <w:rFonts w:ascii="Times New Roman" w:hAnsi="Times New Roman" w:eastAsia="宋体" w:cs="Times New Roman"/>
          <w:kern w:val="0"/>
          <w:sz w:val="24"/>
          <w:szCs w:val="28"/>
        </w:rPr>
        <w:t>在所有被模型预测为正类的样本中，实际为正类的比例</w:t>
      </w:r>
      <w:r>
        <w:rPr>
          <w:rFonts w:hint="eastAsia" w:ascii="Times New Roman" w:hAnsi="Times New Roman" w:eastAsia="宋体" w:cs="Times New Roman"/>
          <w:kern w:val="0"/>
          <w:sz w:val="24"/>
          <w:szCs w:val="28"/>
        </w:rPr>
        <w:t>，其计算公式如式8所示；</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23"/>
        <w:gridCol w:w="599"/>
      </w:tblGrid>
      <w:tr w14:paraId="5251B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Borders>
              <w:tl2br w:val="nil"/>
              <w:tr2bl w:val="nil"/>
            </w:tcBorders>
            <w:vAlign w:val="center"/>
          </w:tcPr>
          <w:p w14:paraId="4C475560">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m:oMathPara>
              <m:oMath>
                <m:r>
                  <m:rPr/>
                  <w:rPr>
                    <w:rFonts w:ascii="Cambria Math" w:hAnsi="Cambria Math"/>
                    <w:sz w:val="24"/>
                    <w:szCs w:val="28"/>
                  </w:rPr>
                  <m:t>Precision=</m:t>
                </m:r>
                <m:f>
                  <m:fPr>
                    <m:ctrlPr>
                      <w:rPr>
                        <w:rFonts w:ascii="Cambria Math" w:hAnsi="Cambria Math"/>
                        <w:i/>
                        <w:sz w:val="24"/>
                        <w:szCs w:val="28"/>
                      </w:rPr>
                    </m:ctrlPr>
                  </m:fPr>
                  <m:num>
                    <m:r>
                      <m:rPr/>
                      <w:rPr>
                        <w:rFonts w:ascii="Cambria Math" w:hAnsi="Cambria Math"/>
                        <w:sz w:val="24"/>
                        <w:szCs w:val="28"/>
                      </w:rPr>
                      <m:t>TP</m:t>
                    </m:r>
                    <m:ctrlPr>
                      <w:rPr>
                        <w:rFonts w:ascii="Cambria Math" w:hAnsi="Cambria Math"/>
                        <w:i/>
                        <w:sz w:val="24"/>
                        <w:szCs w:val="28"/>
                      </w:rPr>
                    </m:ctrlPr>
                  </m:num>
                  <m:den>
                    <m:r>
                      <m:rPr/>
                      <w:rPr>
                        <w:rFonts w:ascii="Cambria Math" w:hAnsi="Cambria Math"/>
                        <w:sz w:val="24"/>
                        <w:szCs w:val="28"/>
                      </w:rPr>
                      <m:t>TP+FP</m:t>
                    </m:r>
                    <m:ctrlPr>
                      <w:rPr>
                        <w:rFonts w:ascii="Cambria Math" w:hAnsi="Cambria Math"/>
                        <w:i/>
                        <w:sz w:val="24"/>
                        <w:szCs w:val="28"/>
                      </w:rPr>
                    </m:ctrlPr>
                  </m:den>
                </m:f>
              </m:oMath>
            </m:oMathPara>
          </w:p>
        </w:tc>
        <w:tc>
          <w:tcPr>
            <w:tcW w:w="599" w:type="dxa"/>
            <w:tcBorders>
              <w:tl2br w:val="nil"/>
              <w:tr2bl w:val="nil"/>
            </w:tcBorders>
            <w:vAlign w:val="center"/>
          </w:tcPr>
          <w:p w14:paraId="78B901F8">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(8)</w:t>
            </w:r>
          </w:p>
        </w:tc>
      </w:tr>
    </w:tbl>
    <w:p w14:paraId="52E76509">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ascii="Times New Roman" w:hAnsi="Times New Roman" w:eastAsia="宋体" w:cs="Times New Roman"/>
          <w:kern w:val="0"/>
          <w:sz w:val="24"/>
          <w:szCs w:val="28"/>
        </w:rPr>
      </w:pPr>
      <w:r>
        <w:rPr>
          <w:rFonts w:hint="eastAsia" w:ascii="Times New Roman" w:hAnsi="Times New Roman" w:eastAsia="宋体" w:cs="Times New Roman"/>
          <w:kern w:val="0"/>
          <w:sz w:val="24"/>
          <w:szCs w:val="28"/>
        </w:rPr>
        <w:t>召回率指</w:t>
      </w:r>
      <w:r>
        <w:rPr>
          <w:rFonts w:ascii="Times New Roman" w:hAnsi="Times New Roman" w:eastAsia="宋体" w:cs="Times New Roman"/>
          <w:kern w:val="0"/>
          <w:sz w:val="24"/>
          <w:szCs w:val="28"/>
        </w:rPr>
        <w:t>在所有实际为正类的样本中，被模型正确预测为正类的比例</w:t>
      </w:r>
      <w:r>
        <w:rPr>
          <w:rFonts w:hint="eastAsia" w:ascii="Times New Roman" w:hAnsi="Times New Roman" w:eastAsia="宋体" w:cs="Times New Roman"/>
          <w:kern w:val="0"/>
          <w:sz w:val="24"/>
          <w:szCs w:val="28"/>
        </w:rPr>
        <w:t>，其计算公式如式9所示；</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23"/>
        <w:gridCol w:w="599"/>
      </w:tblGrid>
      <w:tr w14:paraId="68F80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Borders>
              <w:tl2br w:val="nil"/>
              <w:tr2bl w:val="nil"/>
            </w:tcBorders>
            <w:vAlign w:val="center"/>
          </w:tcPr>
          <w:p w14:paraId="69F9839B">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m:oMathPara>
              <m:oMath>
                <m:r>
                  <m:rPr/>
                  <w:rPr>
                    <w:rFonts w:ascii="Cambria Math" w:hAnsi="Cambria Math"/>
                    <w:sz w:val="24"/>
                    <w:szCs w:val="28"/>
                  </w:rPr>
                  <m:t>Recall=</m:t>
                </m:r>
                <m:f>
                  <m:fPr>
                    <m:ctrlPr>
                      <w:rPr>
                        <w:rFonts w:ascii="Cambria Math" w:hAnsi="Cambria Math"/>
                        <w:i/>
                        <w:sz w:val="24"/>
                        <w:szCs w:val="28"/>
                      </w:rPr>
                    </m:ctrlPr>
                  </m:fPr>
                  <m:num>
                    <m:r>
                      <m:rPr/>
                      <w:rPr>
                        <w:rFonts w:ascii="Cambria Math" w:hAnsi="Cambria Math"/>
                        <w:sz w:val="24"/>
                        <w:szCs w:val="28"/>
                      </w:rPr>
                      <m:t>TP</m:t>
                    </m:r>
                    <m:ctrlPr>
                      <w:rPr>
                        <w:rFonts w:ascii="Cambria Math" w:hAnsi="Cambria Math"/>
                        <w:i/>
                        <w:sz w:val="24"/>
                        <w:szCs w:val="28"/>
                      </w:rPr>
                    </m:ctrlPr>
                  </m:num>
                  <m:den>
                    <m:r>
                      <m:rPr/>
                      <w:rPr>
                        <w:rFonts w:ascii="Cambria Math" w:hAnsi="Cambria Math"/>
                        <w:sz w:val="24"/>
                        <w:szCs w:val="28"/>
                      </w:rPr>
                      <m:t>TP+FN</m:t>
                    </m:r>
                    <m:ctrlPr>
                      <w:rPr>
                        <w:rFonts w:ascii="Cambria Math" w:hAnsi="Cambria Math"/>
                        <w:i/>
                        <w:sz w:val="24"/>
                        <w:szCs w:val="28"/>
                      </w:rPr>
                    </m:ctrlPr>
                  </m:den>
                </m:f>
              </m:oMath>
            </m:oMathPara>
          </w:p>
        </w:tc>
        <w:tc>
          <w:tcPr>
            <w:tcW w:w="599" w:type="dxa"/>
            <w:tcBorders>
              <w:tl2br w:val="nil"/>
              <w:tr2bl w:val="nil"/>
            </w:tcBorders>
            <w:vAlign w:val="center"/>
          </w:tcPr>
          <w:p w14:paraId="16AB3B6B">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(9)</w:t>
            </w:r>
          </w:p>
        </w:tc>
      </w:tr>
    </w:tbl>
    <w:p w14:paraId="7C14FA4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hAnsi="Cambria Math" w:cs="Times New Roman"/>
          <w:kern w:val="0"/>
          <w:sz w:val="24"/>
          <w:szCs w:val="28"/>
        </w:rPr>
      </w:pPr>
      <m:oMath>
        <m:sSub>
          <m:sSubPr>
            <m:ctrlPr>
              <w:rPr>
                <w:rFonts w:ascii="Cambria Math" w:hAnsi="Cambria Math" w:cs="Times New Roman"/>
                <w:i/>
                <w:kern w:val="0"/>
                <w:sz w:val="24"/>
                <w:szCs w:val="28"/>
              </w:rPr>
            </m:ctrlPr>
          </m:sSubPr>
          <m:e>
            <m:r>
              <m:rPr/>
              <w:rPr>
                <w:rFonts w:ascii="Cambria Math" w:hAnsi="Cambria Math" w:cs="Times New Roman"/>
                <w:kern w:val="0"/>
                <w:sz w:val="24"/>
                <w:szCs w:val="28"/>
              </w:rPr>
              <m:t>F</m:t>
            </m:r>
            <m:ctrlPr>
              <w:rPr>
                <w:rFonts w:ascii="Cambria Math" w:hAnsi="Cambria Math" w:cs="Times New Roman"/>
                <w:i/>
                <w:kern w:val="0"/>
                <w:sz w:val="24"/>
                <w:szCs w:val="28"/>
              </w:rPr>
            </m:ctrlPr>
          </m:e>
          <m:sub>
            <m:r>
              <m:rPr/>
              <w:rPr>
                <w:rFonts w:ascii="Cambria Math" w:hAnsi="Cambria Math" w:cs="Times New Roman"/>
                <w:kern w:val="0"/>
                <w:sz w:val="24"/>
                <w:szCs w:val="28"/>
              </w:rPr>
              <m:t>1</m:t>
            </m:r>
            <m:ctrlPr>
              <w:rPr>
                <w:rFonts w:ascii="Cambria Math" w:hAnsi="Cambria Math" w:cs="Times New Roman"/>
                <w:i/>
                <w:kern w:val="0"/>
                <w:sz w:val="24"/>
                <w:szCs w:val="28"/>
              </w:rPr>
            </m:ctrlPr>
          </m:sub>
        </m:sSub>
      </m:oMath>
      <w:r>
        <w:rPr>
          <w:rFonts w:hint="eastAsia" w:hAnsi="Cambria Math" w:cs="Times New Roman"/>
          <w:kern w:val="0"/>
          <w:sz w:val="24"/>
          <w:szCs w:val="28"/>
        </w:rPr>
        <w:t>分数是精确率和召回率的调和平均值，用于综合评价模型的精确率和召回率，其计算公式如式</w:t>
      </w:r>
      <w:r>
        <w:rPr>
          <w:rFonts w:ascii="Times New Roman" w:hAnsi="Times New Roman" w:cs="Times New Roman"/>
          <w:kern w:val="0"/>
          <w:sz w:val="24"/>
          <w:szCs w:val="28"/>
        </w:rPr>
        <w:t>10</w:t>
      </w:r>
      <w:r>
        <w:rPr>
          <w:rFonts w:hint="eastAsia" w:hAnsi="Cambria Math" w:cs="Times New Roman"/>
          <w:kern w:val="0"/>
          <w:sz w:val="24"/>
          <w:szCs w:val="28"/>
        </w:rPr>
        <w:t>所示。</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06"/>
        <w:gridCol w:w="616"/>
      </w:tblGrid>
      <w:tr w14:paraId="233A6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Borders>
              <w:tl2br w:val="nil"/>
              <w:tr2bl w:val="nil"/>
            </w:tcBorders>
            <w:vAlign w:val="center"/>
          </w:tcPr>
          <w:p w14:paraId="277C26BA">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m:oMathPara>
              <m:oMath>
                <m:sSub>
                  <m:sSubPr>
                    <m:ctrlPr>
                      <w:rPr>
                        <w:rFonts w:ascii="Cambria Math" w:hAnsi="Cambria Math" w:cs="Times New Roman"/>
                        <w:i/>
                        <w:kern w:val="0"/>
                        <w:sz w:val="24"/>
                        <w:szCs w:val="28"/>
                      </w:rPr>
                    </m:ctrlPr>
                  </m:sSubPr>
                  <m:e>
                    <m:r>
                      <m:rPr/>
                      <w:rPr>
                        <w:rFonts w:ascii="Cambria Math" w:hAnsi="Cambria Math" w:cs="Times New Roman"/>
                        <w:kern w:val="0"/>
                        <w:sz w:val="24"/>
                        <w:szCs w:val="28"/>
                      </w:rPr>
                      <m:t>F</m:t>
                    </m:r>
                    <m:ctrlPr>
                      <w:rPr>
                        <w:rFonts w:ascii="Cambria Math" w:hAnsi="Cambria Math" w:cs="Times New Roman"/>
                        <w:i/>
                        <w:kern w:val="0"/>
                        <w:sz w:val="24"/>
                        <w:szCs w:val="28"/>
                      </w:rPr>
                    </m:ctrlPr>
                  </m:e>
                  <m:sub>
                    <m:r>
                      <m:rPr/>
                      <w:rPr>
                        <w:rFonts w:ascii="Cambria Math" w:hAnsi="Cambria Math" w:cs="Times New Roman"/>
                        <w:kern w:val="0"/>
                        <w:sz w:val="24"/>
                        <w:szCs w:val="28"/>
                      </w:rPr>
                      <m:t>1</m:t>
                    </m:r>
                    <m:ctrlPr>
                      <w:rPr>
                        <w:rFonts w:ascii="Cambria Math" w:hAnsi="Cambria Math" w:cs="Times New Roman"/>
                        <w:i/>
                        <w:kern w:val="0"/>
                        <w:sz w:val="24"/>
                        <w:szCs w:val="28"/>
                      </w:rPr>
                    </m:ctrlPr>
                  </m:sub>
                </m:sSub>
                <m:r>
                  <m:rPr/>
                  <w:rPr>
                    <w:rFonts w:ascii="Cambria Math" w:hAnsi="Cambria Math" w:cs="Times New Roman"/>
                    <w:kern w:val="0"/>
                    <w:sz w:val="24"/>
                    <w:szCs w:val="28"/>
                  </w:rPr>
                  <m:t>Score</m:t>
                </m:r>
                <m:r>
                  <m:rPr/>
                  <w:rPr>
                    <w:rFonts w:ascii="Cambria Math" w:hAnsi="Cambria Math"/>
                    <w:sz w:val="24"/>
                    <w:szCs w:val="28"/>
                  </w:rPr>
                  <m:t>=2</m:t>
                </m:r>
                <m:r>
                  <m:rPr/>
                  <w:rPr>
                    <w:rFonts w:ascii="Cambria Math" w:hAnsi="Cambria Math" w:cs="Cambria Math"/>
                    <w:sz w:val="24"/>
                    <w:szCs w:val="28"/>
                  </w:rPr>
                  <m:t>×</m:t>
                </m:r>
                <m:f>
                  <m:fPr>
                    <m:ctrlPr>
                      <w:rPr>
                        <w:rFonts w:ascii="Cambria Math" w:hAnsi="Cambria Math" w:cs="Cambria Math"/>
                        <w:i/>
                        <w:sz w:val="24"/>
                        <w:szCs w:val="28"/>
                      </w:rPr>
                    </m:ctrlPr>
                  </m:fPr>
                  <m:num>
                    <m:r>
                      <m:rPr/>
                      <w:rPr>
                        <w:rFonts w:ascii="Cambria Math" w:hAnsi="Cambria Math" w:cs="Cambria Math"/>
                        <w:sz w:val="24"/>
                        <w:szCs w:val="28"/>
                      </w:rPr>
                      <m:t>2∗(Precision∗Recall)</m:t>
                    </m:r>
                    <m:ctrlPr>
                      <w:rPr>
                        <w:rFonts w:ascii="Cambria Math" w:hAnsi="Cambria Math" w:cs="Cambria Math"/>
                        <w:i/>
                        <w:sz w:val="24"/>
                        <w:szCs w:val="28"/>
                      </w:rPr>
                    </m:ctrlPr>
                  </m:num>
                  <m:den>
                    <m:r>
                      <m:rPr/>
                      <w:rPr>
                        <w:rFonts w:ascii="Cambria Math" w:hAnsi="Cambria Math" w:cs="Cambria Math"/>
                        <w:sz w:val="24"/>
                        <w:szCs w:val="28"/>
                      </w:rPr>
                      <m:t>Precision+Recall</m:t>
                    </m:r>
                    <m:ctrlPr>
                      <w:rPr>
                        <w:rFonts w:ascii="Cambria Math" w:hAnsi="Cambria Math" w:cs="Cambria Math"/>
                        <w:i/>
                        <w:sz w:val="24"/>
                        <w:szCs w:val="28"/>
                      </w:rPr>
                    </m:ctrlPr>
                  </m:den>
                </m:f>
              </m:oMath>
            </m:oMathPara>
          </w:p>
        </w:tc>
        <w:tc>
          <w:tcPr>
            <w:tcW w:w="599" w:type="dxa"/>
            <w:tcBorders>
              <w:tl2br w:val="nil"/>
              <w:tr2bl w:val="nil"/>
            </w:tcBorders>
            <w:vAlign w:val="center"/>
          </w:tcPr>
          <w:p w14:paraId="343EEF22">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(10)</w:t>
            </w:r>
          </w:p>
        </w:tc>
      </w:tr>
    </w:tbl>
    <w:p w14:paraId="5E822074">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ascii="Times New Roman" w:hAnsi="Times New Roman" w:eastAsia="宋体" w:cs="Times New Roman"/>
          <w:kern w:val="0"/>
          <w:sz w:val="24"/>
          <w:szCs w:val="28"/>
        </w:rPr>
      </w:pPr>
      <w:r>
        <w:rPr>
          <w:rFonts w:hint="eastAsia" w:ascii="Times New Roman" w:hAnsi="Times New Roman" w:eastAsia="宋体" w:cs="Times New Roman"/>
          <w:kern w:val="0"/>
          <w:sz w:val="24"/>
          <w:szCs w:val="28"/>
        </w:rPr>
        <w:t>ROC曲线是通过绘制真正例率（TPR）与假正例率（FPR）之间的对应关系而得到的可视化曲线，曲线位置越靠近坐标系的左上区域，表明分类器的判别效能越优异，而曲线下面积（AUC）作为量化指标，用于评估分类模型的整体性能，其数值范围在0到1之间，当AUC值趋近于1时，表示模型具有理想的分类准确度。</w:t>
      </w:r>
    </w:p>
    <w:p w14:paraId="6BF308D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outlineLvl w:val="9"/>
        <w:rPr>
          <w:rFonts w:hint="eastAsia" w:ascii="Times New Roman" w:hAnsi="Times New Roman" w:eastAsia="宋体" w:cs="Times New Roman"/>
          <w:kern w:val="0"/>
          <w:sz w:val="24"/>
          <w:szCs w:val="28"/>
          <w:lang w:val="en-US" w:eastAsia="zh-CN"/>
        </w:rPr>
      </w:pPr>
      <w:r>
        <w:rPr>
          <w:rFonts w:hint="eastAsia" w:ascii="Times New Roman" w:hAnsi="Times New Roman" w:eastAsia="宋体" w:cs="Times New Roman"/>
          <w:kern w:val="0"/>
          <w:sz w:val="24"/>
          <w:szCs w:val="28"/>
        </w:rPr>
        <w:t>不同的评估指标各有侧重，适用于不同的应用场景，因此在选择评估指标时，需要根据具体的任务需求和数据特性进行选择。</w:t>
      </w:r>
    </w:p>
    <w:p w14:paraId="469C4F17">
      <w:pPr>
        <w:numPr>
          <w:ilvl w:val="0"/>
          <w:numId w:val="1"/>
        </w:numPr>
        <w:outlineLvl w:val="0"/>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rPr>
        <w:t>论文的创新性尝试</w:t>
      </w:r>
    </w:p>
    <w:p w14:paraId="291948C2">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通过对现有文献进行回顾，本文发现目前学术界的研究在信贷违约预测等方面已经积累有一定的研究成果，但本文认为当前的研究还在有仍需进一步加强的内容，因此本文将从以下几个方面进行创新性尝试：</w:t>
      </w:r>
    </w:p>
    <w:p w14:paraId="229B91B8">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第一，从数据层面来看，</w:t>
      </w:r>
      <w:r>
        <w:rPr>
          <w:rFonts w:hint="eastAsia" w:ascii="Times New Roman" w:hAnsi="Times New Roman" w:eastAsia="宋体" w:cs="Times New Roman"/>
          <w:kern w:val="0"/>
          <w:sz w:val="24"/>
          <w:szCs w:val="28"/>
          <w:lang w:val="en-US" w:eastAsia="zh-CN"/>
        </w:rPr>
        <w:t>传统信贷风控研究</w:t>
      </w:r>
      <w:r>
        <w:rPr>
          <w:rFonts w:hint="eastAsia" w:cs="Times New Roman"/>
          <w:kern w:val="0"/>
          <w:sz w:val="24"/>
          <w:szCs w:val="28"/>
          <w:lang w:val="en-US" w:eastAsia="zh-CN"/>
        </w:rPr>
        <w:t>多采用</w:t>
      </w:r>
      <w:r>
        <w:rPr>
          <w:rFonts w:hint="eastAsia" w:ascii="Times New Roman" w:hAnsi="Times New Roman" w:eastAsia="宋体" w:cs="Times New Roman"/>
          <w:kern w:val="0"/>
          <w:sz w:val="24"/>
          <w:szCs w:val="28"/>
          <w:lang w:val="en-US" w:eastAsia="zh-CN"/>
        </w:rPr>
        <w:t>直接剔除右删失观测不足</w:t>
      </w:r>
      <w:r>
        <w:rPr>
          <w:rFonts w:hint="eastAsia" w:cs="Times New Roman"/>
          <w:kern w:val="0"/>
          <w:sz w:val="24"/>
          <w:szCs w:val="28"/>
          <w:lang w:val="en-US" w:eastAsia="zh-CN"/>
        </w:rPr>
        <w:t>的</w:t>
      </w:r>
      <w:r>
        <w:rPr>
          <w:rFonts w:hint="eastAsia" w:ascii="Times New Roman" w:hAnsi="Times New Roman" w:eastAsia="宋体" w:cs="Times New Roman"/>
          <w:kern w:val="0"/>
          <w:sz w:val="24"/>
          <w:szCs w:val="28"/>
          <w:lang w:val="en-US" w:eastAsia="zh-CN"/>
        </w:rPr>
        <w:t>样本</w:t>
      </w:r>
      <w:r>
        <w:rPr>
          <w:rFonts w:hint="eastAsia" w:cs="Times New Roman"/>
          <w:kern w:val="0"/>
          <w:sz w:val="24"/>
          <w:szCs w:val="28"/>
          <w:lang w:val="en-US" w:eastAsia="zh-CN"/>
        </w:rPr>
        <w:t>，但这种方式会造成</w:t>
      </w:r>
      <w:r>
        <w:rPr>
          <w:rFonts w:hint="eastAsia" w:ascii="Times New Roman" w:hAnsi="Times New Roman" w:eastAsia="宋体" w:cs="Times New Roman"/>
          <w:kern w:val="0"/>
          <w:sz w:val="24"/>
          <w:szCs w:val="28"/>
          <w:lang w:val="en-US" w:eastAsia="zh-CN" w:bidi="ar-SA"/>
        </w:rPr>
        <w:t>右删失</w:t>
      </w:r>
      <w:r>
        <w:rPr>
          <w:rFonts w:hint="eastAsia" w:cs="Times New Roman"/>
          <w:kern w:val="0"/>
          <w:sz w:val="24"/>
          <w:szCs w:val="28"/>
          <w:lang w:val="en-US" w:eastAsia="zh-CN" w:bidi="ar-SA"/>
        </w:rPr>
        <w:t>的</w:t>
      </w:r>
      <w:r>
        <w:rPr>
          <w:rFonts w:hint="eastAsia" w:ascii="Times New Roman" w:hAnsi="Times New Roman" w:eastAsia="宋体" w:cs="Times New Roman"/>
          <w:kern w:val="0"/>
          <w:sz w:val="24"/>
          <w:szCs w:val="28"/>
          <w:lang w:val="en-US" w:eastAsia="zh-CN" w:bidi="ar-SA"/>
        </w:rPr>
        <w:t>高风险样本被浪费</w:t>
      </w:r>
      <w:r>
        <w:rPr>
          <w:rFonts w:hint="eastAsia" w:cs="Times New Roman"/>
          <w:kern w:val="0"/>
          <w:sz w:val="24"/>
          <w:szCs w:val="28"/>
          <w:lang w:val="en-US" w:eastAsia="zh-CN" w:bidi="ar-SA"/>
        </w:rPr>
        <w:t>，因此本研究将</w:t>
      </w:r>
      <w:r>
        <w:rPr>
          <w:rFonts w:hint="eastAsia" w:cs="Times New Roman"/>
          <w:kern w:val="0"/>
          <w:sz w:val="24"/>
          <w:szCs w:val="28"/>
          <w:lang w:val="en-US" w:eastAsia="zh-CN"/>
        </w:rPr>
        <w:t>筛选2023Q4-2025Q3区间内短期快速违约的高风险删失样本，将其作为生成器的条件先验信号，为样本生成提供真实快速违约分布约束，避免生成模型盲目造样，有效弥补极端违约样本特征缺失的问题，最大化挖掘残缺数据的风控价值。</w:t>
      </w:r>
    </w:p>
    <w:p w14:paraId="0E0D9F46">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第二，从样本生成层面来看，传统生成器对需要的违约样本类型不清晰，导致在高置信度正常样本、高置信度违约样本区域会有无效生成的情况，因此本文构建BA-cWGAN-GP边界感知条件生成模型，通过预训练分类器定位信贷违约决策边界，引导生成器聚焦模型识别不确定性最高的边界区域生成样本，聚焦风险决策核心区域，大幅提升合成样本的质量与区分度，从根源上缓解数据不平衡导致的模型退化问题。</w:t>
      </w:r>
    </w:p>
    <w:p w14:paraId="565717A8">
      <w:pPr>
        <w:spacing w:line="300" w:lineRule="auto"/>
        <w:ind w:firstLine="480" w:firstLineChars="200"/>
        <w:jc w:val="both"/>
        <w:outlineLvl w:val="9"/>
        <w:rPr>
          <w:rFonts w:hint="default" w:cs="Times New Roman"/>
          <w:kern w:val="0"/>
          <w:sz w:val="24"/>
          <w:szCs w:val="28"/>
          <w:lang w:val="en-US" w:eastAsia="zh-CN"/>
        </w:rPr>
      </w:pPr>
      <w:r>
        <w:rPr>
          <w:rFonts w:hint="eastAsia" w:cs="Times New Roman"/>
          <w:kern w:val="0"/>
          <w:sz w:val="24"/>
          <w:szCs w:val="28"/>
          <w:lang w:val="en-US" w:eastAsia="zh-CN"/>
        </w:rPr>
        <w:t>第三，传统信贷风险研究多专注于对单经济周期内的风险进行违约预测，而忽视了经济周期变动对违约预测的影响，因此本文构建OOS样本内测试+OOT加息周期跨时间测试的双验证体系，精准检验模型在宏观经济剧变场景下的泛化能力；同时依托SHAP算法对比常规周期与加息周期的特征影响差异，量化不同经济环境下信贷违约的核心驱动因子，突破传统静态解释的局限性，为跨周期动态风控提供理论支撑。</w:t>
      </w:r>
    </w:p>
    <w:p w14:paraId="14067872">
      <w:pPr>
        <w:numPr>
          <w:ilvl w:val="0"/>
          <w:numId w:val="1"/>
        </w:numPr>
        <w:outlineLvl w:val="0"/>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rPr>
        <w:t>研究难点与预期成果</w:t>
      </w:r>
    </w:p>
    <w:p w14:paraId="6C6C1FDB">
      <w:pPr>
        <w:numPr>
          <w:ilvl w:val="0"/>
          <w:numId w:val="4"/>
        </w:numPr>
        <w:spacing w:line="300" w:lineRule="auto"/>
        <w:ind w:firstLine="562" w:firstLineChars="200"/>
        <w:jc w:val="left"/>
        <w:outlineLvl w:val="1"/>
        <w:rPr>
          <w:rFonts w:hint="default" w:ascii="Calibri Light" w:hAnsi="Calibri Light" w:eastAsia="宋体" w:cs="Times New Roman"/>
          <w:b/>
          <w:bCs/>
          <w:kern w:val="0"/>
          <w:sz w:val="28"/>
          <w:szCs w:val="28"/>
          <w:lang w:val="en-US" w:eastAsia="zh-CN"/>
        </w:rPr>
      </w:pPr>
      <w:r>
        <w:rPr>
          <w:rFonts w:hint="eastAsia" w:ascii="Calibri Light" w:hAnsi="Calibri Light" w:eastAsia="宋体" w:cs="Times New Roman"/>
          <w:b/>
          <w:bCs/>
          <w:kern w:val="0"/>
          <w:sz w:val="28"/>
          <w:szCs w:val="28"/>
          <w:lang w:val="en-US" w:eastAsia="zh-CN"/>
        </w:rPr>
        <w:t>研究难点</w:t>
      </w:r>
    </w:p>
    <w:p w14:paraId="74499320">
      <w:pPr>
        <w:spacing w:line="300" w:lineRule="auto"/>
        <w:ind w:firstLine="480" w:firstLineChars="200"/>
        <w:jc w:val="left"/>
        <w:outlineLvl w:val="9"/>
        <w:rPr>
          <w:rFonts w:hint="default" w:cs="Times New Roman"/>
          <w:kern w:val="0"/>
          <w:sz w:val="24"/>
          <w:szCs w:val="28"/>
          <w:lang w:val="en-US" w:eastAsia="zh-CN"/>
        </w:rPr>
      </w:pPr>
      <w:r>
        <w:rPr>
          <w:rFonts w:hint="eastAsia" w:cs="Times New Roman"/>
          <w:kern w:val="0"/>
          <w:sz w:val="24"/>
          <w:szCs w:val="28"/>
          <w:lang w:val="en-US" w:eastAsia="zh-CN"/>
        </w:rPr>
        <w:t>本文研究存在多项核心难点，主要集中在以下几点：</w:t>
      </w:r>
    </w:p>
    <w:p w14:paraId="6218B157">
      <w:pPr>
        <w:spacing w:line="300" w:lineRule="auto"/>
        <w:ind w:firstLine="480" w:firstLineChars="200"/>
        <w:jc w:val="left"/>
        <w:outlineLvl w:val="9"/>
        <w:rPr>
          <w:rFonts w:hint="eastAsia" w:cs="Times New Roman"/>
          <w:kern w:val="0"/>
          <w:sz w:val="24"/>
          <w:szCs w:val="28"/>
          <w:lang w:val="en-US" w:eastAsia="zh-CN"/>
        </w:rPr>
      </w:pPr>
      <w:r>
        <w:rPr>
          <w:rFonts w:hint="eastAsia" w:cs="Times New Roman"/>
          <w:kern w:val="0"/>
          <w:sz w:val="24"/>
          <w:szCs w:val="28"/>
          <w:lang w:val="en-US" w:eastAsia="zh-CN"/>
        </w:rPr>
        <w:t>首先是删失信息与生成模型的融合适配难题，如何将右删失快速违约样本的隐性分布特征转化为WGAN-GP模型有效的条件约束，实现残缺先验信息与生成机制的深度适配融合，规避条件信号失效、样本生成失真、特征拟合偏差等问题。</w:t>
      </w:r>
    </w:p>
    <w:p w14:paraId="365A0C74">
      <w:pPr>
        <w:spacing w:line="300" w:lineRule="auto"/>
        <w:ind w:firstLine="480" w:firstLineChars="200"/>
        <w:jc w:val="left"/>
        <w:outlineLvl w:val="9"/>
        <w:rPr>
          <w:rFonts w:hint="eastAsia" w:cs="Times New Roman"/>
          <w:kern w:val="0"/>
          <w:sz w:val="24"/>
          <w:szCs w:val="28"/>
          <w:lang w:val="en-US" w:eastAsia="zh-CN"/>
        </w:rPr>
      </w:pPr>
      <w:r>
        <w:rPr>
          <w:rFonts w:hint="eastAsia" w:cs="Times New Roman"/>
          <w:kern w:val="0"/>
          <w:sz w:val="24"/>
          <w:szCs w:val="28"/>
          <w:lang w:val="en-US" w:eastAsia="zh-CN"/>
        </w:rPr>
        <w:t>其次是边界感知机制的精准设计与参数调试难点，研究需要精准界定信贷样本的分类决策边界，合理平衡边界聚焦范围与样本生成多样性，避免因边界设定过窄导致合成样本单一、边界设定过宽导致无效样本生成的问题，需要通过对照实验完成参数迭代优化。</w:t>
      </w:r>
    </w:p>
    <w:p w14:paraId="27A91940">
      <w:pPr>
        <w:spacing w:line="300" w:lineRule="auto"/>
        <w:ind w:firstLine="480" w:firstLineChars="200"/>
        <w:jc w:val="left"/>
        <w:outlineLvl w:val="9"/>
        <w:rPr>
          <w:rFonts w:hint="eastAsia" w:cs="Times New Roman"/>
          <w:kern w:val="0"/>
          <w:sz w:val="24"/>
          <w:szCs w:val="28"/>
          <w:lang w:val="en-US" w:eastAsia="zh-CN"/>
        </w:rPr>
      </w:pPr>
      <w:r>
        <w:rPr>
          <w:rFonts w:hint="eastAsia" w:cs="Times New Roman"/>
          <w:kern w:val="0"/>
          <w:sz w:val="24"/>
          <w:szCs w:val="28"/>
          <w:lang w:val="en-US" w:eastAsia="zh-CN"/>
        </w:rPr>
        <w:t>此外研究还面临跨周期风险机制的差异化挖掘难点，如何有效剥离宏观经济波动的干扰因素，精准捕捉不同经济周期下各特征的权重波动规律与差异化影响逻辑，提炼具备实际业务落地价值的风控规则，避免研究结论流于表面、同质化严重的问题。</w:t>
      </w:r>
    </w:p>
    <w:p w14:paraId="44399C27">
      <w:pPr>
        <w:spacing w:line="300" w:lineRule="auto"/>
        <w:ind w:firstLine="562" w:firstLineChars="200"/>
        <w:rPr>
          <w:rFonts w:hint="eastAsia" w:ascii="Calibri Light" w:hAnsi="Calibri Light" w:eastAsia="宋体" w:cs="Times New Roman"/>
          <w:b/>
          <w:bCs/>
          <w:kern w:val="0"/>
          <w:sz w:val="28"/>
          <w:szCs w:val="28"/>
          <w:lang w:val="en-US" w:eastAsia="zh-CN"/>
        </w:rPr>
      </w:pPr>
      <w:r>
        <w:rPr>
          <w:rFonts w:hint="eastAsia" w:ascii="Calibri Light" w:hAnsi="Calibri Light" w:eastAsia="宋体" w:cs="Times New Roman"/>
          <w:b/>
          <w:bCs/>
          <w:kern w:val="0"/>
          <w:sz w:val="28"/>
          <w:szCs w:val="28"/>
          <w:lang w:val="en-US" w:eastAsia="zh-CN"/>
        </w:rPr>
        <w:t>（</w:t>
      </w:r>
      <w:r>
        <w:rPr>
          <w:rFonts w:hint="eastAsia" w:ascii="Calibri Light" w:hAnsi="Calibri Light" w:eastAsia="宋体" w:cs="Times New Roman"/>
          <w:b/>
          <w:bCs/>
          <w:kern w:val="0"/>
          <w:sz w:val="28"/>
          <w:szCs w:val="28"/>
          <w:lang w:val="en-US" w:eastAsia="zh-CN"/>
        </w:rPr>
        <w:t>二）预期成果</w:t>
      </w:r>
    </w:p>
    <w:p w14:paraId="64AB944A">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依托全文理论研究与实证实验，本文将形成多维度、多层次的研究成果，在理论层面将构建一套依托右删失数据引导的边界感知不平衡信贷样本增强框架，完善跨周期住房信贷违约预测的学术理论体系，为金融不平衡时序数据深度挖掘与智能风控建模提供全新的研究思路与理论参考。</w:t>
      </w:r>
    </w:p>
    <w:p w14:paraId="54DF0C73">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在模型层面将完成BA-cWGAN-GP样本增强模型与Stacking多模型集成预测模型的完整搭建，通过多组对照实验充分证实本文模型在违约样本识别精度、模型稳定性、跨周期泛化能力上相较于传统算法的显著优势。</w:t>
      </w:r>
    </w:p>
    <w:p w14:paraId="36EE4390">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在实证层面将精准量化常规运营周期与加息波动周期下住房信贷违约的核心影响特征，厘清不同宏观环境下信贷风险的传导逻辑与作用机制，提炼形成可落地、可解释、可量化的住房信贷风控业务规则。</w:t>
      </w:r>
    </w:p>
    <w:p w14:paraId="27648C3B">
      <w:pPr>
        <w:spacing w:line="300" w:lineRule="auto"/>
        <w:ind w:firstLine="480" w:firstLineChars="200"/>
        <w:jc w:val="both"/>
        <w:outlineLvl w:val="9"/>
        <w:rPr>
          <w:rFonts w:hint="default" w:ascii="Calibri Light" w:hAnsi="Calibri Light" w:eastAsia="宋体" w:cs="Times New Roman"/>
          <w:b/>
          <w:bCs/>
          <w:kern w:val="0"/>
          <w:sz w:val="28"/>
          <w:szCs w:val="28"/>
          <w:lang w:val="en-US" w:eastAsia="zh-CN"/>
        </w:rPr>
      </w:pPr>
      <w:r>
        <w:rPr>
          <w:rFonts w:hint="eastAsia" w:cs="Times New Roman"/>
          <w:kern w:val="0"/>
          <w:sz w:val="24"/>
          <w:szCs w:val="28"/>
          <w:lang w:val="en-US" w:eastAsia="zh-CN"/>
        </w:rPr>
        <w:t>在文本层面将完成一篇结构完整、逻辑严谨、数据详实、创新明确的高质量硕士学位论文，完全满足研究生毕业的学术规范与评审要求。</w:t>
      </w:r>
    </w:p>
    <w:p w14:paraId="5B73D1F9">
      <w:pPr>
        <w:numPr>
          <w:ilvl w:val="0"/>
          <w:numId w:val="1"/>
        </w:numPr>
        <w:outlineLvl w:val="0"/>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rPr>
        <w:t>研究范围与目前进展情况（章节目安排）</w:t>
      </w:r>
    </w:p>
    <w:p w14:paraId="46914E88">
      <w:pPr>
        <w:numPr>
          <w:ilvl w:val="0"/>
          <w:numId w:val="5"/>
        </w:numPr>
        <w:spacing w:line="300" w:lineRule="auto"/>
        <w:ind w:firstLine="562" w:firstLineChars="200"/>
        <w:jc w:val="left"/>
        <w:outlineLvl w:val="1"/>
        <w:rPr>
          <w:rFonts w:hint="default" w:ascii="Calibri Light" w:hAnsi="Calibri Light" w:eastAsia="宋体" w:cs="Times New Roman"/>
          <w:b/>
          <w:bCs/>
          <w:kern w:val="0"/>
          <w:sz w:val="28"/>
          <w:szCs w:val="28"/>
          <w:lang w:val="en-US" w:eastAsia="zh-CN"/>
        </w:rPr>
      </w:pPr>
      <w:r>
        <w:rPr>
          <w:rFonts w:hint="eastAsia" w:ascii="Calibri Light" w:hAnsi="Calibri Light" w:eastAsia="宋体" w:cs="Times New Roman"/>
          <w:b/>
          <w:bCs/>
          <w:kern w:val="0"/>
          <w:sz w:val="28"/>
          <w:szCs w:val="28"/>
          <w:lang w:val="en-US" w:eastAsia="zh-CN"/>
        </w:rPr>
        <w:t>研究</w:t>
      </w:r>
      <w:r>
        <w:rPr>
          <w:rFonts w:hint="eastAsia" w:ascii="Calibri Light" w:hAnsi="Calibri Light" w:cs="Times New Roman"/>
          <w:b/>
          <w:bCs/>
          <w:kern w:val="0"/>
          <w:sz w:val="28"/>
          <w:szCs w:val="28"/>
          <w:lang w:val="en-US" w:eastAsia="zh-CN"/>
        </w:rPr>
        <w:t>范围</w:t>
      </w:r>
    </w:p>
    <w:p w14:paraId="5A545808">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default" w:ascii="Calibri Light" w:hAnsi="Calibri Light" w:eastAsia="宋体" w:cs="Times New Roman"/>
          <w:b/>
          <w:bCs/>
          <w:kern w:val="0"/>
          <w:sz w:val="28"/>
          <w:szCs w:val="28"/>
          <w:lang w:val="en-US" w:eastAsia="zh-CN"/>
        </w:rPr>
      </w:pPr>
      <w:r>
        <w:rPr>
          <w:rFonts w:hint="eastAsia" w:cs="Times New Roman"/>
          <w:kern w:val="0"/>
          <w:sz w:val="24"/>
          <w:szCs w:val="28"/>
          <w:lang w:val="en-US" w:eastAsia="zh-CN"/>
        </w:rPr>
        <w:t>本文研究对象为2022Q1-2025Q3美国</w:t>
      </w:r>
      <w:r>
        <w:rPr>
          <w:rFonts w:hint="eastAsia" w:ascii="Times New Roman" w:hAnsi="Times New Roman" w:eastAsia="宋体" w:cs="Times New Roman"/>
          <w:kern w:val="0"/>
          <w:sz w:val="24"/>
          <w:szCs w:val="28"/>
          <w:lang w:val="en-US" w:eastAsia="zh-CN"/>
        </w:rPr>
        <w:t>Freddie Mac</w:t>
      </w:r>
      <w:r>
        <w:rPr>
          <w:rFonts w:hint="eastAsia" w:cs="Times New Roman"/>
          <w:kern w:val="0"/>
          <w:sz w:val="24"/>
          <w:szCs w:val="28"/>
          <w:lang w:val="en-US" w:eastAsia="zh-CN"/>
        </w:rPr>
        <w:t>单户住房贷款样本，以贷款发放后24个月为违约观测窗口，聚焦个人住房信贷违约二分类预测问题。研究范围涵盖数据预处理、不平衡样本增强、多模型集成建模、跨周期模型验证、可解释性分析全流程，重点探究右删失数据价值挖掘、边界感知生成机制、跨周期风险差异三大核心内容。</w:t>
      </w:r>
    </w:p>
    <w:p w14:paraId="55A772DB">
      <w:pPr>
        <w:numPr>
          <w:ilvl w:val="0"/>
          <w:numId w:val="5"/>
        </w:numPr>
        <w:spacing w:line="300" w:lineRule="auto"/>
        <w:ind w:firstLine="562" w:firstLineChars="200"/>
        <w:jc w:val="left"/>
        <w:outlineLvl w:val="1"/>
        <w:rPr>
          <w:rFonts w:hint="default" w:ascii="Calibri Light" w:hAnsi="Calibri Light" w:eastAsia="宋体" w:cs="Times New Roman"/>
          <w:b/>
          <w:bCs/>
          <w:kern w:val="0"/>
          <w:sz w:val="28"/>
          <w:szCs w:val="28"/>
          <w:lang w:val="en-US" w:eastAsia="zh-CN"/>
        </w:rPr>
      </w:pPr>
      <w:r>
        <w:rPr>
          <w:rFonts w:hint="eastAsia" w:ascii="Calibri Light" w:hAnsi="Calibri Light" w:cs="Times New Roman"/>
          <w:b/>
          <w:bCs/>
          <w:kern w:val="0"/>
          <w:sz w:val="28"/>
          <w:szCs w:val="28"/>
          <w:lang w:val="en-US" w:eastAsia="zh-CN"/>
        </w:rPr>
        <w:t>论文章节安排</w:t>
      </w:r>
    </w:p>
    <w:p w14:paraId="4706445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本文整体论文框架共设置九大章节：</w:t>
      </w:r>
    </w:p>
    <w:p w14:paraId="2222620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绪论部分主要阐述研究背景、研究意义、核心研究问题、国内外研究综述与研究内容，搭建全文整体研究框架。</w:t>
      </w:r>
    </w:p>
    <w:p w14:paraId="26ABBDA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第二章为研究方法的理论基础。该章节将系统介绍WGAN-GP、边界感知机制、Stacking集成学习、SHAP可解释性算法的核心理论与技术原理。</w:t>
      </w:r>
    </w:p>
    <w:p w14:paraId="79170A53">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第三章为数据集与数据预处理。该章节将详细说明数据来源、样本筛选规则、违约标签定义、特征编码方式、右删失样本处理方案与样本统计特征。</w:t>
      </w:r>
    </w:p>
    <w:p w14:paraId="379CAA98">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第四章为基于BA-cWGAN-GP的违约样本增强方法。该章节将构建边界感知条件生成模型，设计删失数据引导机制，完成多模型对照实验，验证样本增强效果。</w:t>
      </w:r>
    </w:p>
    <w:p w14:paraId="5017F41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第五章为基于Stacking的集成学习模型构建。该章节将搭建多基学习器Stacking集成框架，对比不同基模型组合的预测性能，确定最优模型结构。</w:t>
      </w:r>
    </w:p>
    <w:p w14:paraId="1C1E9A11">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第六章为实验设计与结果分析。该章节将设置多组对照实验，从准确率、AUC、召回率等多维度对比模型性能，验证模型跨周期泛化能力。</w:t>
      </w:r>
    </w:p>
    <w:p w14:paraId="357C6F7E">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第七章为基于SHAP的模型可解释性分析。该章节将开展全局特征贡献与局部样本解释，对比不同经济周期的风险特征差异，提炼风控规则。</w:t>
      </w:r>
    </w:p>
    <w:p w14:paraId="6984C7C0">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default" w:cs="Times New Roman"/>
          <w:kern w:val="0"/>
          <w:sz w:val="24"/>
          <w:szCs w:val="28"/>
          <w:lang w:val="en-US" w:eastAsia="zh-CN"/>
        </w:rPr>
      </w:pPr>
      <w:r>
        <w:rPr>
          <w:rFonts w:hint="eastAsia" w:cs="Times New Roman"/>
          <w:kern w:val="0"/>
          <w:sz w:val="24"/>
          <w:szCs w:val="28"/>
          <w:lang w:val="en-US" w:eastAsia="zh-CN"/>
        </w:rPr>
        <w:t>第八章为总结与展望。该章节将梳理全文研究结论，分析研究存在的不足，对未来跨周期智能风控研究进行展望。</w:t>
      </w:r>
    </w:p>
    <w:p w14:paraId="02C8F9E1">
      <w:pPr>
        <w:numPr>
          <w:ilvl w:val="0"/>
          <w:numId w:val="5"/>
        </w:numPr>
        <w:spacing w:line="300" w:lineRule="auto"/>
        <w:ind w:firstLine="562" w:firstLineChars="200"/>
        <w:jc w:val="left"/>
        <w:outlineLvl w:val="1"/>
        <w:rPr>
          <w:rFonts w:hint="default" w:ascii="Calibri Light" w:hAnsi="Calibri Light" w:eastAsia="宋体" w:cs="Times New Roman"/>
          <w:b/>
          <w:bCs/>
          <w:kern w:val="0"/>
          <w:sz w:val="28"/>
          <w:szCs w:val="28"/>
          <w:lang w:val="en-US" w:eastAsia="zh-CN"/>
        </w:rPr>
      </w:pPr>
      <w:r>
        <w:rPr>
          <w:rFonts w:hint="eastAsia" w:ascii="Calibri Light" w:hAnsi="Calibri Light" w:cs="Times New Roman"/>
          <w:b/>
          <w:bCs/>
          <w:kern w:val="0"/>
          <w:sz w:val="28"/>
          <w:szCs w:val="28"/>
          <w:lang w:val="en-US" w:eastAsia="zh-CN"/>
        </w:rPr>
        <w:t>目前研究进展</w:t>
      </w:r>
    </w:p>
    <w:p w14:paraId="5F5257F0">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outlineLvl w:val="9"/>
        <w:rPr>
          <w:rFonts w:hint="eastAsia" w:cs="Times New Roman"/>
          <w:kern w:val="0"/>
          <w:sz w:val="24"/>
          <w:szCs w:val="28"/>
          <w:lang w:val="en-US" w:eastAsia="zh-CN"/>
        </w:rPr>
      </w:pPr>
      <w:r>
        <w:rPr>
          <w:rFonts w:hint="eastAsia" w:cs="Times New Roman"/>
          <w:kern w:val="0"/>
          <w:sz w:val="24"/>
          <w:szCs w:val="28"/>
          <w:lang w:val="en-US" w:eastAsia="zh-CN"/>
        </w:rPr>
        <w:t>目前本文已完整完成数据集筛选、预处理与样本划分等全部前期基础性工作，为后续不平衡样本增强、集成建模与实证分析筑牢数据基础。</w:t>
      </w:r>
    </w:p>
    <w:p w14:paraId="1E7373B9">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outlineLvl w:val="9"/>
        <w:rPr>
          <w:rFonts w:hint="eastAsia" w:cs="Times New Roman"/>
          <w:b/>
          <w:bCs/>
          <w:kern w:val="0"/>
          <w:sz w:val="24"/>
          <w:szCs w:val="28"/>
          <w:lang w:val="en-US" w:eastAsia="zh-CN"/>
        </w:rPr>
      </w:pPr>
      <w:r>
        <w:rPr>
          <w:rFonts w:hint="eastAsia" w:cs="Times New Roman"/>
          <w:b/>
          <w:bCs/>
          <w:kern w:val="0"/>
          <w:sz w:val="24"/>
          <w:szCs w:val="28"/>
          <w:lang w:val="en-US" w:eastAsia="zh-CN"/>
        </w:rPr>
        <w:t>1.数据来源</w:t>
      </w:r>
    </w:p>
    <w:p w14:paraId="405B3A5C">
      <w:pPr>
        <w:widowControl w:val="0"/>
        <w:spacing w:line="300" w:lineRule="auto"/>
        <w:ind w:firstLine="480" w:firstLineChars="200"/>
        <w:jc w:val="both"/>
        <w:outlineLvl w:val="9"/>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本文实证分析数据取自房地美（Freddie Mac）公开数据库。房地美作为1970年由美国国会设立的政府支持机构，核心使命是维护住房信贷市场平稳运行。研究采用其发布的单户住宅贷款层级数据集 SFLLD，样本包含贷款初始核发的基础静态指标，以及贷款存续期间每月的还款状态动态数据，数据维度完整，可支撑信贷违约相关实证探究。</w:t>
      </w:r>
    </w:p>
    <w:p w14:paraId="472A1E10">
      <w:pPr>
        <w:spacing w:line="300" w:lineRule="auto"/>
        <w:ind w:firstLine="482" w:firstLineChars="200"/>
        <w:jc w:val="both"/>
        <w:outlineLvl w:val="9"/>
        <w:rPr>
          <w:rFonts w:hint="default" w:cs="Times New Roman"/>
          <w:b/>
          <w:bCs/>
          <w:kern w:val="0"/>
          <w:sz w:val="24"/>
          <w:szCs w:val="28"/>
          <w:lang w:val="en-US" w:eastAsia="zh-CN"/>
        </w:rPr>
      </w:pPr>
      <w:r>
        <w:rPr>
          <w:rFonts w:hint="eastAsia" w:cs="Times New Roman"/>
          <w:b/>
          <w:bCs/>
          <w:kern w:val="0"/>
          <w:sz w:val="24"/>
          <w:szCs w:val="28"/>
          <w:lang w:val="en-US" w:eastAsia="zh-CN"/>
        </w:rPr>
        <w:t>2.变量说明</w:t>
      </w:r>
    </w:p>
    <w:p w14:paraId="7B770FAE">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本文选取了2022Q1至2025Q3期间的Freddie Mac单户住房贷款作为研究对象，数据集共包括两张子表，分别是：静态的贷款发放时的记录和每一条贷款动态的月度表现记录。</w:t>
      </w:r>
    </w:p>
    <w:p w14:paraId="630DA4AA">
      <w:pPr>
        <w:spacing w:line="300" w:lineRule="auto"/>
        <w:ind w:firstLine="480" w:firstLineChars="200"/>
        <w:jc w:val="both"/>
        <w:outlineLvl w:val="9"/>
        <w:rPr>
          <w:rFonts w:hint="eastAsia" w:cs="宋体"/>
          <w:kern w:val="0"/>
          <w:sz w:val="24"/>
          <w:szCs w:val="24"/>
          <w:lang w:val="en-US" w:eastAsia="zh-CN" w:bidi="ar"/>
        </w:rPr>
      </w:pPr>
      <w:r>
        <w:rPr>
          <w:rFonts w:hint="eastAsia" w:cs="Times New Roman"/>
          <w:kern w:val="0"/>
          <w:sz w:val="24"/>
          <w:szCs w:val="28"/>
          <w:lang w:val="en-US" w:eastAsia="zh-CN"/>
        </w:rPr>
        <w:t>由于月度动态贷款数据中一条贷款记录每个月一条，因此原始数据中单一的贷款记录可能存在多条记录，为确保一个贷款记录仅有一条数据，本文根据不同的变量类型进行了对应的汇总策略：对于数值型变量选取观测期内最大值进行合并；对于日期型变量，保留观测期内最近日期的数据。通过上述汇总处理过程，使数据集变为以贷款记录</w:t>
      </w:r>
      <w:r>
        <w:rPr>
          <w:rFonts w:hint="default" w:cs="Times New Roman"/>
          <w:kern w:val="0"/>
          <w:sz w:val="24"/>
          <w:szCs w:val="28"/>
          <w:lang w:val="en-US" w:eastAsia="zh-CN"/>
        </w:rPr>
        <w:t>Loanref</w:t>
      </w:r>
      <w:r>
        <w:rPr>
          <w:rFonts w:hint="eastAsia" w:cs="Times New Roman"/>
          <w:kern w:val="0"/>
          <w:sz w:val="24"/>
          <w:szCs w:val="28"/>
          <w:lang w:val="en-US" w:eastAsia="zh-CN"/>
        </w:rPr>
        <w:t>为索引的唯一性数据，最终数据集包含</w:t>
      </w:r>
      <w:r>
        <w:rPr>
          <w:rFonts w:ascii="Times New Roman" w:hAnsi="Times New Roman" w:eastAsia="宋体" w:cs="宋体"/>
          <w:kern w:val="0"/>
          <w:sz w:val="24"/>
          <w:szCs w:val="24"/>
          <w:lang w:val="en-US" w:eastAsia="zh-CN" w:bidi="ar"/>
        </w:rPr>
        <w:t>1022701</w:t>
      </w:r>
      <w:r>
        <w:rPr>
          <w:rFonts w:hint="eastAsia" w:cs="宋体"/>
          <w:kern w:val="0"/>
          <w:sz w:val="24"/>
          <w:szCs w:val="24"/>
          <w:lang w:val="en-US" w:eastAsia="zh-CN" w:bidi="ar"/>
        </w:rPr>
        <w:t>条记录。</w:t>
      </w:r>
    </w:p>
    <w:p w14:paraId="1D862170">
      <w:pPr>
        <w:spacing w:line="300" w:lineRule="auto"/>
        <w:ind w:firstLine="480" w:firstLineChars="200"/>
        <w:jc w:val="both"/>
        <w:outlineLvl w:val="9"/>
        <w:rPr>
          <w:rFonts w:hint="eastAsia" w:cs="宋体"/>
          <w:kern w:val="0"/>
          <w:sz w:val="24"/>
          <w:szCs w:val="24"/>
          <w:lang w:val="en-US" w:eastAsia="zh-CN" w:bidi="ar"/>
        </w:rPr>
      </w:pPr>
      <w:r>
        <w:rPr>
          <w:rFonts w:hint="eastAsia" w:cs="宋体"/>
          <w:kern w:val="0"/>
          <w:sz w:val="24"/>
          <w:szCs w:val="24"/>
          <w:lang w:val="en-US" w:eastAsia="zh-CN" w:bidi="ar"/>
        </w:rPr>
        <w:t>（1）目标变量</w:t>
      </w:r>
    </w:p>
    <w:p w14:paraId="5DAA12A1">
      <w:pPr>
        <w:spacing w:line="300" w:lineRule="auto"/>
        <w:ind w:firstLine="480" w:firstLineChars="200"/>
        <w:jc w:val="both"/>
        <w:outlineLvl w:val="9"/>
        <w:rPr>
          <w:rFonts w:hint="eastAsia" w:cs="宋体"/>
          <w:kern w:val="0"/>
          <w:sz w:val="24"/>
          <w:szCs w:val="24"/>
          <w:lang w:val="en-US" w:eastAsia="zh-CN" w:bidi="ar"/>
        </w:rPr>
      </w:pPr>
      <w:r>
        <w:rPr>
          <w:rFonts w:hint="eastAsia" w:cs="宋体"/>
          <w:kern w:val="0"/>
          <w:sz w:val="24"/>
          <w:szCs w:val="24"/>
          <w:lang w:val="en-US" w:eastAsia="zh-CN" w:bidi="ar"/>
        </w:rPr>
        <w:t>本研究将贷款的样本数据的违约情况（DFlag）作为目标变量。</w:t>
      </w:r>
    </w:p>
    <w:p w14:paraId="31324E2D">
      <w:pPr>
        <w:spacing w:line="300" w:lineRule="auto"/>
        <w:ind w:firstLine="480" w:firstLineChars="200"/>
        <w:jc w:val="both"/>
        <w:outlineLvl w:val="9"/>
        <w:rPr>
          <w:rFonts w:hint="eastAsia" w:cs="宋体"/>
          <w:kern w:val="0"/>
          <w:sz w:val="24"/>
          <w:szCs w:val="24"/>
          <w:lang w:val="en-US" w:eastAsia="zh-CN" w:bidi="ar"/>
        </w:rPr>
      </w:pPr>
      <w:r>
        <w:rPr>
          <w:rFonts w:hint="eastAsia" w:cs="宋体"/>
          <w:kern w:val="0"/>
          <w:sz w:val="24"/>
          <w:szCs w:val="24"/>
          <w:lang w:val="en-US" w:eastAsia="zh-CN" w:bidi="ar"/>
        </w:rPr>
        <w:t>违约情况（DFlag）的观测窗口设定为贷款发放后24个月，取5种不同的变量值，分别为：还款正常、逾期30天结清、逾期60天结清、逾期超过90天未还款、有过止赎/处置处理的贷款。本文将前三种还款状态的用户合并形成正常用户，将逾期超过90天未还款或有过止赎/处置处理的贷款作为违约样本。以1代表违约贷款，0代表正常贷款。</w:t>
      </w:r>
    </w:p>
    <w:p w14:paraId="59F096C8">
      <w:pPr>
        <w:spacing w:line="300" w:lineRule="auto"/>
        <w:ind w:firstLine="480" w:firstLineChars="200"/>
        <w:jc w:val="both"/>
        <w:outlineLvl w:val="9"/>
        <w:rPr>
          <w:rFonts w:hint="default" w:cs="宋体"/>
          <w:kern w:val="0"/>
          <w:sz w:val="24"/>
          <w:szCs w:val="24"/>
          <w:lang w:val="en-US" w:eastAsia="zh-CN" w:bidi="ar"/>
        </w:rPr>
      </w:pPr>
      <w:r>
        <w:rPr>
          <w:rFonts w:hint="eastAsia" w:cs="宋体"/>
          <w:kern w:val="0"/>
          <w:sz w:val="24"/>
          <w:szCs w:val="24"/>
          <w:lang w:val="en-US" w:eastAsia="zh-CN" w:bidi="ar"/>
        </w:rPr>
        <w:t>最终得到</w:t>
      </w:r>
      <w:r>
        <w:rPr>
          <w:rFonts w:ascii="Times New Roman" w:hAnsi="Times New Roman" w:eastAsia="宋体" w:cs="宋体"/>
          <w:kern w:val="0"/>
          <w:sz w:val="24"/>
          <w:szCs w:val="24"/>
          <w:lang w:val="en-US" w:eastAsia="zh-CN" w:bidi="ar"/>
        </w:rPr>
        <w:t>违约样本42227</w:t>
      </w:r>
      <w:r>
        <w:rPr>
          <w:rFonts w:hint="eastAsia" w:cs="宋体"/>
          <w:kern w:val="0"/>
          <w:sz w:val="24"/>
          <w:szCs w:val="24"/>
          <w:lang w:val="en-US" w:eastAsia="zh-CN" w:bidi="ar"/>
        </w:rPr>
        <w:t>条</w:t>
      </w:r>
      <w:r>
        <w:rPr>
          <w:rFonts w:ascii="Times New Roman" w:hAnsi="Times New Roman" w:eastAsia="宋体" w:cs="宋体"/>
          <w:kern w:val="0"/>
          <w:sz w:val="24"/>
          <w:szCs w:val="24"/>
          <w:lang w:val="en-US" w:eastAsia="zh-CN" w:bidi="ar"/>
        </w:rPr>
        <w:t>，正常样本980474</w:t>
      </w:r>
      <w:r>
        <w:rPr>
          <w:rFonts w:hint="eastAsia" w:cs="宋体"/>
          <w:kern w:val="0"/>
          <w:sz w:val="24"/>
          <w:szCs w:val="24"/>
          <w:lang w:val="en-US" w:eastAsia="zh-CN" w:bidi="ar"/>
        </w:rPr>
        <w:t>条。</w:t>
      </w:r>
      <w:r>
        <w:rPr>
          <w:rFonts w:hint="eastAsia" w:ascii="Times New Roman" w:hAnsi="Times New Roman" w:eastAsia="宋体" w:cs="宋体"/>
          <w:kern w:val="0"/>
          <w:sz w:val="24"/>
          <w:szCs w:val="24"/>
          <w:lang w:val="en-US" w:eastAsia="zh-CN" w:bidi="ar"/>
        </w:rPr>
        <w:t>其中违约样本里，共有 8150笔贷款放款时间处于2023年第四季度至2025年第二季度，观测周期天然未满</w:t>
      </w:r>
      <w:r>
        <w:rPr>
          <w:rFonts w:hint="eastAsia" w:cs="宋体"/>
          <w:kern w:val="0"/>
          <w:sz w:val="24"/>
          <w:szCs w:val="24"/>
          <w:lang w:val="en-US" w:eastAsia="zh-CN" w:bidi="ar"/>
        </w:rPr>
        <w:t>24</w:t>
      </w:r>
      <w:r>
        <w:rPr>
          <w:rFonts w:hint="eastAsia" w:ascii="Times New Roman" w:hAnsi="Times New Roman" w:eastAsia="宋体" w:cs="宋体"/>
          <w:kern w:val="0"/>
          <w:sz w:val="24"/>
          <w:szCs w:val="24"/>
          <w:lang w:val="en-US" w:eastAsia="zh-CN" w:bidi="ar"/>
        </w:rPr>
        <w:t>个月，且该类贷款已在有限观测期内出现违约行为</w:t>
      </w:r>
      <w:r>
        <w:rPr>
          <w:rFonts w:hint="eastAsia" w:cs="宋体"/>
          <w:kern w:val="0"/>
          <w:sz w:val="24"/>
          <w:szCs w:val="24"/>
          <w:lang w:val="en-US" w:eastAsia="zh-CN" w:bidi="ar"/>
        </w:rPr>
        <w:t>，</w:t>
      </w:r>
      <w:r>
        <w:rPr>
          <w:rFonts w:hint="eastAsia" w:ascii="Times New Roman" w:hAnsi="Times New Roman" w:eastAsia="宋体" w:cs="宋体"/>
          <w:kern w:val="0"/>
          <w:sz w:val="24"/>
          <w:szCs w:val="24"/>
          <w:lang w:val="en-US" w:eastAsia="zh-CN" w:bidi="ar"/>
        </w:rPr>
        <w:t>此部分样本单独划为右删失纯违约数据集，留存用于后续数据生成与模型训练。</w:t>
      </w:r>
    </w:p>
    <w:p w14:paraId="286ACE9E">
      <w:pPr>
        <w:spacing w:line="300" w:lineRule="auto"/>
        <w:ind w:firstLine="480" w:firstLineChars="200"/>
        <w:jc w:val="both"/>
        <w:outlineLvl w:val="9"/>
        <w:rPr>
          <w:rFonts w:hint="eastAsia" w:cs="宋体"/>
          <w:kern w:val="0"/>
          <w:sz w:val="24"/>
          <w:szCs w:val="24"/>
          <w:lang w:val="en-US" w:eastAsia="zh-CN" w:bidi="ar"/>
        </w:rPr>
      </w:pPr>
      <w:r>
        <w:rPr>
          <w:rFonts w:hint="eastAsia" w:cs="宋体"/>
          <w:kern w:val="0"/>
          <w:sz w:val="24"/>
          <w:szCs w:val="24"/>
          <w:lang w:val="en-US" w:eastAsia="zh-CN" w:bidi="ar"/>
        </w:rPr>
        <w:t>（2）自变量</w:t>
      </w:r>
    </w:p>
    <w:p w14:paraId="3C2C1008">
      <w:pPr>
        <w:spacing w:line="300" w:lineRule="auto"/>
        <w:ind w:firstLine="480" w:firstLineChars="200"/>
        <w:jc w:val="both"/>
        <w:outlineLvl w:val="9"/>
        <w:rPr>
          <w:rFonts w:hint="eastAsia" w:cs="宋体"/>
          <w:kern w:val="0"/>
          <w:sz w:val="24"/>
          <w:szCs w:val="24"/>
          <w:lang w:val="en-US" w:eastAsia="zh-CN" w:bidi="ar"/>
        </w:rPr>
      </w:pPr>
      <w:r>
        <w:rPr>
          <w:rFonts w:hint="eastAsia" w:cs="宋体"/>
          <w:kern w:val="0"/>
          <w:sz w:val="24"/>
          <w:szCs w:val="24"/>
          <w:lang w:val="en-US" w:eastAsia="zh-CN" w:bidi="ar"/>
        </w:rPr>
        <w:t>自变量来源于</w:t>
      </w:r>
      <w:r>
        <w:rPr>
          <w:rFonts w:hint="default" w:cs="宋体"/>
          <w:kern w:val="0"/>
          <w:sz w:val="24"/>
          <w:szCs w:val="24"/>
          <w:lang w:val="en-US" w:eastAsia="zh-CN" w:bidi="ar"/>
        </w:rPr>
        <w:t>贷款发放时的Origination数据</w:t>
      </w:r>
      <w:r>
        <w:rPr>
          <w:rFonts w:hint="eastAsia" w:cs="宋体"/>
          <w:kern w:val="0"/>
          <w:sz w:val="24"/>
          <w:szCs w:val="24"/>
          <w:lang w:val="en-US" w:eastAsia="zh-CN" w:bidi="ar"/>
        </w:rPr>
        <w:t>，原始数据集包含13个预测变量，涵盖借款人个人信息、贷款合约信息、房产属性、借贷渠道、地理位置五个维度，具体分布如表2。</w:t>
      </w:r>
    </w:p>
    <w:p w14:paraId="5477A5E3">
      <w:pPr>
        <w:pStyle w:val="3"/>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eastAsia="宋体" w:cs="宋体"/>
          <w:kern w:val="0"/>
          <w:sz w:val="24"/>
          <w:szCs w:val="24"/>
          <w:lang w:val="en-US" w:eastAsia="zh-CN" w:bidi="ar"/>
        </w:rPr>
      </w:pPr>
      <w:r>
        <w:rPr>
          <w:rFonts w:hint="eastAsia" w:ascii="Times New Roman" w:hAnsi="Times New Roman" w:eastAsia="宋体" w:cs="Times New Roman"/>
          <w:b/>
          <w:bCs/>
          <w:kern w:val="0"/>
          <w:sz w:val="24"/>
          <w:szCs w:val="28"/>
        </w:rPr>
        <w:t xml:space="preserve">表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表 \* ARABIC </w:instrText>
      </w:r>
      <w:r>
        <w:rPr>
          <w:rFonts w:hint="eastAsia" w:ascii="Times New Roman" w:hAnsi="Times New Roman" w:eastAsia="宋体" w:cs="Times New Roman"/>
          <w:b/>
          <w:bCs/>
          <w:kern w:val="0"/>
          <w:sz w:val="24"/>
          <w:szCs w:val="28"/>
        </w:rPr>
        <w:fldChar w:fldCharType="separate"/>
      </w:r>
      <w:r>
        <w:rPr>
          <w:rFonts w:hint="eastAsia" w:ascii="Times New Roman" w:hAnsi="Times New Roman" w:eastAsia="宋体" w:cs="Times New Roman"/>
          <w:b/>
          <w:bCs/>
          <w:kern w:val="0"/>
          <w:sz w:val="24"/>
          <w:szCs w:val="28"/>
        </w:rPr>
        <w:t>2</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ascii="Times New Roman" w:hAnsi="Times New Roman" w:eastAsia="宋体" w:cs="Times New Roman"/>
          <w:b/>
          <w:bCs/>
          <w:kern w:val="0"/>
          <w:sz w:val="24"/>
          <w:szCs w:val="28"/>
          <w:lang w:val="en-US" w:eastAsia="zh-CN"/>
        </w:rPr>
        <w:t>变量表</w:t>
      </w:r>
    </w:p>
    <w:tbl>
      <w:tblPr>
        <w:tblStyle w:val="6"/>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2659"/>
        <w:gridCol w:w="4301"/>
      </w:tblGrid>
      <w:tr w14:paraId="6E62CB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tcBorders>
              <w:bottom w:val="single" w:color="auto" w:sz="6" w:space="0"/>
            </w:tcBorders>
            <w:vAlign w:val="center"/>
          </w:tcPr>
          <w:p w14:paraId="7075B23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一级指标</w:t>
            </w:r>
          </w:p>
        </w:tc>
        <w:tc>
          <w:tcPr>
            <w:tcW w:w="1560" w:type="pct"/>
            <w:tcBorders>
              <w:bottom w:val="single" w:color="auto" w:sz="6" w:space="0"/>
            </w:tcBorders>
            <w:vAlign w:val="center"/>
          </w:tcPr>
          <w:p w14:paraId="4A9B59C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 w:val="21"/>
                <w:szCs w:val="21"/>
                <w:lang w:val="en-US" w:eastAsia="zh-CN" w:bidi="ar-SA"/>
              </w:rPr>
            </w:pPr>
            <w:r>
              <w:rPr>
                <w:rFonts w:hint="eastAsia" w:cs="Times New Roman"/>
                <w:kern w:val="0"/>
                <w:szCs w:val="21"/>
                <w:lang w:val="en-US" w:eastAsia="zh-CN"/>
              </w:rPr>
              <w:t>二级指标</w:t>
            </w:r>
          </w:p>
        </w:tc>
        <w:tc>
          <w:tcPr>
            <w:tcW w:w="2524" w:type="pct"/>
            <w:tcBorders>
              <w:bottom w:val="single" w:color="auto" w:sz="6" w:space="0"/>
            </w:tcBorders>
            <w:vAlign w:val="center"/>
          </w:tcPr>
          <w:p w14:paraId="52C6C8E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对应变量名称</w:t>
            </w:r>
          </w:p>
        </w:tc>
      </w:tr>
      <w:tr w14:paraId="3CA87A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restart"/>
            <w:tcBorders>
              <w:top w:val="single" w:color="auto" w:sz="6" w:space="0"/>
              <w:tl2br w:val="nil"/>
              <w:tr2bl w:val="nil"/>
            </w:tcBorders>
            <w:vAlign w:val="center"/>
          </w:tcPr>
          <w:p w14:paraId="198C3F3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借贷人信息</w:t>
            </w:r>
          </w:p>
        </w:tc>
        <w:tc>
          <w:tcPr>
            <w:tcW w:w="1560" w:type="pct"/>
            <w:tcBorders>
              <w:top w:val="single" w:color="auto" w:sz="6" w:space="0"/>
              <w:tl2br w:val="nil"/>
              <w:tr2bl w:val="nil"/>
            </w:tcBorders>
            <w:vAlign w:val="center"/>
          </w:tcPr>
          <w:p w14:paraId="49A6C26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信用评分</w:t>
            </w:r>
          </w:p>
        </w:tc>
        <w:tc>
          <w:tcPr>
            <w:tcW w:w="2524" w:type="pct"/>
            <w:tcBorders>
              <w:top w:val="single" w:color="auto" w:sz="6" w:space="0"/>
              <w:tl2br w:val="nil"/>
              <w:tr2bl w:val="nil"/>
            </w:tcBorders>
            <w:vAlign w:val="center"/>
          </w:tcPr>
          <w:p w14:paraId="0592AAA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r>
              <w:rPr>
                <w:rFonts w:hint="default" w:cs="Times New Roman"/>
                <w:kern w:val="0"/>
                <w:szCs w:val="21"/>
                <w:lang w:val="en-US" w:eastAsia="zh-CN"/>
              </w:rPr>
              <w:t>Credit_Score</w:t>
            </w:r>
          </w:p>
        </w:tc>
      </w:tr>
      <w:tr w14:paraId="6A648C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15" w:type="pct"/>
            <w:vMerge w:val="continue"/>
            <w:tcBorders>
              <w:tl2br w:val="nil"/>
              <w:tr2bl w:val="nil"/>
            </w:tcBorders>
            <w:vAlign w:val="center"/>
          </w:tcPr>
          <w:p w14:paraId="50ECB28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rPr>
            </w:pPr>
          </w:p>
        </w:tc>
        <w:tc>
          <w:tcPr>
            <w:tcW w:w="1560" w:type="pct"/>
            <w:tcBorders>
              <w:tl2br w:val="nil"/>
              <w:tr2bl w:val="nil"/>
            </w:tcBorders>
            <w:vAlign w:val="center"/>
          </w:tcPr>
          <w:p w14:paraId="7D55F86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债务收入比</w:t>
            </w:r>
          </w:p>
        </w:tc>
        <w:tc>
          <w:tcPr>
            <w:tcW w:w="2524" w:type="pct"/>
            <w:tcBorders>
              <w:tl2br w:val="nil"/>
              <w:tr2bl w:val="nil"/>
            </w:tcBorders>
            <w:vAlign w:val="center"/>
          </w:tcPr>
          <w:p w14:paraId="6590381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Original_Debt_To_Income_DTI_Ratio</w:t>
            </w:r>
          </w:p>
        </w:tc>
      </w:tr>
      <w:tr w14:paraId="36155E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3E58406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p>
        </w:tc>
        <w:tc>
          <w:tcPr>
            <w:tcW w:w="1560" w:type="pct"/>
            <w:tcBorders>
              <w:tl2br w:val="nil"/>
              <w:tr2bl w:val="nil"/>
            </w:tcBorders>
            <w:vAlign w:val="center"/>
          </w:tcPr>
          <w:p w14:paraId="6B776D1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借款人人数</w:t>
            </w:r>
          </w:p>
        </w:tc>
        <w:tc>
          <w:tcPr>
            <w:tcW w:w="2524" w:type="pct"/>
            <w:tcBorders>
              <w:tl2br w:val="nil"/>
              <w:tr2bl w:val="nil"/>
            </w:tcBorders>
            <w:vAlign w:val="center"/>
          </w:tcPr>
          <w:p w14:paraId="5FACD92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Number_of_Borrowers</w:t>
            </w:r>
          </w:p>
        </w:tc>
      </w:tr>
      <w:tr w14:paraId="0E9F02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restart"/>
            <w:tcBorders>
              <w:tl2br w:val="nil"/>
              <w:tr2bl w:val="nil"/>
            </w:tcBorders>
            <w:shd w:val="clear"/>
            <w:vAlign w:val="center"/>
          </w:tcPr>
          <w:p w14:paraId="3C07628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贷款合约信息</w:t>
            </w:r>
          </w:p>
        </w:tc>
        <w:tc>
          <w:tcPr>
            <w:tcW w:w="1560" w:type="pct"/>
            <w:tcBorders>
              <w:tl2br w:val="nil"/>
              <w:tr2bl w:val="nil"/>
            </w:tcBorders>
            <w:vAlign w:val="center"/>
          </w:tcPr>
          <w:p w14:paraId="74DD1A6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按揭保险比例</w:t>
            </w:r>
          </w:p>
        </w:tc>
        <w:tc>
          <w:tcPr>
            <w:tcW w:w="2524" w:type="pct"/>
            <w:tcBorders>
              <w:tl2br w:val="nil"/>
              <w:tr2bl w:val="nil"/>
            </w:tcBorders>
            <w:vAlign w:val="center"/>
          </w:tcPr>
          <w:p w14:paraId="3F1DE42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Mortgage_Insurance_Percentage</w:t>
            </w:r>
          </w:p>
        </w:tc>
      </w:tr>
      <w:tr w14:paraId="785041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shd w:val="clear"/>
            <w:vAlign w:val="center"/>
          </w:tcPr>
          <w:p w14:paraId="740200A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kern w:val="0"/>
                <w:sz w:val="21"/>
                <w:szCs w:val="21"/>
                <w:lang w:val="en-US" w:eastAsia="zh-CN" w:bidi="ar-SA"/>
              </w:rPr>
            </w:pPr>
          </w:p>
        </w:tc>
        <w:tc>
          <w:tcPr>
            <w:tcW w:w="1560" w:type="pct"/>
            <w:tcBorders>
              <w:tl2br w:val="nil"/>
              <w:tr2bl w:val="nil"/>
            </w:tcBorders>
            <w:vAlign w:val="center"/>
          </w:tcPr>
          <w:p w14:paraId="475F632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合并贷款价值比</w:t>
            </w:r>
          </w:p>
        </w:tc>
        <w:tc>
          <w:tcPr>
            <w:tcW w:w="2524" w:type="pct"/>
            <w:tcBorders>
              <w:tl2br w:val="nil"/>
              <w:tr2bl w:val="nil"/>
            </w:tcBorders>
            <w:vAlign w:val="center"/>
          </w:tcPr>
          <w:p w14:paraId="4FF4AC8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Original_Combined_Loan_To_Value_CLTV</w:t>
            </w:r>
          </w:p>
        </w:tc>
      </w:tr>
      <w:tr w14:paraId="1DB9BA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524C505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61CA038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首贷贷款价值比</w:t>
            </w:r>
          </w:p>
        </w:tc>
        <w:tc>
          <w:tcPr>
            <w:tcW w:w="2524" w:type="pct"/>
            <w:tcBorders>
              <w:tl2br w:val="nil"/>
              <w:tr2bl w:val="nil"/>
            </w:tcBorders>
            <w:vAlign w:val="center"/>
          </w:tcPr>
          <w:p w14:paraId="10B56E7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Original_Loan_To_Value_LTV</w:t>
            </w:r>
          </w:p>
        </w:tc>
      </w:tr>
      <w:tr w14:paraId="0A4D56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1D30D5F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26FD817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贷款目的</w:t>
            </w:r>
          </w:p>
        </w:tc>
        <w:tc>
          <w:tcPr>
            <w:tcW w:w="2524" w:type="pct"/>
            <w:tcBorders>
              <w:tl2br w:val="nil"/>
              <w:tr2bl w:val="nil"/>
            </w:tcBorders>
            <w:vAlign w:val="center"/>
          </w:tcPr>
          <w:p w14:paraId="4F89AA5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Loan_Purpose</w:t>
            </w:r>
          </w:p>
        </w:tc>
      </w:tr>
      <w:tr w14:paraId="4136A4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5E8328D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2B7D796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首次购房者标识</w:t>
            </w:r>
          </w:p>
        </w:tc>
        <w:tc>
          <w:tcPr>
            <w:tcW w:w="2524" w:type="pct"/>
            <w:tcBorders>
              <w:tl2br w:val="nil"/>
              <w:tr2bl w:val="nil"/>
            </w:tcBorders>
            <w:vAlign w:val="center"/>
          </w:tcPr>
          <w:p w14:paraId="113D241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First_Time_Homebuyer_Flag</w:t>
            </w:r>
          </w:p>
        </w:tc>
      </w:tr>
      <w:tr w14:paraId="5A15A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restart"/>
            <w:tcBorders>
              <w:tl2br w:val="nil"/>
              <w:tr2bl w:val="nil"/>
            </w:tcBorders>
            <w:vAlign w:val="center"/>
          </w:tcPr>
          <w:p w14:paraId="6FCB81C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r>
              <w:rPr>
                <w:rFonts w:hint="eastAsia" w:cs="Times New Roman"/>
                <w:kern w:val="0"/>
                <w:szCs w:val="21"/>
                <w:lang w:val="en-US" w:eastAsia="zh-CN"/>
              </w:rPr>
              <w:t>房产属性</w:t>
            </w:r>
          </w:p>
        </w:tc>
        <w:tc>
          <w:tcPr>
            <w:tcW w:w="1560" w:type="pct"/>
            <w:tcBorders>
              <w:tl2br w:val="nil"/>
              <w:tr2bl w:val="nil"/>
            </w:tcBorders>
            <w:vAlign w:val="center"/>
          </w:tcPr>
          <w:p w14:paraId="489CBBB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房屋单元数</w:t>
            </w:r>
          </w:p>
        </w:tc>
        <w:tc>
          <w:tcPr>
            <w:tcW w:w="2524" w:type="pct"/>
            <w:tcBorders>
              <w:tl2br w:val="nil"/>
              <w:tr2bl w:val="nil"/>
            </w:tcBorders>
            <w:vAlign w:val="center"/>
          </w:tcPr>
          <w:p w14:paraId="3AF7C2C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Number_of_Units</w:t>
            </w:r>
          </w:p>
        </w:tc>
      </w:tr>
      <w:tr w14:paraId="689842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0071215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730C9BA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入住状态</w:t>
            </w:r>
          </w:p>
        </w:tc>
        <w:tc>
          <w:tcPr>
            <w:tcW w:w="2524" w:type="pct"/>
            <w:tcBorders>
              <w:tl2br w:val="nil"/>
              <w:tr2bl w:val="nil"/>
            </w:tcBorders>
            <w:vAlign w:val="center"/>
          </w:tcPr>
          <w:p w14:paraId="7FB362D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Occupancy_Status</w:t>
            </w:r>
          </w:p>
        </w:tc>
      </w:tr>
      <w:tr w14:paraId="20A974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vMerge w:val="continue"/>
            <w:tcBorders>
              <w:tl2br w:val="nil"/>
              <w:tr2bl w:val="nil"/>
            </w:tcBorders>
            <w:vAlign w:val="center"/>
          </w:tcPr>
          <w:p w14:paraId="4C49A6D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cs="Times New Roman"/>
                <w:kern w:val="0"/>
                <w:szCs w:val="21"/>
                <w:lang w:val="en-US" w:eastAsia="zh-CN"/>
              </w:rPr>
            </w:pPr>
          </w:p>
        </w:tc>
        <w:tc>
          <w:tcPr>
            <w:tcW w:w="1560" w:type="pct"/>
            <w:tcBorders>
              <w:tl2br w:val="nil"/>
              <w:tr2bl w:val="nil"/>
            </w:tcBorders>
            <w:vAlign w:val="center"/>
          </w:tcPr>
          <w:p w14:paraId="7ACA4BB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房产类型</w:t>
            </w:r>
          </w:p>
        </w:tc>
        <w:tc>
          <w:tcPr>
            <w:tcW w:w="2524" w:type="pct"/>
            <w:tcBorders>
              <w:tl2br w:val="nil"/>
              <w:tr2bl w:val="nil"/>
            </w:tcBorders>
            <w:vAlign w:val="center"/>
          </w:tcPr>
          <w:p w14:paraId="6908B3A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Property_Type</w:t>
            </w:r>
          </w:p>
        </w:tc>
      </w:tr>
      <w:tr w14:paraId="18075A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tcBorders>
              <w:tl2br w:val="nil"/>
              <w:tr2bl w:val="nil"/>
            </w:tcBorders>
            <w:vAlign w:val="center"/>
          </w:tcPr>
          <w:p w14:paraId="3527430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贷款渠道</w:t>
            </w:r>
          </w:p>
        </w:tc>
        <w:tc>
          <w:tcPr>
            <w:tcW w:w="1560" w:type="pct"/>
            <w:tcBorders>
              <w:tl2br w:val="nil"/>
              <w:tr2bl w:val="nil"/>
            </w:tcBorders>
            <w:vAlign w:val="center"/>
          </w:tcPr>
          <w:p w14:paraId="4A65125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贷款申办的业务来源路径</w:t>
            </w:r>
          </w:p>
        </w:tc>
        <w:tc>
          <w:tcPr>
            <w:tcW w:w="2524" w:type="pct"/>
            <w:tcBorders>
              <w:tl2br w:val="nil"/>
              <w:tr2bl w:val="nil"/>
            </w:tcBorders>
            <w:vAlign w:val="center"/>
          </w:tcPr>
          <w:p w14:paraId="1065AB4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Channel</w:t>
            </w:r>
          </w:p>
        </w:tc>
      </w:tr>
      <w:tr w14:paraId="1592E0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5" w:type="pct"/>
            <w:tcBorders>
              <w:tl2br w:val="nil"/>
              <w:tr2bl w:val="nil"/>
            </w:tcBorders>
            <w:vAlign w:val="center"/>
          </w:tcPr>
          <w:p w14:paraId="58E09BC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地理位置</w:t>
            </w:r>
          </w:p>
        </w:tc>
        <w:tc>
          <w:tcPr>
            <w:tcW w:w="1560" w:type="pct"/>
            <w:tcBorders>
              <w:tl2br w:val="nil"/>
              <w:tr2bl w:val="nil"/>
            </w:tcBorders>
            <w:vAlign w:val="center"/>
          </w:tcPr>
          <w:p w14:paraId="4809BAF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房产所在州</w:t>
            </w:r>
          </w:p>
        </w:tc>
        <w:tc>
          <w:tcPr>
            <w:tcW w:w="2524" w:type="pct"/>
            <w:tcBorders>
              <w:tl2br w:val="nil"/>
              <w:tr2bl w:val="nil"/>
            </w:tcBorders>
            <w:vAlign w:val="center"/>
          </w:tcPr>
          <w:p w14:paraId="1219F25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s="Times New Roman"/>
                <w:kern w:val="0"/>
                <w:szCs w:val="21"/>
                <w:lang w:val="en-US" w:eastAsia="zh-CN"/>
              </w:rPr>
            </w:pPr>
            <w:r>
              <w:rPr>
                <w:rFonts w:hint="eastAsia" w:cs="Times New Roman"/>
                <w:kern w:val="0"/>
                <w:szCs w:val="21"/>
                <w:lang w:val="en-US" w:eastAsia="zh-CN"/>
              </w:rPr>
              <w:t>Property_State</w:t>
            </w:r>
          </w:p>
        </w:tc>
      </w:tr>
    </w:tbl>
    <w:p w14:paraId="615D767A">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outlineLvl w:val="9"/>
        <w:rPr>
          <w:rFonts w:hint="default" w:cs="Times New Roman"/>
          <w:b/>
          <w:bCs/>
          <w:kern w:val="0"/>
          <w:sz w:val="24"/>
          <w:szCs w:val="28"/>
          <w:lang w:val="en-US" w:eastAsia="zh-CN"/>
        </w:rPr>
      </w:pPr>
      <w:r>
        <w:rPr>
          <w:rFonts w:hint="eastAsia" w:cs="Times New Roman"/>
          <w:b/>
          <w:bCs/>
          <w:kern w:val="0"/>
          <w:sz w:val="24"/>
          <w:szCs w:val="28"/>
          <w:lang w:val="en-US" w:eastAsia="zh-CN"/>
        </w:rPr>
        <w:t>3.</w:t>
      </w:r>
      <w:r>
        <w:rPr>
          <w:rFonts w:hint="eastAsia" w:cs="宋体"/>
          <w:b/>
          <w:bCs/>
          <w:kern w:val="0"/>
          <w:sz w:val="24"/>
          <w:szCs w:val="24"/>
          <w:lang w:val="en-US" w:eastAsia="zh-CN" w:bidi="ar"/>
        </w:rPr>
        <w:t>数据预处理</w:t>
      </w:r>
    </w:p>
    <w:p w14:paraId="1B765BEE">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在进行数据均衡及建模之前，本研究将进行对获取的数据集进行数据清洗与预处理工作，预处理过程包括缺失值处理、样本筛选与编码</w:t>
      </w:r>
      <w:r>
        <w:rPr>
          <w:rFonts w:hint="default" w:cs="Times New Roman"/>
          <w:kern w:val="0"/>
          <w:sz w:val="24"/>
          <w:szCs w:val="28"/>
          <w:lang w:val="en-US" w:eastAsia="zh-CN"/>
        </w:rPr>
        <w:t>、违约速度标签构建以及特征筛选有效性验证</w:t>
      </w:r>
      <w:r>
        <w:rPr>
          <w:rFonts w:hint="eastAsia" w:cs="Times New Roman"/>
          <w:kern w:val="0"/>
          <w:sz w:val="24"/>
          <w:szCs w:val="28"/>
          <w:lang w:val="en-US" w:eastAsia="zh-CN"/>
        </w:rPr>
        <w:t>四个步骤</w:t>
      </w:r>
      <w:r>
        <w:rPr>
          <w:rFonts w:hint="default" w:cs="Times New Roman"/>
          <w:kern w:val="0"/>
          <w:sz w:val="24"/>
          <w:szCs w:val="28"/>
          <w:lang w:val="en-US" w:eastAsia="zh-CN"/>
        </w:rPr>
        <w:t>。</w:t>
      </w:r>
    </w:p>
    <w:p w14:paraId="7A4039C3">
      <w:pPr>
        <w:spacing w:line="300" w:lineRule="auto"/>
        <w:ind w:firstLine="482" w:firstLineChars="200"/>
        <w:jc w:val="both"/>
        <w:outlineLvl w:val="9"/>
        <w:rPr>
          <w:rFonts w:hint="eastAsia" w:cs="宋体"/>
          <w:b/>
          <w:bCs/>
          <w:kern w:val="0"/>
          <w:sz w:val="24"/>
          <w:szCs w:val="24"/>
          <w:lang w:val="en-US" w:eastAsia="zh-CN" w:bidi="ar"/>
        </w:rPr>
      </w:pPr>
      <w:r>
        <w:rPr>
          <w:rFonts w:hint="eastAsia" w:cs="宋体"/>
          <w:b/>
          <w:bCs/>
          <w:kern w:val="0"/>
          <w:sz w:val="24"/>
          <w:szCs w:val="24"/>
          <w:lang w:val="en-US" w:eastAsia="zh-CN" w:bidi="ar"/>
        </w:rPr>
        <w:t>（1）缺失值处理</w:t>
      </w:r>
    </w:p>
    <w:p w14:paraId="7581E168">
      <w:pPr>
        <w:spacing w:line="300" w:lineRule="auto"/>
        <w:ind w:firstLine="480" w:firstLineChars="200"/>
        <w:jc w:val="both"/>
        <w:outlineLvl w:val="9"/>
        <w:rPr>
          <w:rFonts w:hint="default" w:cs="Times New Roman"/>
          <w:kern w:val="0"/>
          <w:sz w:val="24"/>
          <w:szCs w:val="28"/>
          <w:lang w:val="en-US" w:eastAsia="zh-CN"/>
        </w:rPr>
      </w:pPr>
      <w:r>
        <w:rPr>
          <w:rFonts w:hint="eastAsia" w:cs="Times New Roman"/>
          <w:kern w:val="0"/>
          <w:sz w:val="24"/>
          <w:szCs w:val="28"/>
          <w:lang w:val="en-US" w:eastAsia="zh-CN"/>
        </w:rPr>
        <w:t>在原始数据集中，由于部分数据如按揭保险、</w:t>
      </w:r>
    </w:p>
    <w:p w14:paraId="03A6880B">
      <w:pPr>
        <w:spacing w:line="300" w:lineRule="auto"/>
        <w:ind w:firstLine="482" w:firstLineChars="200"/>
        <w:jc w:val="both"/>
        <w:outlineLvl w:val="9"/>
        <w:rPr>
          <w:rFonts w:hint="eastAsia" w:cs="宋体"/>
          <w:b/>
          <w:bCs/>
          <w:kern w:val="0"/>
          <w:sz w:val="24"/>
          <w:szCs w:val="24"/>
          <w:lang w:val="en-US" w:eastAsia="zh-CN" w:bidi="ar"/>
        </w:rPr>
      </w:pPr>
      <w:r>
        <w:rPr>
          <w:rFonts w:hint="eastAsia" w:cs="宋体"/>
          <w:b/>
          <w:bCs/>
          <w:kern w:val="0"/>
          <w:sz w:val="24"/>
          <w:szCs w:val="24"/>
          <w:lang w:val="en-US" w:eastAsia="zh-CN" w:bidi="ar"/>
        </w:rPr>
        <w:t>（2）样本编码与筛选</w:t>
      </w:r>
    </w:p>
    <w:p w14:paraId="5CCDEEB3">
      <w:pPr>
        <w:spacing w:line="300" w:lineRule="auto"/>
        <w:ind w:firstLine="480" w:firstLineChars="200"/>
        <w:jc w:val="both"/>
        <w:outlineLvl w:val="9"/>
        <w:rPr>
          <w:rFonts w:hint="eastAsia" w:cs="宋体"/>
          <w:kern w:val="0"/>
          <w:sz w:val="24"/>
          <w:szCs w:val="24"/>
          <w:lang w:val="en-US" w:eastAsia="zh-CN" w:bidi="ar"/>
        </w:rPr>
      </w:pPr>
      <w:r>
        <w:rPr>
          <w:rFonts w:hint="eastAsia" w:cs="宋体"/>
          <w:kern w:val="0"/>
          <w:sz w:val="24"/>
          <w:szCs w:val="24"/>
          <w:lang w:val="en-US" w:eastAsia="zh-CN" w:bidi="ar"/>
        </w:rPr>
        <w:t>由于原始数据集中，部分数据如入住状态、贷款目的均为分类文字特征，因此本文采用One-Hot编码，进行离散特征的数字化处理，将每一个类别单独生成一列二进制特征，属于该类别的样本标记为1，其余标记为0。经编码后，数据集最终扩展为包含78个变量的建模样本集，其中71个变量为</w:t>
      </w:r>
      <w:r>
        <w:rPr>
          <w:rFonts w:ascii="宋体" w:hAnsi="宋体" w:eastAsia="宋体" w:cs="宋体"/>
          <w:sz w:val="24"/>
          <w:szCs w:val="24"/>
        </w:rPr>
        <w:t>分类变量的独热编码列</w:t>
      </w:r>
      <w:r>
        <w:rPr>
          <w:rFonts w:hint="eastAsia" w:cs="宋体"/>
          <w:kern w:val="0"/>
          <w:sz w:val="24"/>
          <w:szCs w:val="24"/>
          <w:lang w:val="en-US" w:eastAsia="zh-CN" w:bidi="ar"/>
        </w:rPr>
        <w:t>。</w:t>
      </w:r>
    </w:p>
    <w:p w14:paraId="5C58A9A1">
      <w:pPr>
        <w:spacing w:line="300" w:lineRule="auto"/>
        <w:ind w:firstLine="480" w:firstLineChars="200"/>
        <w:jc w:val="both"/>
        <w:outlineLvl w:val="9"/>
        <w:rPr>
          <w:rFonts w:hint="default" w:cs="Times New Roman"/>
          <w:kern w:val="0"/>
          <w:sz w:val="24"/>
          <w:szCs w:val="28"/>
          <w:lang w:val="en-US" w:eastAsia="zh-CN"/>
        </w:rPr>
      </w:pPr>
      <w:r>
        <w:rPr>
          <w:rFonts w:hint="eastAsia" w:cs="宋体"/>
          <w:kern w:val="0"/>
          <w:sz w:val="24"/>
          <w:szCs w:val="24"/>
          <w:lang w:val="en-US" w:eastAsia="zh-CN" w:bidi="ar"/>
        </w:rPr>
        <w:t>但</w:t>
      </w:r>
      <w:r>
        <w:rPr>
          <w:rFonts w:hint="eastAsia" w:cs="Times New Roman"/>
          <w:kern w:val="0"/>
          <w:sz w:val="24"/>
          <w:szCs w:val="28"/>
          <w:lang w:val="en-US" w:eastAsia="zh-CN"/>
        </w:rPr>
        <w:t>71</w:t>
      </w:r>
      <w:r>
        <w:rPr>
          <w:rFonts w:hint="default" w:cs="Times New Roman"/>
          <w:kern w:val="0"/>
          <w:sz w:val="24"/>
          <w:szCs w:val="28"/>
          <w:lang w:val="en-US" w:eastAsia="zh-CN"/>
        </w:rPr>
        <w:t>个</w:t>
      </w:r>
      <w:r>
        <w:rPr>
          <w:rFonts w:hint="eastAsia" w:cs="Times New Roman"/>
          <w:kern w:val="0"/>
          <w:sz w:val="24"/>
          <w:szCs w:val="28"/>
          <w:lang w:val="en-US" w:eastAsia="zh-CN"/>
        </w:rPr>
        <w:t>的</w:t>
      </w:r>
      <w:r>
        <w:rPr>
          <w:rFonts w:hint="default" w:cs="Times New Roman"/>
          <w:kern w:val="0"/>
          <w:sz w:val="24"/>
          <w:szCs w:val="28"/>
          <w:lang w:val="en-US" w:eastAsia="zh-CN"/>
        </w:rPr>
        <w:t>One-Hot列</w:t>
      </w:r>
      <w:r>
        <w:rPr>
          <w:rFonts w:hint="eastAsia" w:cs="Times New Roman"/>
          <w:kern w:val="0"/>
          <w:sz w:val="24"/>
          <w:szCs w:val="28"/>
          <w:lang w:val="en-US" w:eastAsia="zh-CN"/>
        </w:rPr>
        <w:t>的高维结构，</w:t>
      </w:r>
      <w:r>
        <w:rPr>
          <w:rFonts w:hint="default" w:cs="Times New Roman"/>
          <w:kern w:val="0"/>
          <w:sz w:val="24"/>
          <w:szCs w:val="28"/>
          <w:lang w:val="en-US" w:eastAsia="zh-CN"/>
        </w:rPr>
        <w:t>对于</w:t>
      </w:r>
      <w:r>
        <w:rPr>
          <w:rFonts w:hint="eastAsia" w:cs="Times New Roman"/>
          <w:kern w:val="0"/>
          <w:sz w:val="24"/>
          <w:szCs w:val="28"/>
          <w:lang w:val="en-US" w:eastAsia="zh-CN"/>
        </w:rPr>
        <w:t>GAN</w:t>
      </w:r>
      <w:r>
        <w:rPr>
          <w:rFonts w:hint="default" w:cs="Times New Roman"/>
          <w:kern w:val="0"/>
          <w:sz w:val="24"/>
          <w:szCs w:val="28"/>
          <w:lang w:val="en-US" w:eastAsia="zh-CN"/>
        </w:rPr>
        <w:t>生成器</w:t>
      </w:r>
      <w:r>
        <w:rPr>
          <w:rFonts w:hint="eastAsia" w:cs="Times New Roman"/>
          <w:kern w:val="0"/>
          <w:sz w:val="24"/>
          <w:szCs w:val="28"/>
          <w:lang w:val="en-US" w:eastAsia="zh-CN"/>
        </w:rPr>
        <w:t>训练来说有较大的挑战：</w:t>
      </w:r>
      <w:r>
        <w:rPr>
          <w:rFonts w:hint="default" w:cs="Times New Roman"/>
          <w:kern w:val="0"/>
          <w:sz w:val="24"/>
          <w:szCs w:val="28"/>
          <w:lang w:val="en-US" w:eastAsia="zh-CN"/>
        </w:rPr>
        <w:t>生成器的输出层维数等于特征维数，高维输出显著增加梯度惩罚的估计方差和模式坍塌的风险</w:t>
      </w:r>
      <w:r>
        <w:rPr>
          <w:rFonts w:hint="eastAsia" w:cs="Times New Roman"/>
          <w:kern w:val="0"/>
          <w:sz w:val="24"/>
          <w:szCs w:val="28"/>
          <w:lang w:val="en-US" w:eastAsia="zh-CN"/>
        </w:rPr>
        <w:t>；同时</w:t>
      </w:r>
      <w:r>
        <w:rPr>
          <w:rFonts w:hint="default" w:cs="Times New Roman"/>
          <w:kern w:val="0"/>
          <w:sz w:val="24"/>
          <w:szCs w:val="28"/>
          <w:lang w:val="en-US" w:eastAsia="zh-CN"/>
        </w:rPr>
        <w:t>同一组One-Hot列在真实数据中始终满足"有且仅有一列为1，其余为零"的互斥约束，而连续值输出的生成器</w:t>
      </w:r>
      <w:r>
        <w:rPr>
          <w:rFonts w:hint="eastAsia" w:cs="Times New Roman"/>
          <w:kern w:val="0"/>
          <w:sz w:val="24"/>
          <w:szCs w:val="28"/>
          <w:lang w:val="en-US" w:eastAsia="zh-CN"/>
        </w:rPr>
        <w:t>，</w:t>
      </w:r>
      <w:r>
        <w:rPr>
          <w:rFonts w:hint="eastAsia" w:ascii="Times New Roman" w:hAnsi="Times New Roman" w:eastAsia="宋体" w:cs="Times New Roman"/>
          <w:kern w:val="0"/>
          <w:sz w:val="24"/>
          <w:szCs w:val="28"/>
          <w:lang w:val="en-US" w:eastAsia="zh-CN" w:bidi="ar-SA"/>
        </w:rPr>
        <w:t>无法天然习得该离散约束，易生成无效的“多列同时为1”或“全部为0”的非可行样本</w:t>
      </w:r>
      <w:r>
        <w:rPr>
          <w:rFonts w:hint="default" w:cs="Times New Roman"/>
          <w:kern w:val="0"/>
          <w:sz w:val="24"/>
          <w:szCs w:val="28"/>
          <w:lang w:val="en-US" w:eastAsia="zh-CN"/>
        </w:rPr>
        <w:t>。为在不实质性损失地理与类别信息的前提下将特征维数压缩至生成器可学习的范围，本文采用信用评分领域的标准做法——证据权重编码，将高基数分类变量替换为单列连续值。</w:t>
      </w:r>
    </w:p>
    <w:p w14:paraId="67B31F66">
      <w:pPr>
        <w:spacing w:line="300" w:lineRule="auto"/>
        <w:ind w:firstLine="480" w:firstLineChars="200"/>
        <w:jc w:val="both"/>
        <w:outlineLvl w:val="9"/>
        <w:rPr>
          <w:rFonts w:hint="eastAsia" w:cs="Times New Roman"/>
          <w:kern w:val="0"/>
          <w:sz w:val="24"/>
          <w:szCs w:val="28"/>
          <w:lang w:val="en-US" w:eastAsia="zh-CN"/>
        </w:rPr>
      </w:pPr>
      <w:r>
        <w:rPr>
          <w:rFonts w:hint="default" w:cs="Times New Roman"/>
          <w:kern w:val="0"/>
          <w:sz w:val="24"/>
          <w:szCs w:val="28"/>
          <w:lang w:val="en-US" w:eastAsia="zh-CN"/>
        </w:rPr>
        <w:t>WOE的计算公式</w:t>
      </w:r>
      <w:r>
        <w:rPr>
          <w:rFonts w:hint="eastAsia" w:cs="Times New Roman"/>
          <w:kern w:val="0"/>
          <w:sz w:val="24"/>
          <w:szCs w:val="28"/>
          <w:lang w:val="en-US" w:eastAsia="zh-CN"/>
        </w:rPr>
        <w:t>如式11。</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5"/>
        <w:gridCol w:w="607"/>
      </w:tblGrid>
      <w:tr w14:paraId="2292B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Borders>
              <w:tl2br w:val="nil"/>
              <w:tr2bl w:val="nil"/>
            </w:tcBorders>
            <w:vAlign w:val="center"/>
          </w:tcPr>
          <w:p w14:paraId="460C3FFB">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m:oMathPara>
              <m:oMath>
                <m:sSub>
                  <m:sSubPr>
                    <m:ctrlPr>
                      <w:rPr>
                        <w:rFonts w:hint="default" w:ascii="Cambria Math" w:hAnsi="Cambria Math" w:cs="Times New Roman"/>
                        <w:i w:val="0"/>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WOE</m:t>
                    </m:r>
                    <m:ctrlPr>
                      <w:rPr>
                        <w:rFonts w:hint="default" w:ascii="Cambria Math" w:hAnsi="Cambria Math" w:cs="Times New Roman"/>
                        <w:i w:val="0"/>
                        <w:kern w:val="0"/>
                        <w:sz w:val="24"/>
                        <w:szCs w:val="28"/>
                        <w:lang w:val="en-US" w:eastAsia="zh-CN" w:bidi="ar-SA"/>
                      </w:rPr>
                    </m:ctrlPr>
                  </m:e>
                  <m:sub>
                    <m:r>
                      <m:rPr>
                        <m:sty m:val="p"/>
                      </m:rPr>
                      <w:rPr>
                        <w:rFonts w:hint="eastAsia" w:ascii="Cambria Math" w:hAnsi="Cambria Math" w:cs="Times New Roman"/>
                        <w:kern w:val="0"/>
                        <w:sz w:val="24"/>
                        <w:szCs w:val="28"/>
                        <w:lang w:val="en-US" w:eastAsia="zh-CN" w:bidi="ar-SA"/>
                      </w:rPr>
                      <m:t>i</m:t>
                    </m:r>
                    <m:ctrlPr>
                      <w:rPr>
                        <w:rFonts w:hint="default" w:ascii="Cambria Math" w:hAnsi="Cambria Math" w:cs="Times New Roman"/>
                        <w:i w:val="0"/>
                        <w:kern w:val="0"/>
                        <w:sz w:val="24"/>
                        <w:szCs w:val="28"/>
                        <w:lang w:val="en-US" w:eastAsia="zh-CN" w:bidi="ar-SA"/>
                      </w:rPr>
                    </m:ctrlPr>
                  </m:sub>
                </m:sSub>
                <m:r>
                  <m:rPr>
                    <m:sty m:val="p"/>
                  </m:rPr>
                  <w:rPr>
                    <w:rFonts w:hint="default" w:ascii="Cambria Math" w:hAnsi="Cambria Math" w:cs="Times New Roman"/>
                    <w:kern w:val="0"/>
                    <w:sz w:val="24"/>
                    <w:szCs w:val="28"/>
                    <w:lang w:val="en-US" w:eastAsia="zh-CN" w:bidi="ar-SA"/>
                  </w:rPr>
                  <m:t>=</m:t>
                </m:r>
                <m:func>
                  <m:funcPr>
                    <m:ctrlPr>
                      <w:rPr>
                        <w:rFonts w:hint="default" w:ascii="Cambria Math" w:hAnsi="Cambria Math" w:cs="Times New Roman"/>
                        <w:kern w:val="0"/>
                        <w:sz w:val="24"/>
                        <w:szCs w:val="28"/>
                        <w:lang w:val="en-US" w:eastAsia="zh-CN" w:bidi="ar-SA"/>
                      </w:rPr>
                    </m:ctrlPr>
                  </m:funcPr>
                  <m:fName>
                    <m:r>
                      <m:rPr>
                        <m:sty m:val="p"/>
                      </m:rPr>
                      <w:rPr>
                        <w:rFonts w:ascii="Cambria Math" w:hAnsi="Cambria Math" w:cs="Times New Roman"/>
                        <w:kern w:val="0"/>
                        <w:sz w:val="24"/>
                        <w:szCs w:val="28"/>
                        <w:lang w:val="en-US" w:bidi="ar-SA"/>
                      </w:rPr>
                      <m:t>ln</m:t>
                    </m:r>
                    <m:ctrlPr>
                      <w:rPr>
                        <w:rFonts w:hint="default" w:ascii="Cambria Math" w:hAnsi="Cambria Math" w:cs="Times New Roman"/>
                        <w:kern w:val="0"/>
                        <w:sz w:val="24"/>
                        <w:szCs w:val="28"/>
                        <w:lang w:val="en-US" w:eastAsia="zh-CN" w:bidi="ar-SA"/>
                      </w:rPr>
                    </m:ctrlPr>
                  </m:fName>
                  <m:e>
                    <m:d>
                      <m:dPr>
                        <m:ctrlPr>
                          <w:rPr>
                            <w:rFonts w:hint="default" w:ascii="Cambria Math" w:hAnsi="Cambria Math" w:cs="Times New Roman"/>
                            <w:kern w:val="0"/>
                            <w:sz w:val="24"/>
                            <w:szCs w:val="28"/>
                            <w:lang w:val="en-US" w:eastAsia="zh-CN" w:bidi="ar-SA"/>
                          </w:rPr>
                        </m:ctrlPr>
                      </m:dPr>
                      <m:e>
                        <m:f>
                          <m:fPr>
                            <m:ctrlPr>
                              <w:rPr>
                                <w:rFonts w:hint="default" w:ascii="Cambria Math" w:hAnsi="Cambria Math" w:cs="Times New Roman"/>
                                <w:kern w:val="0"/>
                                <w:sz w:val="24"/>
                                <w:szCs w:val="28"/>
                                <w:lang w:val="en-US" w:eastAsia="zh-CN" w:bidi="ar-SA"/>
                              </w:rPr>
                            </m:ctrlPr>
                          </m:fPr>
                          <m:num>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Dist_Good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ctrlPr>
                              <w:rPr>
                                <w:rFonts w:hint="default" w:ascii="Cambria Math" w:hAnsi="Cambria Math" w:cs="Times New Roman"/>
                                <w:kern w:val="0"/>
                                <w:sz w:val="24"/>
                                <w:szCs w:val="28"/>
                                <w:lang w:val="en-US" w:eastAsia="zh-CN" w:bidi="ar-SA"/>
                              </w:rPr>
                            </m:ctrlPr>
                          </m:num>
                          <m:den>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Dist_Bad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ctrlPr>
                              <w:rPr>
                                <w:rFonts w:hint="default" w:ascii="Cambria Math" w:hAnsi="Cambria Math" w:cs="Times New Roman"/>
                                <w:kern w:val="0"/>
                                <w:sz w:val="24"/>
                                <w:szCs w:val="28"/>
                                <w:lang w:val="en-US" w:eastAsia="zh-CN" w:bidi="ar-SA"/>
                              </w:rPr>
                            </m:ctrlPr>
                          </m:den>
                        </m:f>
                        <m:ctrlPr>
                          <w:rPr>
                            <w:rFonts w:hint="default" w:ascii="Cambria Math" w:hAnsi="Cambria Math" w:cs="Times New Roman"/>
                            <w:kern w:val="0"/>
                            <w:sz w:val="24"/>
                            <w:szCs w:val="28"/>
                            <w:lang w:val="en-US" w:eastAsia="zh-CN" w:bidi="ar-SA"/>
                          </w:rPr>
                        </m:ctrlPr>
                      </m:e>
                    </m:d>
                    <m:ctrlPr>
                      <w:rPr>
                        <w:rFonts w:hint="default" w:ascii="Cambria Math" w:hAnsi="Cambria Math" w:cs="Times New Roman"/>
                        <w:kern w:val="0"/>
                        <w:sz w:val="24"/>
                        <w:szCs w:val="28"/>
                        <w:lang w:val="en-US" w:eastAsia="zh-CN" w:bidi="ar-SA"/>
                      </w:rPr>
                    </m:ctrlPr>
                  </m:e>
                </m:func>
              </m:oMath>
            </m:oMathPara>
          </w:p>
        </w:tc>
        <w:tc>
          <w:tcPr>
            <w:tcW w:w="599" w:type="dxa"/>
            <w:tcBorders>
              <w:tl2br w:val="nil"/>
              <w:tr2bl w:val="nil"/>
            </w:tcBorders>
            <w:vAlign w:val="center"/>
          </w:tcPr>
          <w:p w14:paraId="7F63E918">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9"/>
              <w:rPr>
                <w:rFonts w:ascii="Times New Roman" w:hAnsi="Times New Roman"/>
                <w:bCs/>
                <w:sz w:val="24"/>
                <w:szCs w:val="28"/>
              </w:rPr>
            </w:pPr>
            <w:r>
              <w:rPr>
                <w:rFonts w:hint="eastAsia" w:ascii="Times New Roman" w:hAnsi="Times New Roman"/>
                <w:bCs/>
                <w:sz w:val="24"/>
                <w:szCs w:val="28"/>
              </w:rPr>
              <w:t>(1</w:t>
            </w:r>
            <w:r>
              <w:rPr>
                <w:rFonts w:hint="eastAsia"/>
                <w:bCs/>
                <w:sz w:val="24"/>
                <w:szCs w:val="28"/>
                <w:lang w:val="en-US" w:eastAsia="zh-CN"/>
              </w:rPr>
              <w:t>1</w:t>
            </w:r>
            <w:r>
              <w:rPr>
                <w:rFonts w:hint="eastAsia" w:ascii="Times New Roman" w:hAnsi="Times New Roman"/>
                <w:bCs/>
                <w:sz w:val="24"/>
                <w:szCs w:val="28"/>
              </w:rPr>
              <w:t>)</w:t>
            </w:r>
          </w:p>
        </w:tc>
      </w:tr>
    </w:tbl>
    <w:p w14:paraId="1F841E7C">
      <w:pPr>
        <w:spacing w:line="300" w:lineRule="auto"/>
        <w:ind w:firstLine="480" w:firstLineChars="200"/>
        <w:jc w:val="both"/>
        <w:outlineLvl w:val="9"/>
        <w:rPr>
          <w:rFonts w:hint="default" w:cs="Times New Roman"/>
          <w:kern w:val="0"/>
          <w:sz w:val="24"/>
          <w:szCs w:val="28"/>
          <w:lang w:val="en-US" w:eastAsia="zh-CN"/>
        </w:rPr>
      </w:pPr>
      <w:r>
        <w:rPr>
          <w:rFonts w:hint="default" w:cs="Times New Roman"/>
          <w:kern w:val="0"/>
          <w:sz w:val="24"/>
          <w:szCs w:val="28"/>
          <w:lang w:val="en-US" w:eastAsia="zh-CN"/>
        </w:rPr>
        <w:t>其中</w:t>
      </w:r>
      <m:oMath>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Dist_Good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oMath>
      <w:r>
        <w:rPr>
          <w:rFonts w:hint="default" w:cs="Times New Roman"/>
          <w:kern w:val="0"/>
          <w:sz w:val="24"/>
          <w:szCs w:val="28"/>
          <w:lang w:val="en-US" w:eastAsia="zh-CN"/>
        </w:rPr>
        <w:t>与</w:t>
      </w:r>
      <m:oMath>
        <m:sSub>
          <m:sSubPr>
            <m:ctrlPr>
              <w:rPr>
                <w:rFonts w:hint="default" w:ascii="Cambria Math" w:hAnsi="Cambria Math" w:cs="Times New Roman"/>
                <w:kern w:val="0"/>
                <w:sz w:val="24"/>
                <w:szCs w:val="28"/>
                <w:lang w:val="en-US" w:eastAsia="zh-CN" w:bidi="ar-SA"/>
              </w:rPr>
            </m:ctrlPr>
          </m:sSubPr>
          <m:e>
            <m:r>
              <m:rPr>
                <m:sty m:val="p"/>
              </m:rPr>
              <w:rPr>
                <w:rFonts w:hint="default" w:ascii="Cambria Math" w:hAnsi="Cambria Math" w:cs="Times New Roman"/>
                <w:kern w:val="0"/>
                <w:sz w:val="24"/>
                <w:szCs w:val="28"/>
                <w:lang w:val="en-US" w:eastAsia="zh-CN" w:bidi="ar-SA"/>
              </w:rPr>
              <m:t>Dist_Bad</m:t>
            </m:r>
            <m:ctrlPr>
              <w:rPr>
                <w:rFonts w:hint="default" w:ascii="Cambria Math" w:hAnsi="Cambria Math" w:cs="Times New Roman"/>
                <w:kern w:val="0"/>
                <w:sz w:val="24"/>
                <w:szCs w:val="28"/>
                <w:lang w:val="en-US" w:eastAsia="zh-CN" w:bidi="ar-SA"/>
              </w:rPr>
            </m:ctrlPr>
          </m:e>
          <m:sub>
            <m:r>
              <m:rPr>
                <m:sty m:val="p"/>
              </m:rPr>
              <w:rPr>
                <w:rFonts w:hint="default" w:ascii="Cambria Math" w:hAnsi="Cambria Math" w:cs="Times New Roman"/>
                <w:kern w:val="0"/>
                <w:sz w:val="24"/>
                <w:szCs w:val="28"/>
                <w:lang w:val="en-US" w:eastAsia="zh-CN" w:bidi="ar-SA"/>
              </w:rPr>
              <m:t>i</m:t>
            </m:r>
            <m:ctrlPr>
              <w:rPr>
                <w:rFonts w:hint="default" w:ascii="Cambria Math" w:hAnsi="Cambria Math" w:cs="Times New Roman"/>
                <w:kern w:val="0"/>
                <w:sz w:val="24"/>
                <w:szCs w:val="28"/>
                <w:lang w:val="en-US" w:eastAsia="zh-CN" w:bidi="ar-SA"/>
              </w:rPr>
            </m:ctrlPr>
          </m:sub>
        </m:sSub>
      </m:oMath>
      <w:r>
        <w:rPr>
          <w:rFonts w:hint="default" w:cs="Times New Roman"/>
          <w:kern w:val="0"/>
          <w:sz w:val="24"/>
          <w:szCs w:val="28"/>
          <w:lang w:val="en-US" w:eastAsia="zh-CN"/>
        </w:rPr>
        <w:t>分别为第</w:t>
      </w:r>
      <m:oMath>
        <m:r>
          <m:rPr>
            <m:sty m:val="p"/>
          </m:rPr>
          <w:rPr>
            <w:rFonts w:hint="eastAsia" w:ascii="Cambria Math" w:hAnsi="Cambria Math" w:cs="Times New Roman"/>
            <w:kern w:val="0"/>
            <w:sz w:val="24"/>
            <w:szCs w:val="28"/>
            <w:lang w:val="en-US" w:eastAsia="zh-CN" w:bidi="ar-SA"/>
          </w:rPr>
          <m:t>i</m:t>
        </m:r>
      </m:oMath>
      <w:r>
        <w:rPr>
          <w:rFonts w:hint="default" w:cs="Times New Roman"/>
          <w:kern w:val="0"/>
          <w:sz w:val="24"/>
          <w:szCs w:val="28"/>
          <w:lang w:val="en-US" w:eastAsia="zh-CN"/>
        </w:rPr>
        <w:t>个类别中正常样本与违约样本占全体正常样本和全体违约样本的比例。为提升小类别的估计稳健性，逐类别的分子和分母均施加拉普拉斯平滑。</w:t>
      </w:r>
      <w:r>
        <w:rPr>
          <w:rFonts w:hint="eastAsia" w:cs="Times New Roman"/>
          <w:kern w:val="0"/>
          <w:sz w:val="24"/>
          <w:szCs w:val="28"/>
          <w:lang w:val="en-US" w:eastAsia="zh-CN"/>
        </w:rPr>
        <w:t>最终</w:t>
      </w:r>
      <w:r>
        <w:rPr>
          <w:rFonts w:hint="default" w:cs="Times New Roman"/>
          <w:kern w:val="0"/>
          <w:sz w:val="24"/>
          <w:szCs w:val="28"/>
          <w:lang w:val="en-US" w:eastAsia="zh-CN"/>
        </w:rPr>
        <w:t>各分类变量的WOE编码结果如</w:t>
      </w:r>
      <w:r>
        <w:rPr>
          <w:rFonts w:hint="eastAsia" w:cs="Times New Roman"/>
          <w:kern w:val="0"/>
          <w:sz w:val="24"/>
          <w:szCs w:val="28"/>
          <w:lang w:val="en-US" w:eastAsia="zh-CN"/>
        </w:rPr>
        <w:t>图1</w:t>
      </w:r>
      <w:r>
        <w:rPr>
          <w:rFonts w:hint="default" w:cs="Times New Roman"/>
          <w:kern w:val="0"/>
          <w:sz w:val="24"/>
          <w:szCs w:val="28"/>
          <w:lang w:val="en-US" w:eastAsia="zh-CN"/>
        </w:rPr>
        <w:t>。</w:t>
      </w:r>
    </w:p>
    <w:p w14:paraId="1F493E1F">
      <w:pPr>
        <w:spacing w:line="300" w:lineRule="auto"/>
        <w:jc w:val="both"/>
        <w:outlineLvl w:val="9"/>
        <w:rPr>
          <w:rFonts w:hint="default" w:cs="Times New Roman"/>
          <w:kern w:val="0"/>
          <w:sz w:val="24"/>
          <w:szCs w:val="28"/>
          <w:lang w:val="en-US" w:eastAsia="zh-CN"/>
        </w:rPr>
      </w:pPr>
      <w:r>
        <w:rPr>
          <w:rFonts w:hint="default" w:cs="Times New Roman"/>
          <w:kern w:val="0"/>
          <w:sz w:val="24"/>
          <w:szCs w:val="28"/>
          <w:lang w:val="en-US" w:eastAsia="zh-CN"/>
        </w:rPr>
        <w:drawing>
          <wp:inline distT="0" distB="0" distL="114300" distR="114300">
            <wp:extent cx="5269865" cy="3849370"/>
            <wp:effectExtent l="0" t="0" r="6985" b="8255"/>
            <wp:docPr id="2" name="图片 2" descr="WOE编码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OE编码结果"/>
                    <pic:cNvPicPr>
                      <a:picLocks noChangeAspect="1"/>
                    </pic:cNvPicPr>
                  </pic:nvPicPr>
                  <pic:blipFill>
                    <a:blip r:embed="rId4"/>
                    <a:stretch>
                      <a:fillRect/>
                    </a:stretch>
                  </pic:blipFill>
                  <pic:spPr>
                    <a:xfrm>
                      <a:off x="0" y="0"/>
                      <a:ext cx="5269865" cy="3849370"/>
                    </a:xfrm>
                    <a:prstGeom prst="rect">
                      <a:avLst/>
                    </a:prstGeom>
                  </pic:spPr>
                </pic:pic>
              </a:graphicData>
            </a:graphic>
          </wp:inline>
        </w:drawing>
      </w:r>
    </w:p>
    <w:p w14:paraId="046A1782">
      <w:pPr>
        <w:spacing w:line="300" w:lineRule="auto"/>
        <w:ind w:firstLine="482" w:firstLineChars="200"/>
        <w:jc w:val="center"/>
        <w:rPr>
          <w:rFonts w:hint="default" w:eastAsia="宋体" w:cs="Times New Roman"/>
          <w:kern w:val="0"/>
          <w:sz w:val="24"/>
          <w:szCs w:val="28"/>
          <w:lang w:val="en-US" w:eastAsia="zh-CN"/>
        </w:rPr>
      </w:pPr>
      <w:r>
        <w:rPr>
          <w:rFonts w:hint="eastAsia" w:ascii="Times New Roman" w:hAnsi="Times New Roman" w:eastAsia="宋体" w:cs="Times New Roman"/>
          <w:b/>
          <w:bCs/>
          <w:kern w:val="0"/>
          <w:sz w:val="24"/>
          <w:szCs w:val="28"/>
        </w:rPr>
        <w:t xml:space="preserve">图 </w:t>
      </w:r>
      <w:r>
        <w:rPr>
          <w:rFonts w:hint="eastAsia" w:ascii="Times New Roman" w:hAnsi="Times New Roman" w:eastAsia="宋体" w:cs="Times New Roman"/>
          <w:b/>
          <w:bCs/>
          <w:kern w:val="0"/>
          <w:sz w:val="24"/>
          <w:szCs w:val="28"/>
        </w:rPr>
        <w:fldChar w:fldCharType="begin"/>
      </w:r>
      <w:r>
        <w:rPr>
          <w:rFonts w:hint="eastAsia" w:ascii="Times New Roman" w:hAnsi="Times New Roman" w:eastAsia="宋体" w:cs="Times New Roman"/>
          <w:b/>
          <w:bCs/>
          <w:kern w:val="0"/>
          <w:sz w:val="24"/>
          <w:szCs w:val="28"/>
        </w:rPr>
        <w:instrText xml:space="preserve"> SEQ 图 \* ARABIC </w:instrText>
      </w:r>
      <w:r>
        <w:rPr>
          <w:rFonts w:hint="eastAsia" w:ascii="Times New Roman" w:hAnsi="Times New Roman" w:eastAsia="宋体" w:cs="Times New Roman"/>
          <w:b/>
          <w:bCs/>
          <w:kern w:val="0"/>
          <w:sz w:val="24"/>
          <w:szCs w:val="28"/>
        </w:rPr>
        <w:fldChar w:fldCharType="separate"/>
      </w:r>
      <w:r>
        <w:rPr>
          <w:rFonts w:ascii="Times New Roman" w:hAnsi="Times New Roman" w:eastAsia="宋体" w:cs="Times New Roman"/>
          <w:b/>
          <w:bCs/>
          <w:kern w:val="0"/>
          <w:sz w:val="24"/>
          <w:szCs w:val="28"/>
        </w:rPr>
        <w:t>1</w:t>
      </w:r>
      <w:r>
        <w:rPr>
          <w:rFonts w:hint="eastAsia" w:ascii="Times New Roman" w:hAnsi="Times New Roman" w:eastAsia="宋体" w:cs="Times New Roman"/>
          <w:b/>
          <w:bCs/>
          <w:kern w:val="0"/>
          <w:sz w:val="24"/>
          <w:szCs w:val="28"/>
        </w:rPr>
        <w:fldChar w:fldCharType="end"/>
      </w:r>
      <w:r>
        <w:rPr>
          <w:rFonts w:hint="eastAsia" w:ascii="Times New Roman" w:hAnsi="Times New Roman" w:eastAsia="宋体" w:cs="Times New Roman"/>
          <w:b/>
          <w:bCs/>
          <w:kern w:val="0"/>
          <w:sz w:val="24"/>
          <w:szCs w:val="28"/>
        </w:rPr>
        <w:t xml:space="preserve"> </w:t>
      </w:r>
      <w:r>
        <w:rPr>
          <w:rFonts w:hint="eastAsia" w:cs="Times New Roman"/>
          <w:b/>
          <w:bCs/>
          <w:kern w:val="0"/>
          <w:sz w:val="24"/>
          <w:szCs w:val="28"/>
          <w:lang w:val="en-US" w:eastAsia="zh-CN"/>
        </w:rPr>
        <w:t>WOE编码结果</w:t>
      </w:r>
    </w:p>
    <w:p w14:paraId="0392D3B4">
      <w:pPr>
        <w:spacing w:line="300" w:lineRule="auto"/>
        <w:ind w:firstLine="480" w:firstLineChars="200"/>
        <w:jc w:val="both"/>
        <w:outlineLvl w:val="9"/>
        <w:rPr>
          <w:rFonts w:hint="default" w:cs="Times New Roman"/>
          <w:kern w:val="0"/>
          <w:sz w:val="24"/>
          <w:szCs w:val="28"/>
          <w:lang w:val="en-US" w:eastAsia="zh-CN"/>
        </w:rPr>
      </w:pPr>
      <w:r>
        <w:rPr>
          <w:rFonts w:hint="eastAsia" w:cs="Times New Roman"/>
          <w:kern w:val="0"/>
          <w:sz w:val="24"/>
          <w:szCs w:val="28"/>
          <w:lang w:val="en-US" w:eastAsia="zh-CN"/>
        </w:rPr>
        <w:t>根据结果可以看出，</w:t>
      </w:r>
      <w:r>
        <w:rPr>
          <w:rFonts w:hint="default" w:cs="Times New Roman"/>
          <w:kern w:val="0"/>
          <w:sz w:val="24"/>
          <w:szCs w:val="28"/>
          <w:lang w:val="en-US" w:eastAsia="zh-CN"/>
        </w:rPr>
        <w:t>贷款目的方面，套现再融资的WOE值为-0.210，显著低于零值，表明该类贷款违约风险最高；无现金再融资的WOE值为+0.398，违约风险最低；购房贷款居于中间。入住状态方面，投资房（+0.588）与第二居所（+0.444）的WOE明显高于自住房（-0.035），反映出投资者和度假房业主的还款能力整体优于以自住为主要目的的借款人。贷款渠道方面，零售渠道的正WOE（+0.039）与经纪渠道的负WOE（-0.086）之间的差异印证了渠道类型与贷款质量之间的关联。房产类型方面，预制房屋的WOE值（-0.112）为五类中最低，违约风险最高；合作公寓的WOE值（+0.646）为最高，但样本极稀疏（仅</w:t>
      </w:r>
      <w:r>
        <w:rPr>
          <w:rFonts w:hint="eastAsia" w:cs="Times New Roman"/>
          <w:kern w:val="0"/>
          <w:sz w:val="24"/>
          <w:szCs w:val="28"/>
          <w:lang w:val="en-US" w:eastAsia="zh-CN"/>
        </w:rPr>
        <w:t>1787</w:t>
      </w:r>
      <w:r>
        <w:rPr>
          <w:rFonts w:hint="default" w:cs="Times New Roman"/>
          <w:kern w:val="0"/>
          <w:sz w:val="24"/>
          <w:szCs w:val="28"/>
          <w:lang w:val="en-US" w:eastAsia="zh-CN"/>
        </w:rPr>
        <w:t>笔），其编码值主要靠拉普拉斯平滑支撑。</w:t>
      </w:r>
    </w:p>
    <w:p w14:paraId="67728516">
      <w:pPr>
        <w:spacing w:line="300" w:lineRule="auto"/>
        <w:ind w:firstLine="480" w:firstLineChars="200"/>
        <w:jc w:val="both"/>
        <w:outlineLvl w:val="9"/>
        <w:rPr>
          <w:rFonts w:hint="default" w:cs="Times New Roman"/>
          <w:kern w:val="0"/>
          <w:sz w:val="24"/>
          <w:szCs w:val="28"/>
          <w:lang w:val="en-US" w:eastAsia="zh-CN"/>
        </w:rPr>
      </w:pPr>
      <w:r>
        <w:rPr>
          <w:rFonts w:hint="default" w:cs="Times New Roman"/>
          <w:kern w:val="0"/>
          <w:sz w:val="24"/>
          <w:szCs w:val="28"/>
          <w:lang w:val="en-US" w:eastAsia="zh-CN"/>
        </w:rPr>
        <w:t>州信息方面，54个州/地区的违约率log-odds被封装为单一的State_Default_LogOdds变量，高违约率州</w:t>
      </w:r>
      <w:r>
        <w:rPr>
          <w:rFonts w:hint="eastAsia" w:cs="Times New Roman"/>
          <w:kern w:val="0"/>
          <w:sz w:val="24"/>
          <w:szCs w:val="28"/>
          <w:lang w:val="en-US" w:eastAsia="zh-CN"/>
        </w:rPr>
        <w:t>的</w:t>
      </w:r>
      <w:r>
        <w:rPr>
          <w:rFonts w:hint="default" w:cs="Times New Roman"/>
          <w:kern w:val="0"/>
          <w:sz w:val="24"/>
          <w:szCs w:val="28"/>
          <w:lang w:val="en-US" w:eastAsia="zh-CN"/>
        </w:rPr>
        <w:t>佛罗里达</w:t>
      </w:r>
      <w:r>
        <w:rPr>
          <w:rFonts w:hint="eastAsia" w:cs="Times New Roman"/>
          <w:kern w:val="0"/>
          <w:sz w:val="24"/>
          <w:szCs w:val="28"/>
          <w:lang w:val="en-US" w:eastAsia="zh-CN"/>
        </w:rPr>
        <w:t>（</w:t>
      </w:r>
      <w:r>
        <w:rPr>
          <w:rFonts w:hint="default" w:cs="Times New Roman"/>
          <w:kern w:val="0"/>
          <w:sz w:val="24"/>
          <w:szCs w:val="28"/>
          <w:lang w:val="en-US" w:eastAsia="zh-CN"/>
        </w:rPr>
        <w:t>log-odds</w:t>
      </w:r>
      <w:r>
        <w:rPr>
          <w:rFonts w:hint="eastAsia" w:cs="Times New Roman"/>
          <w:kern w:val="0"/>
          <w:sz w:val="24"/>
          <w:szCs w:val="28"/>
          <w:lang w:val="en-US" w:eastAsia="zh-CN"/>
        </w:rPr>
        <w:t>为-</w:t>
      </w:r>
      <w:r>
        <w:rPr>
          <w:rFonts w:hint="default" w:cs="Times New Roman"/>
          <w:kern w:val="0"/>
          <w:sz w:val="24"/>
          <w:szCs w:val="28"/>
          <w:lang w:val="en-US" w:eastAsia="zh-CN"/>
        </w:rPr>
        <w:t>3.06）取值较高，低违约率州</w:t>
      </w:r>
      <w:r>
        <w:rPr>
          <w:rFonts w:hint="eastAsia" w:cs="Times New Roman"/>
          <w:kern w:val="0"/>
          <w:sz w:val="24"/>
          <w:szCs w:val="28"/>
          <w:lang w:val="en-US" w:eastAsia="zh-CN"/>
        </w:rPr>
        <w:t>的</w:t>
      </w:r>
      <w:r>
        <w:rPr>
          <w:rFonts w:hint="default" w:cs="Times New Roman"/>
          <w:kern w:val="0"/>
          <w:sz w:val="24"/>
          <w:szCs w:val="28"/>
          <w:lang w:val="en-US" w:eastAsia="zh-CN"/>
        </w:rPr>
        <w:t>北达科他</w:t>
      </w:r>
      <w:r>
        <w:rPr>
          <w:rFonts w:hint="eastAsia" w:cs="Times New Roman"/>
          <w:kern w:val="0"/>
          <w:sz w:val="24"/>
          <w:szCs w:val="28"/>
          <w:lang w:val="en-US" w:eastAsia="zh-CN"/>
        </w:rPr>
        <w:t>（</w:t>
      </w:r>
      <w:r>
        <w:rPr>
          <w:rFonts w:hint="default" w:cs="Times New Roman"/>
          <w:kern w:val="0"/>
          <w:sz w:val="24"/>
          <w:szCs w:val="28"/>
          <w:lang w:val="en-US" w:eastAsia="zh-CN"/>
        </w:rPr>
        <w:t>log-odds</w:t>
      </w:r>
      <w:r>
        <w:rPr>
          <w:rFonts w:hint="eastAsia" w:cs="Times New Roman"/>
          <w:kern w:val="0"/>
          <w:sz w:val="24"/>
          <w:szCs w:val="28"/>
          <w:lang w:val="en-US" w:eastAsia="zh-CN"/>
        </w:rPr>
        <w:t>为</w:t>
      </w:r>
      <w:r>
        <w:rPr>
          <w:rFonts w:hint="default" w:cs="Times New Roman"/>
          <w:kern w:val="0"/>
          <w:sz w:val="24"/>
          <w:szCs w:val="28"/>
          <w:lang w:val="en-US" w:eastAsia="zh-CN"/>
        </w:rPr>
        <w:t>-4.02）取值较低。</w:t>
      </w:r>
    </w:p>
    <w:p w14:paraId="116D36C0">
      <w:pPr>
        <w:spacing w:line="300" w:lineRule="auto"/>
        <w:ind w:firstLine="480" w:firstLineChars="200"/>
        <w:jc w:val="both"/>
        <w:outlineLvl w:val="9"/>
        <w:rPr>
          <w:rFonts w:hint="default" w:cs="Times New Roman"/>
          <w:kern w:val="0"/>
          <w:sz w:val="24"/>
          <w:szCs w:val="28"/>
          <w:lang w:val="en-US" w:eastAsia="zh-CN"/>
        </w:rPr>
      </w:pPr>
      <w:r>
        <w:rPr>
          <w:rFonts w:hint="default" w:cs="Times New Roman"/>
          <w:kern w:val="0"/>
          <w:sz w:val="24"/>
          <w:szCs w:val="28"/>
          <w:lang w:val="en-US" w:eastAsia="zh-CN"/>
        </w:rPr>
        <w:t>首次购房者标识（First_Time_Homebuyer_Flag）虽源自分类型字段，</w:t>
      </w:r>
      <w:r>
        <w:rPr>
          <w:rFonts w:hint="eastAsia" w:cs="Times New Roman"/>
          <w:kern w:val="0"/>
          <w:sz w:val="24"/>
          <w:szCs w:val="28"/>
          <w:lang w:val="en-US" w:eastAsia="zh-CN"/>
        </w:rPr>
        <w:t>但</w:t>
      </w:r>
      <w:r>
        <w:rPr>
          <w:rFonts w:hint="default" w:cs="Times New Roman"/>
          <w:kern w:val="0"/>
          <w:sz w:val="24"/>
          <w:szCs w:val="28"/>
          <w:lang w:val="en-US" w:eastAsia="zh-CN"/>
        </w:rPr>
        <w:t>其仅含</w:t>
      </w:r>
      <w:r>
        <w:rPr>
          <w:rFonts w:hint="eastAsia" w:cs="Times New Roman"/>
          <w:kern w:val="0"/>
          <w:sz w:val="24"/>
          <w:szCs w:val="28"/>
          <w:lang w:val="en-US" w:eastAsia="zh-CN"/>
        </w:rPr>
        <w:t>“</w:t>
      </w:r>
      <w:r>
        <w:rPr>
          <w:rFonts w:hint="default" w:cs="Times New Roman"/>
          <w:kern w:val="0"/>
          <w:sz w:val="24"/>
          <w:szCs w:val="28"/>
          <w:lang w:val="en-US" w:eastAsia="zh-CN"/>
        </w:rPr>
        <w:t>是否</w:t>
      </w:r>
      <w:r>
        <w:rPr>
          <w:rFonts w:hint="eastAsia" w:cs="Times New Roman"/>
          <w:kern w:val="0"/>
          <w:sz w:val="24"/>
          <w:szCs w:val="28"/>
          <w:lang w:val="en-US" w:eastAsia="zh-CN"/>
        </w:rPr>
        <w:t>”</w:t>
      </w:r>
      <w:r>
        <w:rPr>
          <w:rFonts w:hint="default" w:cs="Times New Roman"/>
          <w:kern w:val="0"/>
          <w:sz w:val="24"/>
          <w:szCs w:val="28"/>
          <w:lang w:val="en-US" w:eastAsia="zh-CN"/>
        </w:rPr>
        <w:t>两类，</w:t>
      </w:r>
      <w:bookmarkStart w:id="0" w:name="_GoBack"/>
      <w:bookmarkEnd w:id="0"/>
      <w:r>
        <w:rPr>
          <w:rFonts w:hint="eastAsia" w:cs="Times New Roman"/>
          <w:kern w:val="0"/>
          <w:sz w:val="24"/>
          <w:szCs w:val="28"/>
          <w:lang w:val="en-US" w:eastAsia="zh-CN"/>
        </w:rPr>
        <w:t>因此</w:t>
      </w:r>
      <w:r>
        <w:rPr>
          <w:rFonts w:hint="default" w:cs="Times New Roman"/>
          <w:kern w:val="0"/>
          <w:sz w:val="24"/>
          <w:szCs w:val="28"/>
          <w:lang w:val="en-US" w:eastAsia="zh-CN"/>
        </w:rPr>
        <w:t>直接保留为单列二值变量</w:t>
      </w:r>
      <w:r>
        <w:rPr>
          <w:rFonts w:hint="eastAsia" w:cs="Times New Roman"/>
          <w:kern w:val="0"/>
          <w:sz w:val="24"/>
          <w:szCs w:val="28"/>
          <w:lang w:val="en-US" w:eastAsia="zh-CN"/>
        </w:rPr>
        <w:t>，将</w:t>
      </w:r>
      <w:r>
        <w:rPr>
          <w:rFonts w:hint="default" w:cs="Times New Roman"/>
          <w:kern w:val="0"/>
          <w:sz w:val="24"/>
          <w:szCs w:val="28"/>
          <w:lang w:val="en-US" w:eastAsia="zh-CN"/>
        </w:rPr>
        <w:t>首次购房者</w:t>
      </w:r>
      <w:r>
        <w:rPr>
          <w:rFonts w:hint="eastAsia" w:cs="Times New Roman"/>
          <w:kern w:val="0"/>
          <w:sz w:val="24"/>
          <w:szCs w:val="28"/>
          <w:lang w:val="en-US" w:eastAsia="zh-CN"/>
        </w:rPr>
        <w:t>的取值记为1</w:t>
      </w:r>
      <w:r>
        <w:rPr>
          <w:rFonts w:hint="default" w:cs="Times New Roman"/>
          <w:kern w:val="0"/>
          <w:sz w:val="24"/>
          <w:szCs w:val="28"/>
          <w:lang w:val="en-US" w:eastAsia="zh-CN"/>
        </w:rPr>
        <w:t>，非首次购房者</w:t>
      </w:r>
      <w:r>
        <w:rPr>
          <w:rFonts w:hint="eastAsia" w:cs="Times New Roman"/>
          <w:kern w:val="0"/>
          <w:sz w:val="24"/>
          <w:szCs w:val="28"/>
          <w:lang w:val="en-US" w:eastAsia="zh-CN"/>
        </w:rPr>
        <w:t>的取值记为0</w:t>
      </w:r>
      <w:r>
        <w:rPr>
          <w:rFonts w:hint="default" w:cs="Times New Roman"/>
          <w:kern w:val="0"/>
          <w:sz w:val="24"/>
          <w:szCs w:val="28"/>
          <w:lang w:val="en-US" w:eastAsia="zh-CN"/>
        </w:rPr>
        <w:t>。</w:t>
      </w:r>
    </w:p>
    <w:p w14:paraId="14984954">
      <w:pPr>
        <w:spacing w:line="300" w:lineRule="auto"/>
        <w:ind w:firstLine="480" w:firstLineChars="200"/>
        <w:jc w:val="both"/>
        <w:outlineLvl w:val="9"/>
        <w:rPr>
          <w:rFonts w:hint="default" w:cs="宋体"/>
          <w:kern w:val="0"/>
          <w:sz w:val="24"/>
          <w:szCs w:val="24"/>
          <w:lang w:val="en-US" w:eastAsia="zh-CN" w:bidi="ar"/>
        </w:rPr>
      </w:pPr>
      <w:r>
        <w:rPr>
          <w:rFonts w:hint="default" w:cs="Times New Roman"/>
          <w:kern w:val="0"/>
          <w:sz w:val="24"/>
          <w:szCs w:val="28"/>
          <w:lang w:val="en-US" w:eastAsia="zh-CN"/>
        </w:rPr>
        <w:t>经上述WOE编码与压缩操作，54列州One-Hot归并为</w:t>
      </w:r>
      <w:r>
        <w:rPr>
          <w:rFonts w:hint="eastAsia" w:cs="Times New Roman"/>
          <w:kern w:val="0"/>
          <w:sz w:val="24"/>
          <w:szCs w:val="28"/>
          <w:lang w:val="en-US" w:eastAsia="zh-CN"/>
        </w:rPr>
        <w:t>1</w:t>
      </w:r>
      <w:r>
        <w:rPr>
          <w:rFonts w:hint="default" w:cs="Times New Roman"/>
          <w:kern w:val="0"/>
          <w:sz w:val="24"/>
          <w:szCs w:val="28"/>
          <w:lang w:val="en-US" w:eastAsia="zh-CN"/>
        </w:rPr>
        <w:t>列，14列非州One-Hot</w:t>
      </w:r>
      <w:r>
        <w:rPr>
          <w:rFonts w:hint="eastAsia" w:cs="Times New Roman"/>
          <w:kern w:val="0"/>
          <w:sz w:val="24"/>
          <w:szCs w:val="28"/>
          <w:lang w:val="en-US" w:eastAsia="zh-CN"/>
        </w:rPr>
        <w:t>列</w:t>
      </w:r>
      <w:r>
        <w:rPr>
          <w:rFonts w:hint="default" w:cs="Times New Roman"/>
          <w:kern w:val="0"/>
          <w:sz w:val="24"/>
          <w:szCs w:val="28"/>
          <w:lang w:val="en-US" w:eastAsia="zh-CN"/>
        </w:rPr>
        <w:t>归并为</w:t>
      </w:r>
      <w:r>
        <w:rPr>
          <w:rFonts w:hint="eastAsia" w:cs="Times New Roman"/>
          <w:kern w:val="0"/>
          <w:sz w:val="24"/>
          <w:szCs w:val="28"/>
          <w:lang w:val="en-US" w:eastAsia="zh-CN"/>
        </w:rPr>
        <w:t>4</w:t>
      </w:r>
      <w:r>
        <w:rPr>
          <w:rFonts w:hint="default" w:cs="Times New Roman"/>
          <w:kern w:val="0"/>
          <w:sz w:val="24"/>
          <w:szCs w:val="28"/>
          <w:lang w:val="en-US" w:eastAsia="zh-CN"/>
        </w:rPr>
        <w:t>列WOE变量与</w:t>
      </w:r>
      <w:r>
        <w:rPr>
          <w:rFonts w:hint="eastAsia" w:cs="Times New Roman"/>
          <w:kern w:val="0"/>
          <w:sz w:val="24"/>
          <w:szCs w:val="28"/>
          <w:lang w:val="en-US" w:eastAsia="zh-CN"/>
        </w:rPr>
        <w:t>1</w:t>
      </w:r>
      <w:r>
        <w:rPr>
          <w:rFonts w:hint="default" w:cs="Times New Roman"/>
          <w:kern w:val="0"/>
          <w:sz w:val="24"/>
          <w:szCs w:val="28"/>
          <w:lang w:val="en-US" w:eastAsia="zh-CN"/>
        </w:rPr>
        <w:t>列二值变量。全部预测变量从</w:t>
      </w:r>
      <w:r>
        <w:rPr>
          <w:rFonts w:hint="eastAsia" w:cs="Times New Roman"/>
          <w:kern w:val="0"/>
          <w:sz w:val="24"/>
          <w:szCs w:val="28"/>
          <w:lang w:val="en-US" w:eastAsia="zh-CN"/>
        </w:rPr>
        <w:t>78</w:t>
      </w:r>
      <w:r>
        <w:rPr>
          <w:rFonts w:hint="default" w:cs="Times New Roman"/>
          <w:kern w:val="0"/>
          <w:sz w:val="24"/>
          <w:szCs w:val="28"/>
          <w:lang w:val="en-US" w:eastAsia="zh-CN"/>
        </w:rPr>
        <w:t>个降至13个，且均为连续型或二值型，生成器输出维度的骤降为后续条件生成网络的稳定训练提供了低维、信息密集的输入空间。</w:t>
      </w:r>
    </w:p>
    <w:p w14:paraId="09AF9243">
      <w:pPr>
        <w:spacing w:line="300" w:lineRule="auto"/>
        <w:ind w:firstLine="482" w:firstLineChars="200"/>
        <w:jc w:val="both"/>
        <w:outlineLvl w:val="9"/>
        <w:rPr>
          <w:rFonts w:hint="default" w:cs="宋体"/>
          <w:b/>
          <w:bCs/>
          <w:kern w:val="0"/>
          <w:sz w:val="24"/>
          <w:szCs w:val="24"/>
          <w:lang w:val="en-US" w:eastAsia="zh-CN" w:bidi="ar"/>
        </w:rPr>
      </w:pPr>
      <w:r>
        <w:rPr>
          <w:rFonts w:hint="eastAsia" w:cs="宋体"/>
          <w:b/>
          <w:bCs/>
          <w:kern w:val="0"/>
          <w:sz w:val="24"/>
          <w:szCs w:val="24"/>
          <w:lang w:val="en-US" w:eastAsia="zh-CN" w:bidi="ar"/>
        </w:rPr>
        <w:t>（3）违约速度标签构建</w:t>
      </w:r>
    </w:p>
    <w:p w14:paraId="46D4ADF0">
      <w:pPr>
        <w:keepNext w:val="0"/>
        <w:keepLines w:val="0"/>
        <w:pageBreakBefore w:val="0"/>
        <w:widowControl/>
        <w:suppressLineNumbers w:val="0"/>
        <w:kinsoku/>
        <w:wordWrap/>
        <w:overflowPunct/>
        <w:topLinePunct w:val="0"/>
        <w:autoSpaceDE/>
        <w:autoSpaceDN/>
        <w:bidi w:val="0"/>
        <w:adjustRightInd/>
        <w:snapToGrid/>
        <w:spacing w:line="300" w:lineRule="auto"/>
        <w:ind w:firstLine="480" w:firstLineChars="200"/>
        <w:jc w:val="both"/>
        <w:textAlignment w:val="auto"/>
        <w:rPr>
          <w:rFonts w:ascii="Times New Roman" w:hAnsi="Times New Roman" w:eastAsia="宋体" w:cs="宋体"/>
          <w:kern w:val="0"/>
          <w:sz w:val="24"/>
          <w:szCs w:val="24"/>
          <w:lang w:val="en-US" w:eastAsia="zh-CN" w:bidi="ar"/>
        </w:rPr>
      </w:pPr>
      <w:r>
        <w:rPr>
          <w:rFonts w:hint="eastAsia" w:cs="Times New Roman"/>
          <w:kern w:val="0"/>
          <w:sz w:val="24"/>
          <w:szCs w:val="28"/>
          <w:lang w:val="en-US" w:eastAsia="zh-CN"/>
        </w:rPr>
        <w:t>由于2023年Q4至2025年Q2期间的贷款数据观测时间不满足24个月的时长，</w:t>
      </w:r>
      <w:r>
        <w:rPr>
          <w:rFonts w:ascii="Times New Roman" w:hAnsi="Times New Roman" w:eastAsia="宋体" w:cs="宋体"/>
          <w:kern w:val="0"/>
          <w:sz w:val="24"/>
          <w:szCs w:val="24"/>
          <w:lang w:val="en-US" w:eastAsia="zh-CN" w:bidi="ar"/>
        </w:rPr>
        <w:t>按</w:t>
      </w:r>
      <w:r>
        <w:rPr>
          <w:rFonts w:hint="eastAsia" w:cs="宋体"/>
          <w:kern w:val="0"/>
          <w:sz w:val="24"/>
          <w:szCs w:val="24"/>
          <w:lang w:val="en-US" w:eastAsia="zh-CN" w:bidi="ar"/>
        </w:rPr>
        <w:t>传统做法应</w:t>
      </w:r>
      <w:r>
        <w:rPr>
          <w:rFonts w:ascii="Times New Roman" w:hAnsi="Times New Roman" w:eastAsia="宋体" w:cs="宋体"/>
          <w:kern w:val="0"/>
          <w:sz w:val="24"/>
          <w:szCs w:val="24"/>
          <w:lang w:val="en-US" w:eastAsia="zh-CN" w:bidi="ar"/>
        </w:rPr>
        <w:t>直接删除这部分数据，但在其中已有8150条样本已违约，这部分数据全部在发放</w:t>
      </w:r>
      <w:r>
        <w:rPr>
          <w:rFonts w:hint="eastAsia" w:cs="宋体"/>
          <w:kern w:val="0"/>
          <w:sz w:val="24"/>
          <w:szCs w:val="24"/>
          <w:lang w:val="en-US" w:eastAsia="zh-CN" w:bidi="ar"/>
        </w:rPr>
        <w:t>后</w:t>
      </w:r>
      <w:r>
        <w:rPr>
          <w:rFonts w:ascii="Times New Roman" w:hAnsi="Times New Roman" w:eastAsia="宋体" w:cs="宋体"/>
          <w:kern w:val="0"/>
          <w:sz w:val="24"/>
          <w:szCs w:val="24"/>
          <w:lang w:val="en-US" w:eastAsia="zh-CN" w:bidi="ar"/>
        </w:rPr>
        <w:t>23个月内触发违约属于</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快速恶化</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型高风险样本。传统处理将其丢弃</w:t>
      </w:r>
      <w:r>
        <w:rPr>
          <w:rFonts w:hint="eastAsia" w:cs="宋体"/>
          <w:kern w:val="0"/>
          <w:sz w:val="24"/>
          <w:szCs w:val="24"/>
          <w:lang w:val="en-US" w:eastAsia="zh-CN" w:bidi="ar"/>
        </w:rPr>
        <w:t>的做法</w:t>
      </w:r>
      <w:r>
        <w:rPr>
          <w:rFonts w:ascii="Times New Roman" w:hAnsi="Times New Roman" w:eastAsia="宋体" w:cs="宋体"/>
          <w:kern w:val="0"/>
          <w:sz w:val="24"/>
          <w:szCs w:val="24"/>
          <w:lang w:val="en-US" w:eastAsia="zh-CN" w:bidi="ar"/>
        </w:rPr>
        <w:t>，</w:t>
      </w:r>
      <w:r>
        <w:rPr>
          <w:rFonts w:hint="eastAsia" w:cs="宋体"/>
          <w:kern w:val="0"/>
          <w:sz w:val="24"/>
          <w:szCs w:val="24"/>
          <w:lang w:val="en-US" w:eastAsia="zh-CN" w:bidi="ar"/>
        </w:rPr>
        <w:t>会</w:t>
      </w:r>
      <w:r>
        <w:rPr>
          <w:rFonts w:ascii="Times New Roman" w:hAnsi="Times New Roman" w:eastAsia="宋体" w:cs="宋体"/>
          <w:kern w:val="0"/>
          <w:sz w:val="24"/>
          <w:szCs w:val="24"/>
          <w:lang w:val="en-US" w:eastAsia="zh-CN" w:bidi="ar"/>
        </w:rPr>
        <w:t>造成信息损失</w:t>
      </w:r>
      <w:r>
        <w:rPr>
          <w:rFonts w:hint="eastAsia" w:cs="宋体"/>
          <w:kern w:val="0"/>
          <w:sz w:val="24"/>
          <w:szCs w:val="24"/>
          <w:lang w:val="en-US" w:eastAsia="zh-CN" w:bidi="ar"/>
        </w:rPr>
        <w:t>，让</w:t>
      </w:r>
      <w:r>
        <w:rPr>
          <w:rFonts w:ascii="Times New Roman" w:hAnsi="Times New Roman" w:eastAsia="宋体" w:cs="宋体"/>
          <w:kern w:val="0"/>
          <w:sz w:val="24"/>
          <w:szCs w:val="24"/>
          <w:lang w:val="en-US" w:eastAsia="zh-CN" w:bidi="ar"/>
        </w:rPr>
        <w:t>这些样本所携带的</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快速违约特征模式</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未被利用。</w:t>
      </w:r>
    </w:p>
    <w:p w14:paraId="37FFFF59">
      <w:pPr>
        <w:keepNext w:val="0"/>
        <w:keepLines w:val="0"/>
        <w:pageBreakBefore w:val="0"/>
        <w:widowControl/>
        <w:suppressLineNumbers w:val="0"/>
        <w:kinsoku/>
        <w:wordWrap/>
        <w:overflowPunct/>
        <w:topLinePunct w:val="0"/>
        <w:autoSpaceDE/>
        <w:autoSpaceDN/>
        <w:bidi w:val="0"/>
        <w:adjustRightInd/>
        <w:snapToGrid/>
        <w:spacing w:line="300" w:lineRule="auto"/>
        <w:ind w:firstLine="480" w:firstLineChars="200"/>
        <w:jc w:val="both"/>
        <w:textAlignment w:val="auto"/>
        <w:rPr>
          <w:rFonts w:hint="eastAsia" w:cs="Times New Roman"/>
          <w:kern w:val="0"/>
          <w:sz w:val="24"/>
          <w:szCs w:val="28"/>
          <w:lang w:val="en-US" w:eastAsia="zh-CN"/>
        </w:rPr>
      </w:pPr>
      <w:r>
        <w:rPr>
          <w:rFonts w:ascii="Times New Roman" w:hAnsi="Times New Roman" w:eastAsia="宋体" w:cs="宋体"/>
          <w:kern w:val="0"/>
          <w:sz w:val="24"/>
          <w:szCs w:val="24"/>
          <w:lang w:val="en-US" w:eastAsia="zh-CN" w:bidi="ar"/>
        </w:rPr>
        <w:t>因此本文将这</w:t>
      </w:r>
      <w:r>
        <w:rPr>
          <w:rFonts w:hint="eastAsia" w:cs="宋体"/>
          <w:kern w:val="0"/>
          <w:sz w:val="24"/>
          <w:szCs w:val="24"/>
          <w:lang w:val="en-US" w:eastAsia="zh-CN" w:bidi="ar"/>
        </w:rPr>
        <w:t>8150</w:t>
      </w:r>
      <w:r>
        <w:rPr>
          <w:rFonts w:ascii="Times New Roman" w:hAnsi="Times New Roman" w:eastAsia="宋体" w:cs="宋体"/>
          <w:kern w:val="0"/>
          <w:sz w:val="24"/>
          <w:szCs w:val="24"/>
          <w:lang w:val="en-US" w:eastAsia="zh-CN" w:bidi="ar"/>
        </w:rPr>
        <w:t>笔右删失违约样本单独保留，不作为训练样本直接参与模型拟合</w:t>
      </w:r>
      <w:r>
        <w:rPr>
          <w:rFonts w:hint="eastAsia" w:cs="宋体"/>
          <w:kern w:val="0"/>
          <w:sz w:val="24"/>
          <w:szCs w:val="24"/>
          <w:lang w:val="en-US" w:eastAsia="zh-CN" w:bidi="ar"/>
        </w:rPr>
        <w:t>。为从中提取违约模式信息，本文首先在2022年第一季度至2023年第三季度34077笔完整观测违约贷款上构建违约速度标签（speed_labe），将首次违约时间不超过12个月的贷款标记为Early Default，speed_labe标签值取1；首次违约时间在13-24个月之间的贷款的标记为Late Default，speed_labe标签值取0。</w:t>
      </w:r>
      <w:r>
        <w:rPr>
          <w:rFonts w:hint="default" w:cs="Times New Roman"/>
          <w:kern w:val="0"/>
          <w:sz w:val="24"/>
          <w:szCs w:val="28"/>
          <w:lang w:val="en-US" w:eastAsia="zh-CN"/>
        </w:rPr>
        <w:t>统计结果表明，Early Default共</w:t>
      </w:r>
      <w:r>
        <w:rPr>
          <w:rFonts w:hint="eastAsia" w:cs="Times New Roman"/>
          <w:kern w:val="0"/>
          <w:sz w:val="24"/>
          <w:szCs w:val="28"/>
          <w:lang w:val="en-US" w:eastAsia="zh-CN"/>
        </w:rPr>
        <w:t>1</w:t>
      </w:r>
      <w:r>
        <w:rPr>
          <w:rFonts w:hint="default" w:cs="Times New Roman"/>
          <w:kern w:val="0"/>
          <w:sz w:val="24"/>
          <w:szCs w:val="28"/>
          <w:lang w:val="en-US" w:eastAsia="zh-CN"/>
        </w:rPr>
        <w:t>3901笔（占40.8%），Late Default共</w:t>
      </w:r>
      <w:r>
        <w:rPr>
          <w:rFonts w:hint="eastAsia" w:cs="Times New Roman"/>
          <w:kern w:val="0"/>
          <w:sz w:val="24"/>
          <w:szCs w:val="28"/>
          <w:lang w:val="en-US" w:eastAsia="zh-CN"/>
        </w:rPr>
        <w:t>20176</w:t>
      </w:r>
      <w:r>
        <w:rPr>
          <w:rFonts w:hint="default" w:cs="Times New Roman"/>
          <w:kern w:val="0"/>
          <w:sz w:val="24"/>
          <w:szCs w:val="28"/>
          <w:lang w:val="en-US" w:eastAsia="zh-CN"/>
        </w:rPr>
        <w:t>笔（占59.2%），两类比例约为1:1.45。</w:t>
      </w:r>
    </w:p>
    <w:p w14:paraId="1279C55F">
      <w:pPr>
        <w:keepNext w:val="0"/>
        <w:keepLines w:val="0"/>
        <w:pageBreakBefore w:val="0"/>
        <w:widowControl/>
        <w:suppressLineNumbers w:val="0"/>
        <w:kinsoku/>
        <w:wordWrap/>
        <w:overflowPunct/>
        <w:topLinePunct w:val="0"/>
        <w:autoSpaceDE/>
        <w:autoSpaceDN/>
        <w:bidi w:val="0"/>
        <w:adjustRightInd/>
        <w:snapToGrid/>
        <w:spacing w:line="300" w:lineRule="auto"/>
        <w:ind w:firstLine="480" w:firstLineChars="200"/>
        <w:jc w:val="both"/>
        <w:textAlignment w:val="auto"/>
        <w:rPr>
          <w:rFonts w:hint="default" w:cs="宋体"/>
          <w:kern w:val="0"/>
          <w:sz w:val="24"/>
          <w:szCs w:val="24"/>
          <w:lang w:val="en-US" w:eastAsia="zh-CN" w:bidi="ar"/>
        </w:rPr>
      </w:pPr>
      <w:r>
        <w:rPr>
          <w:rFonts w:hint="eastAsia" w:cs="宋体"/>
          <w:kern w:val="0"/>
          <w:sz w:val="24"/>
          <w:szCs w:val="24"/>
          <w:lang w:val="en-US" w:eastAsia="zh-CN" w:bidi="ar"/>
        </w:rPr>
        <w:t>本文将以这一标签为训练目标，将全部13个预测变量作为输入变量，训练违约速度分类器（speed_clf），学习区分快速恶化与缓慢恶化两类违约模式的特征组合。训练完成后，speed_clf对前述8150笔右删失违约样本进行推断，输出违约倾向得分r，即给定静态特征下该笔贷款属于快速违约模式的后验概率，以此作为后续条件GAN生成器的引导信号。</w:t>
      </w:r>
    </w:p>
    <w:p w14:paraId="43269B46">
      <w:pPr>
        <w:numPr>
          <w:ilvl w:val="0"/>
          <w:numId w:val="1"/>
        </w:numPr>
        <w:outlineLvl w:val="0"/>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lang w:val="en-US" w:eastAsia="zh-CN"/>
        </w:rPr>
        <w:t>论</w:t>
      </w:r>
      <w:r>
        <w:rPr>
          <w:rFonts w:hint="eastAsia" w:ascii="Times New Roman" w:hAnsi="Times New Roman" w:eastAsia="黑体" w:cs="Times New Roman"/>
          <w:b/>
          <w:bCs/>
          <w:kern w:val="44"/>
          <w:sz w:val="32"/>
          <w:szCs w:val="32"/>
        </w:rPr>
        <w:t>文写作进度时间安排</w:t>
      </w:r>
    </w:p>
    <w:p w14:paraId="4D8CC107">
      <w:pPr>
        <w:numPr>
          <w:ilvl w:val="0"/>
          <w:numId w:val="6"/>
        </w:numPr>
        <w:spacing w:line="300" w:lineRule="auto"/>
        <w:ind w:firstLine="562" w:firstLineChars="200"/>
        <w:jc w:val="left"/>
        <w:outlineLvl w:val="1"/>
        <w:rPr>
          <w:rFonts w:hint="eastAsia" w:ascii="Calibri Light" w:hAnsi="Calibri Light" w:cs="Times New Roman"/>
          <w:b/>
          <w:bCs/>
          <w:kern w:val="0"/>
          <w:sz w:val="28"/>
          <w:szCs w:val="28"/>
          <w:lang w:val="en-US" w:eastAsia="zh-CN"/>
        </w:rPr>
      </w:pPr>
      <w:r>
        <w:rPr>
          <w:rFonts w:hint="eastAsia" w:ascii="Calibri Light" w:hAnsi="Calibri Light" w:cs="Times New Roman"/>
          <w:b/>
          <w:bCs/>
          <w:kern w:val="0"/>
          <w:sz w:val="28"/>
          <w:szCs w:val="28"/>
          <w:lang w:val="en-US" w:eastAsia="zh-CN"/>
        </w:rPr>
        <w:t>进度安排</w:t>
      </w:r>
    </w:p>
    <w:p w14:paraId="12EF52F1">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1.第一阶段（5-7月）：进行文献收集和阅读，完成文献综述和理论基础部分的撰写。</w:t>
      </w:r>
    </w:p>
    <w:p w14:paraId="60AE84D2">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2.第二阶段（7-11月）：进行实证研究设计，收集和处理数据，完成实证分析和案例分析部分的撰写。</w:t>
      </w:r>
    </w:p>
    <w:p w14:paraId="166F85BB">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3.第三阶段（11-12月）：提出解决方案和对策，完成解决方案部分的撰写，并对全文进行初步修改和完善。</w:t>
      </w:r>
    </w:p>
    <w:p w14:paraId="3ACA2727">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4.第四阶段（12-次年3月）：进行论文的定稿和提交工作，准备答辩和展示。</w:t>
      </w:r>
    </w:p>
    <w:p w14:paraId="001F9D84">
      <w:pPr>
        <w:numPr>
          <w:ilvl w:val="0"/>
          <w:numId w:val="6"/>
        </w:numPr>
        <w:spacing w:line="300" w:lineRule="auto"/>
        <w:ind w:firstLine="562" w:firstLineChars="200"/>
        <w:jc w:val="left"/>
        <w:outlineLvl w:val="1"/>
        <w:rPr>
          <w:rFonts w:hint="eastAsia" w:ascii="Calibri Light" w:hAnsi="Calibri Light" w:cs="Times New Roman"/>
          <w:b/>
          <w:bCs/>
          <w:kern w:val="0"/>
          <w:sz w:val="28"/>
          <w:szCs w:val="28"/>
          <w:lang w:val="en-US" w:eastAsia="zh-CN"/>
        </w:rPr>
      </w:pPr>
      <w:r>
        <w:rPr>
          <w:rFonts w:hint="eastAsia" w:ascii="Calibri Light" w:hAnsi="Calibri Light" w:cs="Times New Roman"/>
          <w:b/>
          <w:bCs/>
          <w:kern w:val="0"/>
          <w:sz w:val="28"/>
          <w:szCs w:val="28"/>
          <w:lang w:val="en-US" w:eastAsia="zh-CN"/>
        </w:rPr>
        <w:t>完成论文撰写需要采取的主要措施</w:t>
      </w:r>
    </w:p>
    <w:p w14:paraId="7F404C6A">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1.制定详细的研究计划和时间表，确保研究的进度和质量。</w:t>
      </w:r>
    </w:p>
    <w:p w14:paraId="18F06A16">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2.加强与指导老师的沟通和交流，及时解决研究过程中遇到的问题和困难。</w:t>
      </w:r>
    </w:p>
    <w:p w14:paraId="6C195EA4">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3.充分理由各种资源和技术手段，如图书馆、数据库、网络等，确保研究的准确性和可靠性。</w:t>
      </w:r>
    </w:p>
    <w:p w14:paraId="1F67DA85">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4.认真修改和完善论文的每一部分，确保论文的逻辑性和连贯性。</w:t>
      </w:r>
    </w:p>
    <w:p w14:paraId="785ABB80">
      <w:pPr>
        <w:spacing w:line="300" w:lineRule="auto"/>
        <w:ind w:firstLine="480" w:firstLineChars="200"/>
        <w:jc w:val="both"/>
        <w:outlineLvl w:val="9"/>
        <w:rPr>
          <w:rFonts w:hint="eastAsia" w:cs="Times New Roman"/>
          <w:kern w:val="0"/>
          <w:sz w:val="24"/>
          <w:szCs w:val="28"/>
          <w:lang w:val="en-US" w:eastAsia="zh-CN"/>
        </w:rPr>
      </w:pPr>
      <w:r>
        <w:rPr>
          <w:rFonts w:hint="eastAsia" w:cs="Times New Roman"/>
          <w:kern w:val="0"/>
          <w:sz w:val="24"/>
          <w:szCs w:val="28"/>
          <w:lang w:val="en-US" w:eastAsia="zh-CN"/>
        </w:rPr>
        <w:t>5.定期进行自我评估和反思，及时调整研究计划和方向。</w:t>
      </w:r>
    </w:p>
    <w:p w14:paraId="567C5934">
      <w:pPr>
        <w:numPr>
          <w:ilvl w:val="0"/>
          <w:numId w:val="1"/>
        </w:numPr>
        <w:outlineLvl w:val="0"/>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rPr>
        <w:t>查阅主要文献</w:t>
      </w:r>
    </w:p>
    <w:p w14:paraId="4C85150C">
      <w:pPr>
        <w:numPr>
          <w:ilvl w:val="0"/>
          <w:numId w:val="7"/>
        </w:numPr>
        <w:wordWrap w:val="0"/>
        <w:autoSpaceDE w:val="0"/>
        <w:autoSpaceDN w:val="0"/>
        <w:ind w:left="420" w:hangingChars="200"/>
        <w:rPr>
          <w:rFonts w:hint="eastAsia" w:ascii="Times New Roman" w:hAnsi="Times New Roman" w:eastAsiaTheme="minorEastAsia" w:cstheme="minorBidi"/>
          <w:lang w:val="en-US" w:eastAsia="zh-CN"/>
        </w:rPr>
      </w:pPr>
      <w:r>
        <w:rPr>
          <w:rFonts w:hint="eastAsia" w:ascii="Times New Roman" w:hAnsi="Times New Roman" w:eastAsiaTheme="minorEastAsia" w:cstheme="minorBidi"/>
        </w:rPr>
        <w:t>Mushava J, Murray M. Flexible loss functions for binary classification in gradient-boosted decision trees: An application to credit scoring[J]. Expert Systems with Applications, 2024, 238: 121876.</w:t>
      </w:r>
    </w:p>
    <w:p w14:paraId="6F0C7908">
      <w:pPr>
        <w:widowControl w:val="0"/>
        <w:numPr>
          <w:ilvl w:val="0"/>
          <w:numId w:val="7"/>
        </w:numPr>
        <w:wordWrap w:val="0"/>
        <w:autoSpaceDE w:val="0"/>
        <w:autoSpaceDN w:val="0"/>
        <w:ind w:left="420" w:leftChars="0" w:hanging="420" w:firstLineChars="0"/>
        <w:jc w:val="both"/>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Tabibian M, Razmpour T, Saha R. Diffusion Models vs. DCGANs for Class-Imbalanced Lung Cancer CT Classification: A Comparative Study[J]. Intelligence-Based Medicine, 2025: 100336.</w:t>
      </w:r>
    </w:p>
    <w:p w14:paraId="17D0898F">
      <w:pPr>
        <w:widowControl w:val="0"/>
        <w:numPr>
          <w:ilvl w:val="0"/>
          <w:numId w:val="7"/>
        </w:numPr>
        <w:wordWrap w:val="0"/>
        <w:autoSpaceDE w:val="0"/>
        <w:autoSpaceDN w:val="0"/>
        <w:ind w:left="420" w:leftChars="0" w:hanging="420" w:firstLineChars="0"/>
        <w:jc w:val="both"/>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Li L H, Sharma A K, Cheng S T. Explainable AI based LightGBM prediction model to predict default borrower in social lending platform[J]. Intelligent Systems with Applications, 2025, 26: 200514.</w:t>
      </w:r>
    </w:p>
    <w:p w14:paraId="517527A3">
      <w:pPr>
        <w:widowControl w:val="0"/>
        <w:numPr>
          <w:ilvl w:val="0"/>
          <w:numId w:val="7"/>
        </w:numPr>
        <w:wordWrap w:val="0"/>
        <w:autoSpaceDE w:val="0"/>
        <w:autoSpaceDN w:val="0"/>
        <w:ind w:left="420" w:leftChars="0" w:hanging="420" w:firstLineChars="0"/>
        <w:jc w:val="both"/>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Yang Y, Su Z, Zhang Y, et al. Kolmogorov-Arnold Networks-based GRU and LSTM for Loan Default Early Prediction[J]. arXiv preprint arXiv:2507.13685, 2025.</w:t>
      </w:r>
    </w:p>
    <w:p w14:paraId="239D4A42">
      <w:pPr>
        <w:widowControl w:val="0"/>
        <w:numPr>
          <w:ilvl w:val="0"/>
          <w:numId w:val="7"/>
        </w:numPr>
        <w:wordWrap w:val="0"/>
        <w:autoSpaceDE w:val="0"/>
        <w:autoSpaceDN w:val="0"/>
        <w:ind w:left="420" w:leftChars="0" w:hanging="420" w:firstLineChars="0"/>
        <w:jc w:val="both"/>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Lee M J, Choi S Y. The impact of financial statement indicators on bank credit ratings: Insights from machine learning and SHAP techniques[J]. Finance Research Letters, 2025, 85: 107758.</w:t>
      </w:r>
    </w:p>
    <w:p w14:paraId="709D00D2">
      <w:pPr>
        <w:widowControl w:val="0"/>
        <w:numPr>
          <w:ilvl w:val="0"/>
          <w:numId w:val="7"/>
        </w:numPr>
        <w:wordWrap w:val="0"/>
        <w:autoSpaceDE w:val="0"/>
        <w:autoSpaceDN w:val="0"/>
        <w:ind w:left="420" w:leftChars="0" w:hanging="420" w:firstLineChars="0"/>
        <w:jc w:val="both"/>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Sun M, Kraus T, Eilts J, et al. Machine Learning for Predicting Sense of Place Among Hybrid Workers: A SHAP-based Analysis of Key Factors[J]. Wellbeing, Space and Society, 2025: 100328.</w:t>
      </w:r>
    </w:p>
    <w:p w14:paraId="719B72FA">
      <w:pPr>
        <w:widowControl w:val="0"/>
        <w:numPr>
          <w:ilvl w:val="0"/>
          <w:numId w:val="7"/>
        </w:numPr>
        <w:wordWrap w:val="0"/>
        <w:autoSpaceDE w:val="0"/>
        <w:autoSpaceDN w:val="0"/>
        <w:ind w:left="420" w:leftChars="0" w:hanging="420" w:firstLineChars="0"/>
        <w:jc w:val="both"/>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Zhou X, Shi P. Graph neural network with generative adversarial training for node classification on class imbalanced data[J]. Engineering Applications of Artificial Intelligence, 2025, 161: 112264.</w:t>
      </w:r>
    </w:p>
    <w:p w14:paraId="0DDE338F">
      <w:pPr>
        <w:widowControl w:val="0"/>
        <w:numPr>
          <w:ilvl w:val="0"/>
          <w:numId w:val="7"/>
        </w:numPr>
        <w:wordWrap w:val="0"/>
        <w:autoSpaceDE w:val="0"/>
        <w:autoSpaceDN w:val="0"/>
        <w:ind w:left="420" w:leftChars="0" w:hanging="420" w:firstLineChars="0"/>
        <w:jc w:val="both"/>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Wang W, Chen Y, Wang L, et al. Developing the value of legal judgments of supply chain finance for credit risk prediction through novel ACWGAN-GPSA approach[J]. Transportation Research Part E: Logistics and Transportation Review, 2025, 196: 104020.</w:t>
      </w:r>
    </w:p>
    <w:p w14:paraId="218A4B66">
      <w:pPr>
        <w:widowControl w:val="0"/>
        <w:numPr>
          <w:ilvl w:val="0"/>
          <w:numId w:val="7"/>
        </w:numPr>
        <w:wordWrap w:val="0"/>
        <w:autoSpaceDE w:val="0"/>
        <w:autoSpaceDN w:val="0"/>
        <w:ind w:left="420" w:leftChars="0" w:hanging="420" w:firstLineChars="0"/>
        <w:jc w:val="both"/>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Aruleba I, Sun Y. Enhanced credit risk prediction using deep learning and SMOTE-ENN resampling[J]. Machine learning with applications, 2025, 21: 100692.</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roman"/>
    <w:pitch w:val="default"/>
    <w:sig w:usb0="800002BF" w:usb1="38CF7CFA" w:usb2="00000016" w:usb3="00000000" w:csb0="00040001" w:csb1="00000000"/>
  </w:font>
  <w:font w:name="楷体-简">
    <w:altName w:val="楷体"/>
    <w:panose1 w:val="02010600040101010101"/>
    <w:charset w:val="86"/>
    <w:family w:val="auto"/>
    <w:pitch w:val="default"/>
    <w:sig w:usb0="00000000" w:usb1="0000000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504804"/>
    <w:multiLevelType w:val="multilevel"/>
    <w:tmpl w:val="A4504804"/>
    <w:lvl w:ilvl="0" w:tentative="0">
      <w:start w:val="1"/>
      <w:numFmt w:val="decimal"/>
      <w:lvlText w:val="[%1]"/>
      <w:lvlJc w:val="left"/>
      <w:pPr>
        <w:ind w:left="562"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1B9BD04"/>
    <w:multiLevelType w:val="singleLevel"/>
    <w:tmpl w:val="B1B9BD04"/>
    <w:lvl w:ilvl="0" w:tentative="0">
      <w:start w:val="1"/>
      <w:numFmt w:val="chineseCounting"/>
      <w:suff w:val="nothing"/>
      <w:lvlText w:val="（%1）"/>
      <w:lvlJc w:val="left"/>
      <w:rPr>
        <w:rFonts w:hint="eastAsia"/>
      </w:rPr>
    </w:lvl>
  </w:abstractNum>
  <w:abstractNum w:abstractNumId="2">
    <w:nsid w:val="C3786388"/>
    <w:multiLevelType w:val="singleLevel"/>
    <w:tmpl w:val="C3786388"/>
    <w:lvl w:ilvl="0" w:tentative="0">
      <w:start w:val="1"/>
      <w:numFmt w:val="chineseCounting"/>
      <w:suff w:val="nothing"/>
      <w:lvlText w:val="（%1）"/>
      <w:lvlJc w:val="left"/>
      <w:rPr>
        <w:rFonts w:hint="eastAsia"/>
      </w:rPr>
    </w:lvl>
  </w:abstractNum>
  <w:abstractNum w:abstractNumId="3">
    <w:nsid w:val="28B58E96"/>
    <w:multiLevelType w:val="singleLevel"/>
    <w:tmpl w:val="28B58E96"/>
    <w:lvl w:ilvl="0" w:tentative="0">
      <w:start w:val="1"/>
      <w:numFmt w:val="chineseCounting"/>
      <w:suff w:val="nothing"/>
      <w:lvlText w:val="（%1）"/>
      <w:lvlJc w:val="left"/>
      <w:rPr>
        <w:rFonts w:hint="eastAsia"/>
      </w:rPr>
    </w:lvl>
  </w:abstractNum>
  <w:abstractNum w:abstractNumId="4">
    <w:nsid w:val="2F99E530"/>
    <w:multiLevelType w:val="singleLevel"/>
    <w:tmpl w:val="2F99E530"/>
    <w:lvl w:ilvl="0" w:tentative="0">
      <w:start w:val="1"/>
      <w:numFmt w:val="chineseCounting"/>
      <w:suff w:val="nothing"/>
      <w:lvlText w:val="%1、"/>
      <w:lvlJc w:val="left"/>
      <w:rPr>
        <w:rFonts w:hint="eastAsia"/>
      </w:rPr>
    </w:lvl>
  </w:abstractNum>
  <w:abstractNum w:abstractNumId="5">
    <w:nsid w:val="5AB5B28E"/>
    <w:multiLevelType w:val="singleLevel"/>
    <w:tmpl w:val="5AB5B28E"/>
    <w:lvl w:ilvl="0" w:tentative="0">
      <w:start w:val="1"/>
      <w:numFmt w:val="chineseCounting"/>
      <w:suff w:val="nothing"/>
      <w:lvlText w:val="（%1）"/>
      <w:lvlJc w:val="left"/>
      <w:rPr>
        <w:rFonts w:hint="eastAsia"/>
      </w:rPr>
    </w:lvl>
  </w:abstractNum>
  <w:abstractNum w:abstractNumId="6">
    <w:nsid w:val="74D72B8F"/>
    <w:multiLevelType w:val="singleLevel"/>
    <w:tmpl w:val="74D72B8F"/>
    <w:lvl w:ilvl="0" w:tentative="0">
      <w:start w:val="1"/>
      <w:numFmt w:val="chineseCounting"/>
      <w:suff w:val="nothing"/>
      <w:lvlText w:val="（%1）"/>
      <w:lvlJc w:val="left"/>
      <w:rPr>
        <w:rFonts w:hint="eastAsia"/>
      </w:rPr>
    </w:lvl>
  </w:abstractNum>
  <w:num w:numId="1">
    <w:abstractNumId w:val="4"/>
  </w:num>
  <w:num w:numId="2">
    <w:abstractNumId w:val="6"/>
  </w:num>
  <w:num w:numId="3">
    <w:abstractNumId w:val="3"/>
  </w:num>
  <w:num w:numId="4">
    <w:abstractNumId w:val="1"/>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8E64C4"/>
    <w:rsid w:val="00D6727A"/>
    <w:rsid w:val="02866093"/>
    <w:rsid w:val="03EC02D4"/>
    <w:rsid w:val="049941F3"/>
    <w:rsid w:val="05127BD7"/>
    <w:rsid w:val="068D41EC"/>
    <w:rsid w:val="0C943F7B"/>
    <w:rsid w:val="0EE77D1C"/>
    <w:rsid w:val="10F82212"/>
    <w:rsid w:val="147A357D"/>
    <w:rsid w:val="16CB4564"/>
    <w:rsid w:val="19970EAB"/>
    <w:rsid w:val="1A544563"/>
    <w:rsid w:val="1B274F60"/>
    <w:rsid w:val="1D7B7C87"/>
    <w:rsid w:val="214E314D"/>
    <w:rsid w:val="22FF181D"/>
    <w:rsid w:val="24AD1C0A"/>
    <w:rsid w:val="24E35B9C"/>
    <w:rsid w:val="252F68E6"/>
    <w:rsid w:val="25E92392"/>
    <w:rsid w:val="260B390D"/>
    <w:rsid w:val="299A1C85"/>
    <w:rsid w:val="29F509F4"/>
    <w:rsid w:val="2BCB18BB"/>
    <w:rsid w:val="2BCF6C22"/>
    <w:rsid w:val="2DFD7FE0"/>
    <w:rsid w:val="2E0A0F8F"/>
    <w:rsid w:val="2E4C079B"/>
    <w:rsid w:val="2E6B420B"/>
    <w:rsid w:val="2F276065"/>
    <w:rsid w:val="2F5702B4"/>
    <w:rsid w:val="30FF6E8C"/>
    <w:rsid w:val="316C4649"/>
    <w:rsid w:val="33DA3272"/>
    <w:rsid w:val="35355A03"/>
    <w:rsid w:val="360311CD"/>
    <w:rsid w:val="373E3013"/>
    <w:rsid w:val="3A960861"/>
    <w:rsid w:val="3B80172C"/>
    <w:rsid w:val="3C97266F"/>
    <w:rsid w:val="3CA474C1"/>
    <w:rsid w:val="3D031220"/>
    <w:rsid w:val="3F060465"/>
    <w:rsid w:val="4153125A"/>
    <w:rsid w:val="41DF2AEE"/>
    <w:rsid w:val="429B2C49"/>
    <w:rsid w:val="444A6219"/>
    <w:rsid w:val="474B2909"/>
    <w:rsid w:val="498E64C4"/>
    <w:rsid w:val="4C20442F"/>
    <w:rsid w:val="4C536E11"/>
    <w:rsid w:val="4CFD02CC"/>
    <w:rsid w:val="51F85506"/>
    <w:rsid w:val="54532EC8"/>
    <w:rsid w:val="59357E4C"/>
    <w:rsid w:val="594D0BAD"/>
    <w:rsid w:val="5CD05F86"/>
    <w:rsid w:val="5D9543AA"/>
    <w:rsid w:val="60671746"/>
    <w:rsid w:val="61DF1A53"/>
    <w:rsid w:val="68881711"/>
    <w:rsid w:val="6ABF49BB"/>
    <w:rsid w:val="700215D2"/>
    <w:rsid w:val="739D1E38"/>
    <w:rsid w:val="74895648"/>
    <w:rsid w:val="7656342E"/>
    <w:rsid w:val="76FB48C2"/>
    <w:rsid w:val="770C7339"/>
    <w:rsid w:val="77740388"/>
    <w:rsid w:val="77A05C25"/>
    <w:rsid w:val="7A4713E3"/>
    <w:rsid w:val="7A560E20"/>
    <w:rsid w:val="7E5971A9"/>
    <w:rsid w:val="7EE06F82"/>
    <w:rsid w:val="7F2968FC"/>
    <w:rsid w:val="7FBD2C3C"/>
    <w:rsid w:val="7FF40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2026-05-22T02:28:00Z</dcterms:created>
  <dc:creator>Vincent.</dc:creator>
  <cp:lastModifiedBy>Vincent.</cp:lastModifiedBy>
  <dcterms:modified xsi:type="dcterms:W3CDTF">2026-05-24T12:53:54Z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C8889590D71E4E0E971856C54839BD4C_11</vt:lpwstr>
  </property>
  <property fmtid="{D5CDD505-2E9C-101B-9397-08002B2CF9AE}" pid="4" name="KSOTemplateDocerSaveRecord">
    <vt:lpwstr>eyJoZGlkIjoiMDlhYzJkYjE3MjhhNGNiM2RiMzY2YjY1ZTAyNTgxMmYiLCJ1c2VySWQiOiIxMDMzOTI1NDY1In0=</vt:lpwstr>
  </property>
</Properties>
</file>