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ufjop7lpvpet" w:id="0"/>
      <w:bookmarkEnd w:id="0"/>
      <w:r w:rsidDel="00000000" w:rsidR="00000000" w:rsidRPr="00000000">
        <w:rPr>
          <w:sz w:val="46"/>
          <w:szCs w:val="46"/>
          <w:rtl w:val="0"/>
        </w:rPr>
        <w:t xml:space="preserve">Conclusion</w:t>
      </w:r>
    </w:p>
    <w:p w:rsidR="00000000" w:rsidDel="00000000" w:rsidP="00000000" w:rsidRDefault="00000000" w:rsidRPr="00000000" w14:paraId="00000002">
      <w:pPr>
        <w:spacing w:after="240" w:before="240" w:lineRule="auto"/>
        <w:rPr/>
      </w:pPr>
      <w:r w:rsidDel="00000000" w:rsidR="00000000" w:rsidRPr="00000000">
        <w:rPr>
          <w:rtl w:val="0"/>
        </w:rPr>
        <w:t xml:space="preserve">The objective of this analysis is to evaluate the predictive performance of classical bankruptcy scoring models and modern machine-learning approaches using a cleaned and winsorized version of the Polish corporate bankruptcy dataset. In order to capture the most informative signs of distress the analysis focuses on financial ratios in Year 5 (the period closest to the bankruptcy event). Extra attention is given to the challenges posed by the class imbalance in the dataset, where only a small proportion of firms eventually declared bankruptcy. The analysis looks at traditional statistical scoring models: Logistic Regression, Random Forests, and XGBoost, performed under both standard training procedures and oversampling through SMOTE, with evaluation based on AUC, recall, precision, and F1-score.</w:t>
      </w:r>
    </w:p>
    <w:p w:rsidR="00000000" w:rsidDel="00000000" w:rsidP="00000000" w:rsidRDefault="00000000" w:rsidRPr="00000000" w14:paraId="00000003">
      <w:pPr>
        <w:spacing w:after="240" w:before="240" w:lineRule="auto"/>
        <w:rPr/>
      </w:pPr>
      <w:r w:rsidDel="00000000" w:rsidR="00000000" w:rsidRPr="00000000">
        <w:rPr>
          <w:rtl w:val="0"/>
        </w:rPr>
        <w:t xml:space="preserve">Before modelling, exploratory analysis of the financial ratios revealed significant differences between bankrupt and non-bankrupt firms even five years prior to failure. Bankrupt firms showed systematically weaker liquidity and profitability, higher leverage, and lower operational efficiency. Kernel density plots confirmed that the distributions of key ratios for bankrupt firms were consistently shifted toward adverse values, while correlation and mutual information revealed that leverage-, profitability-, and liquidity-related indicators possessed the strongest associations with bankruptcy. These findings are consistent with established theories of financial distress and support the use of financial ratios as early-warning indicators.</w:t>
      </w:r>
    </w:p>
    <w:p w:rsidR="00000000" w:rsidDel="00000000" w:rsidP="00000000" w:rsidRDefault="00000000" w:rsidRPr="00000000" w14:paraId="00000004">
      <w:pPr>
        <w:spacing w:after="240" w:before="240" w:lineRule="auto"/>
        <w:rPr/>
      </w:pPr>
      <w:r w:rsidDel="00000000" w:rsidR="00000000" w:rsidRPr="00000000">
        <w:rPr>
          <w:rtl w:val="0"/>
        </w:rPr>
        <w:t xml:space="preserve">The initial comparison with classical statistical models highlighted clear limitations. The Altman Z-score, estimated using only the ratios available in the dataset, performed poorly, achieving an AUC of just 0.323, indicating worse-than-random classification. This result is not surprising: the original Z-score depends heavily on variables not present in the dataset (e.g., market value of equity), and the omission of these elements severely weakens discriminatory power. The Ohlson O-score, although also incomplete, performed considerably better, yielding an AUC of 0.783, but is still behind all machine-learning models. These results suggest that while classical scoring systems can provide broad directional assessments, they are insufficient for high-quality prediction when applied to incomplete or transformed financial data.</w:t>
      </w:r>
    </w:p>
    <w:p w:rsidR="00000000" w:rsidDel="00000000" w:rsidP="00000000" w:rsidRDefault="00000000" w:rsidRPr="00000000" w14:paraId="00000005">
      <w:pPr>
        <w:spacing w:after="240" w:before="240" w:lineRule="auto"/>
        <w:rPr/>
      </w:pPr>
      <w:r w:rsidDel="00000000" w:rsidR="00000000" w:rsidRPr="00000000">
        <w:rPr>
          <w:rtl w:val="0"/>
        </w:rPr>
        <w:t xml:space="preserve">Modern machine-learning methods demonstrated substantially stronger predictive capacity. Logistic Regression with class balancing achieved the highest overall AUC in the study at 0.943, with an exceptionally strong recall of 0.85, indicating that it successfully identified the large majority of bankrupt firms. Although its precision was low (0.17), this is expected in severe class-imbalance settings; importantly, its ability to avoid false negatives is valuable for an early-warning system. Logistic Regression with SMOTE produced similar performance (AUC 0.935, recall 0.75), showing that oversampling was not strictly necessary when class weights were used, though it still improved the balance between predicting bankrupt vs. non-bankrupt firms.</w:t>
      </w:r>
    </w:p>
    <w:p w:rsidR="00000000" w:rsidDel="00000000" w:rsidP="00000000" w:rsidRDefault="00000000" w:rsidRPr="00000000" w14:paraId="00000006">
      <w:pPr>
        <w:spacing w:after="240" w:before="240" w:lineRule="auto"/>
        <w:rPr/>
      </w:pPr>
      <w:r w:rsidDel="00000000" w:rsidR="00000000" w:rsidRPr="00000000">
        <w:rPr>
          <w:rtl w:val="0"/>
        </w:rPr>
        <w:t xml:space="preserve">Random Forest models exhibited contrasting behavior. The baseline Random Forest achieved a high AUC of 0.937, but this masked a recall of only 0.15, the model rarely predicted bankruptcy at all, despite achieving perfect precision on the few cases it identified. This reflects a well-known issue: Random Forests tend to prefer majority classes unless carefully tuned. Applying SMOTE improved recall to 0.35 and F1-score to 0.378, though overall AUC declined to 0.924. These results indicate that Random Forests is not suitable as a standalone method for such an imbalanced problem, unless supported by other imbalance techniques.</w:t>
      </w:r>
    </w:p>
    <w:p w:rsidR="00000000" w:rsidDel="00000000" w:rsidP="00000000" w:rsidRDefault="00000000" w:rsidRPr="00000000" w14:paraId="00000007">
      <w:pPr>
        <w:spacing w:after="240" w:before="240" w:lineRule="auto"/>
        <w:rPr/>
      </w:pPr>
      <w:r w:rsidDel="00000000" w:rsidR="00000000" w:rsidRPr="00000000">
        <w:rPr>
          <w:rtl w:val="0"/>
        </w:rPr>
        <w:t xml:space="preserve">XGBoost provided one of the best overall performances. Without oversampling, it achieved an AUC of 0.932, precision of 0.889, and recall of 0.40, indicating that it captured a substantial subset of bankruptcies while maintaining relatively few false positives. When paired with SMOTE, recall improved to 0.50, though AUC decreased slightly to 0.912. XGBoost thus demonstrated strong discriminatory power and robustness, making it one of the top-performing non-linear models.</w:t>
      </w:r>
    </w:p>
    <w:p w:rsidR="00000000" w:rsidDel="00000000" w:rsidP="00000000" w:rsidRDefault="00000000" w:rsidRPr="00000000" w14:paraId="00000008">
      <w:pPr>
        <w:spacing w:after="240" w:before="240" w:lineRule="auto"/>
        <w:rPr/>
      </w:pPr>
      <w:r w:rsidDel="00000000" w:rsidR="00000000" w:rsidRPr="00000000">
        <w:rPr>
          <w:rtl w:val="0"/>
        </w:rPr>
        <w:t xml:space="preserve">Across all models, Logistic Regression (balanced) achieved the top AUC, but XGBoost achieved the strongest combination of recall, precision, and F1-score among the machine-learning models without oversampling. Feature importance analysis provided additional insight: Logistic Regression emphasized leverage (e.g., </w:t>
      </w:r>
      <w:r w:rsidDel="00000000" w:rsidR="00000000" w:rsidRPr="00000000">
        <w:rPr>
          <w:i w:val="1"/>
          <w:iCs w:val="1"/>
          <w:rtl w:val="0"/>
        </w:rPr>
        <w:t xml:space="preserve">total_liabilities_to_total_assets</w:t>
      </w:r>
      <w:r w:rsidDel="00000000" w:rsidR="00000000" w:rsidRPr="00000000">
        <w:rPr>
          <w:rtl w:val="0"/>
        </w:rPr>
        <w:t xml:space="preserve">, odds ratio 3.50), profitability (</w:t>
      </w:r>
      <w:r w:rsidDel="00000000" w:rsidR="00000000" w:rsidRPr="00000000">
        <w:rPr>
          <w:i w:val="1"/>
          <w:iCs w:val="1"/>
          <w:rtl w:val="0"/>
        </w:rPr>
        <w:t xml:space="preserve">gross_profit_plus_other_to_total_assets</w:t>
      </w:r>
      <w:r w:rsidDel="00000000" w:rsidR="00000000" w:rsidRPr="00000000">
        <w:rPr>
          <w:rtl w:val="0"/>
        </w:rPr>
        <w:t xml:space="preserve">), and liquidity (</w:t>
      </w:r>
      <w:r w:rsidDel="00000000" w:rsidR="00000000" w:rsidRPr="00000000">
        <w:rPr>
          <w:i w:val="1"/>
          <w:iCs w:val="1"/>
          <w:rtl w:val="0"/>
        </w:rPr>
        <w:t xml:space="preserve">current_assets_to_shortterm_liabilities</w:t>
      </w:r>
      <w:r w:rsidDel="00000000" w:rsidR="00000000" w:rsidRPr="00000000">
        <w:rPr>
          <w:rtl w:val="0"/>
        </w:rPr>
        <w:t xml:space="preserve">, odds ratio 0.10) as key determinants. Random Forest and XGBoost showed similar patterns, with high importance assigned to leverage, profitability, liquidity, and efficiency ratios such as </w:t>
      </w:r>
      <w:r w:rsidDel="00000000" w:rsidR="00000000" w:rsidRPr="00000000">
        <w:rPr>
          <w:i w:val="1"/>
          <w:iCs w:val="1"/>
          <w:rtl w:val="0"/>
        </w:rPr>
        <w:t xml:space="preserve">operating_profit_to_financial_expenses</w:t>
      </w:r>
      <w:r w:rsidDel="00000000" w:rsidR="00000000" w:rsidRPr="00000000">
        <w:rPr>
          <w:rtl w:val="0"/>
        </w:rPr>
        <w:t xml:space="preserve">, </w:t>
      </w:r>
      <w:r w:rsidDel="00000000" w:rsidR="00000000" w:rsidRPr="00000000">
        <w:rPr>
          <w:i w:val="1"/>
          <w:iCs w:val="1"/>
          <w:rtl w:val="0"/>
        </w:rPr>
        <w:t xml:space="preserve">operating_expenses_to_total_liabilities</w:t>
      </w:r>
      <w:r w:rsidDel="00000000" w:rsidR="00000000" w:rsidRPr="00000000">
        <w:rPr>
          <w:rtl w:val="0"/>
        </w:rPr>
        <w:t xml:space="preserve">, and </w:t>
      </w:r>
      <w:r w:rsidDel="00000000" w:rsidR="00000000" w:rsidRPr="00000000">
        <w:rPr>
          <w:i w:val="1"/>
          <w:iCs w:val="1"/>
          <w:rtl w:val="0"/>
        </w:rPr>
        <w:t xml:space="preserve">profit_on_sales_to_sales</w:t>
      </w:r>
      <w:r w:rsidDel="00000000" w:rsidR="00000000" w:rsidRPr="00000000">
        <w:rPr>
          <w:rtl w:val="0"/>
        </w:rPr>
        <w:t xml:space="preserve">. These results align with known economic intuition that firms approaching distress exhibit deteriorating earnings capacity, shrinking liquidity buffers, and rising leverage.</w:t>
      </w:r>
    </w:p>
    <w:p w:rsidR="00000000" w:rsidDel="00000000" w:rsidP="00000000" w:rsidRDefault="00000000" w:rsidRPr="00000000" w14:paraId="00000009">
      <w:pPr>
        <w:spacing w:after="240" w:before="240" w:lineRule="auto"/>
        <w:rPr/>
      </w:pPr>
      <w:r w:rsidDel="00000000" w:rsidR="00000000" w:rsidRPr="00000000">
        <w:rPr>
          <w:rtl w:val="0"/>
        </w:rPr>
        <w:t xml:space="preserve">The results suggest several conclusions:</w:t>
        <w:br w:type="textWrapping"/>
        <w:t xml:space="preserve">First: modern machine-learning models substantially outperform classical scoring systems in predicting corporate bankruptcy, particularly when all available financial ratios are used. Second, class imbalance is a significant challenge, and techniques such as class weighting and SMOTE materially affect recall and F1-scores. </w:t>
        <w:br w:type="textWrapping"/>
        <w:t xml:space="preserve">Third, both linear and non-linear models consistently identify leverage, profitability, and liquidity as the most informative categories of financial ratios. Finally, although Logistic Regression delivered the highest AUC and recall, XGBoost provided a more balanced trade-off between the metrics, suggesting that ensemble gradient-boosting approaches are well-suited to bankruptcy prediction tasks.</w:t>
      </w:r>
    </w:p>
    <w:p w:rsidR="00000000" w:rsidDel="00000000" w:rsidP="00000000" w:rsidRDefault="00000000" w:rsidRPr="00000000" w14:paraId="0000000A">
      <w:pPr>
        <w:spacing w:after="240" w:before="240" w:lineRule="auto"/>
        <w:rPr/>
      </w:pPr>
      <w:r w:rsidDel="00000000" w:rsidR="00000000" w:rsidRPr="00000000">
        <w:rPr>
          <w:rtl w:val="0"/>
        </w:rPr>
        <w:t xml:space="preserve">The study also found several limitations. The classical Z-score and O-score could not be computed in full due to missing variables, which likely decreased their performance. Overall, the study demonstrates that machine-learning techniques, especially Logistic Regression with class balancing and XGBoost, are useful tools for early detection of financial distress and significantly outperform traditional scoring models when applied to current firm-level financial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