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1a49cc4eec4fa9b452fab951b719b7c3e4d768"/>
    <w:p>
      <w:pPr>
        <w:pStyle w:val="Heading1"/>
      </w:pPr>
      <w:r>
        <w:t xml:space="preserve">Audit de fidélité — l’application face aux sources V3</w:t>
      </w:r>
    </w:p>
    <w:p>
      <w:pPr>
        <w:pStyle w:val="FirstParagraph"/>
      </w:pPr>
      <w:r>
        <w:rPr>
          <w:b/>
          <w:bCs/>
        </w:rPr>
        <w:t xml:space="preserve">Date :</w:t>
      </w:r>
      <w:r>
        <w:t xml:space="preserve"> </w:t>
      </w:r>
      <w:r>
        <w:t xml:space="preserve">7 juillet 2026 (veille de la rencontre du 8 juillet)</w:t>
      </w:r>
      <w:r>
        <w:t xml:space="preserve"> </w:t>
      </w:r>
      <w:r>
        <w:rPr>
          <w:b/>
          <w:bCs/>
        </w:rPr>
        <w:t xml:space="preserve">Sources auditées :</w:t>
      </w:r>
      <w:r>
        <w:t xml:space="preserve"> </w:t>
      </w:r>
      <w:r>
        <w:rPr>
          <w:rStyle w:val="VerbatimChar"/>
        </w:rPr>
        <w:t xml:space="preserve">sources/Outil d'aide à la décision_V3.docx</w:t>
      </w:r>
      <w:r>
        <w:t xml:space="preserve"> </w:t>
      </w:r>
      <w:r>
        <w:t xml:space="preserve">(guide, prose) ·</w:t>
      </w:r>
      <w:r>
        <w:t xml:space="preserve"> </w:t>
      </w:r>
      <w:r>
        <w:rPr>
          <w:rStyle w:val="VerbatimChar"/>
        </w:rPr>
        <w:t xml:space="preserve">sources/Grille d'analyse multicritère_V3.xlsx</w:t>
      </w:r>
      <w:r>
        <w:t xml:space="preserve"> </w:t>
      </w:r>
      <w:r>
        <w:t xml:space="preserve">(classeur : feuille Guide, fiches mesures, Analyse multicritère, Synthèse —</w:t>
      </w:r>
      <w:r>
        <w:t xml:space="preserve"> </w:t>
      </w:r>
      <w:r>
        <w:rPr>
          <w:b/>
          <w:bCs/>
        </w:rPr>
        <w:t xml:space="preserve">formules incluses</w:t>
      </w:r>
      <w:r>
        <w:t xml:space="preserve">)</w:t>
      </w:r>
      <w:r>
        <w:t xml:space="preserve"> </w:t>
      </w:r>
      <w:r>
        <w:rPr>
          <w:b/>
          <w:bCs/>
        </w:rPr>
        <w:t xml:space="preserve">Objet audité :</w:t>
      </w:r>
      <w:r>
        <w:t xml:space="preserve"> </w:t>
      </w:r>
      <w:r>
        <w:rPr>
          <w:rStyle w:val="VerbatimChar"/>
        </w:rPr>
        <w:t xml:space="preserve">rules.js</w:t>
      </w:r>
      <w:r>
        <w:t xml:space="preserve"> </w:t>
      </w:r>
      <w:r>
        <w:t xml:space="preserve">(moteur de l’application, 29 tests) et ses libellés.</w:t>
      </w:r>
    </w:p>
    <w:bookmarkStart w:id="9" w:name="verdict-en-une-phrase"/>
    <w:p>
      <w:pPr>
        <w:pStyle w:val="Heading2"/>
      </w:pPr>
      <w:r>
        <w:t xml:space="preserve">Verdict en une phrase</w:t>
      </w:r>
    </w:p>
    <w:p>
      <w:pPr>
        <w:pStyle w:val="FirstParagraph"/>
      </w:pPr>
      <w:r>
        <w:rPr>
          <w:b/>
          <w:bCs/>
        </w:rPr>
        <w:t xml:space="preserve">L’application est fidèle à la méthodologie écrite (le guide) — mais l’audit révèle que le classeur Excel V3 et son propre guide ne disent pas la même chose sur trois cas.</w:t>
      </w:r>
      <w:r>
        <w:t xml:space="preserve"> </w:t>
      </w:r>
      <w:r>
        <w:t xml:space="preserve">L’application a donc trois divergences avec les</w:t>
      </w:r>
      <w:r>
        <w:t xml:space="preserve"> </w:t>
      </w:r>
      <w:r>
        <w:rPr>
          <w:i/>
          <w:iCs/>
        </w:rPr>
        <w:t xml:space="preserve">formules</w:t>
      </w:r>
      <w:r>
        <w:t xml:space="preserve"> </w:t>
      </w:r>
      <w:r>
        <w:t xml:space="preserve">du classeur, toutes héritées d’une divergence interne aux sources. C’est un point à faire trancher par la direction scientifique, pas un bug de transcription.</w:t>
      </w:r>
    </w:p>
    <w:p>
      <w:r>
        <w:pict>
          <v:rect style="width:0;height:1.5pt" o:hralign="center" o:hrstd="t" o:hr="t"/>
        </w:pict>
      </w:r>
    </w:p>
    <w:bookmarkEnd w:id="9"/>
    <w:bookmarkStart w:id="10" w:name="X884285b43f7e735b62be2078698874cef13b8a1"/>
    <w:p>
      <w:pPr>
        <w:pStyle w:val="Heading2"/>
      </w:pPr>
      <w:r>
        <w:t xml:space="preserve">1 · Règles d’appréciation (cotes d’une dimension → appréciation)</w:t>
      </w:r>
    </w:p>
    <w:p>
      <w:pPr>
        <w:pStyle w:val="FirstParagraph"/>
      </w:pPr>
      <w:r>
        <w:t xml:space="preserve">Le guide (docx §3, identique à la feuille « Guide » du classeur) définit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Appréciation</w:t>
            </w:r>
          </w:p>
        </w:tc>
        <w:tc>
          <w:tcPr/>
          <w:p>
            <w:pPr>
              <w:pStyle w:val="Compact"/>
            </w:pPr>
            <w:r>
              <w:t xml:space="preserve">Règle du guide (prose)</w:t>
            </w:r>
          </w:p>
        </w:tc>
        <w:tc>
          <w:tcPr/>
          <w:p>
            <w:pPr>
              <w:pStyle w:val="Compact"/>
            </w:pPr>
            <w:r>
              <w:t xml:space="preserve">Formule du classeur (fiches, col. 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Très favorable</w:t>
            </w:r>
          </w:p>
        </w:tc>
        <w:tc>
          <w:tcPr/>
          <w:p>
            <w:pPr>
              <w:pStyle w:val="Compact"/>
            </w:pPr>
            <w:r>
              <w:t xml:space="preserve">aucun négatif</w:t>
            </w:r>
            <w:r>
              <w:t xml:space="preserve"> </w:t>
            </w:r>
            <w:r>
              <w:rPr>
                <w:b/>
                <w:bCs/>
              </w:rPr>
              <w:t xml:space="preserve">et somme &gt; 1</w:t>
            </w:r>
          </w:p>
        </w:tc>
        <w:tc>
          <w:tcPr/>
          <w:p>
            <w:pPr>
              <w:pStyle w:val="Compact"/>
            </w:pPr>
            <w:r>
              <w:t xml:space="preserve">aucun négatif et</w:t>
            </w:r>
            <w:r>
              <w:t xml:space="preserve"> </w:t>
            </w:r>
            <w:r>
              <w:rPr>
                <w:b/>
                <w:bCs/>
              </w:rPr>
              <w:t xml:space="preserve">somme &gt; 0</w:t>
            </w:r>
          </w:p>
        </w:tc>
        <w:tc>
          <w:tcPr/>
          <w:p>
            <w:pPr>
              <w:pStyle w:val="Compact"/>
            </w:pPr>
            <w:r>
              <w:t xml:space="preserve">= guide (S ≥ 2, aucun négatif)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Favorable</w:t>
            </w:r>
          </w:p>
        </w:tc>
        <w:tc>
          <w:tcPr/>
          <w:p>
            <w:pPr>
              <w:pStyle w:val="Compact"/>
            </w:pPr>
            <w:r>
              <w:t xml:space="preserve">somme ≥ 1 (négatifs permis)</w:t>
            </w:r>
          </w:p>
        </w:tc>
        <w:tc>
          <w:tcPr/>
          <w:p>
            <w:pPr>
              <w:pStyle w:val="Compact"/>
            </w:pPr>
            <w:r>
              <w:t xml:space="preserve">somme &gt; 0 avec ≥ 1 négatif</w:t>
            </w:r>
          </w:p>
        </w:tc>
        <w:tc>
          <w:tcPr/>
          <w:p>
            <w:pPr>
              <w:pStyle w:val="Compact"/>
            </w:pPr>
            <w:r>
              <w:t xml:space="preserve">=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Neutre</w:t>
            </w:r>
          </w:p>
        </w:tc>
        <w:tc>
          <w:tcPr/>
          <w:p>
            <w:pPr>
              <w:pStyle w:val="Compact"/>
            </w:pPr>
            <w:r>
              <w:t xml:space="preserve">somme = 0</w:t>
            </w:r>
          </w:p>
        </w:tc>
        <w:tc>
          <w:tcPr/>
          <w:p>
            <w:pPr>
              <w:pStyle w:val="Compact"/>
            </w:pPr>
            <w:r>
              <w:t xml:space="preserve">somme = 0</w:t>
            </w:r>
          </w:p>
        </w:tc>
        <w:tc>
          <w:tcPr/>
          <w:p>
            <w:pPr>
              <w:pStyle w:val="Compact"/>
            </w:pPr>
            <w:r>
              <w:t xml:space="preserve">=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Peu favorable</w:t>
            </w:r>
          </w:p>
        </w:tc>
        <w:tc>
          <w:tcPr/>
          <w:p>
            <w:pPr>
              <w:pStyle w:val="Compact"/>
            </w:pPr>
            <w:r>
              <w:t xml:space="preserve">somme &lt; 0 (positifs permis)</w:t>
            </w:r>
          </w:p>
        </w:tc>
        <w:tc>
          <w:tcPr/>
          <w:p>
            <w:pPr>
              <w:pStyle w:val="Compact"/>
            </w:pPr>
            <w:r>
              <w:t xml:space="preserve">somme &lt; 0 avec ≥ 1 positif</w:t>
            </w:r>
          </w:p>
        </w:tc>
        <w:tc>
          <w:tcPr/>
          <w:p>
            <w:pPr>
              <w:pStyle w:val="Compact"/>
            </w:pPr>
            <w:r>
              <w:t xml:space="preserve">=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du tout favorable</w:t>
            </w:r>
          </w:p>
        </w:tc>
        <w:tc>
          <w:tcPr/>
          <w:p>
            <w:pPr>
              <w:pStyle w:val="Compact"/>
            </w:pPr>
            <w:r>
              <w:t xml:space="preserve">aucun positif</w:t>
            </w:r>
            <w:r>
              <w:t xml:space="preserve"> </w:t>
            </w:r>
            <w:r>
              <w:rPr>
                <w:b/>
                <w:bCs/>
              </w:rPr>
              <w:t xml:space="preserve">et somme &lt; −1</w:t>
            </w:r>
          </w:p>
        </w:tc>
        <w:tc>
          <w:tcPr/>
          <w:p>
            <w:pPr>
              <w:pStyle w:val="Compact"/>
            </w:pPr>
            <w:r>
              <w:t xml:space="preserve">aucun positif et</w:t>
            </w:r>
            <w:r>
              <w:t xml:space="preserve"> </w:t>
            </w:r>
            <w:r>
              <w:rPr>
                <w:b/>
                <w:bCs/>
              </w:rPr>
              <w:t xml:space="preserve">somme &lt; 0</w:t>
            </w:r>
          </w:p>
        </w:tc>
        <w:tc>
          <w:tcPr/>
          <w:p>
            <w:pPr>
              <w:pStyle w:val="Compact"/>
            </w:pPr>
            <w:r>
              <w:t xml:space="preserve">= guide (S ≤ −2, aucun positif)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Divergence interne n° 1 — le seuil « Très favorable ».</w:t>
      </w:r>
      <w:r>
        <w:t xml:space="preserve"> </w:t>
      </w:r>
      <w:r>
        <w:t xml:space="preserve">Une dimension à somme</w:t>
      </w:r>
      <w:r>
        <w:t xml:space="preserve"> </w:t>
      </w:r>
      <w:r>
        <w:rPr>
          <w:b/>
          <w:bCs/>
        </w:rPr>
        <w:t xml:space="preserve">+1 sans aucun négatif</w:t>
      </w:r>
      <w:r>
        <w:t xml:space="preserve"> </w:t>
      </w:r>
      <w:r>
        <w:t xml:space="preserve">est</w:t>
      </w:r>
      <w:r>
        <w:t xml:space="preserve"> </w:t>
      </w:r>
      <w:r>
        <w:rPr>
          <w:i/>
          <w:iCs/>
        </w:rPr>
        <w:t xml:space="preserve">Favorable</w:t>
      </w:r>
      <w:r>
        <w:t xml:space="preserve"> </w:t>
      </w:r>
      <w:r>
        <w:t xml:space="preserve">selon le guide (et l’app), mais</w:t>
      </w:r>
      <w:r>
        <w:t xml:space="preserve"> </w:t>
      </w:r>
      <w:r>
        <w:rPr>
          <w:i/>
          <w:iCs/>
        </w:rPr>
        <w:t xml:space="preserve">Très favorable</w:t>
      </w:r>
      <w:r>
        <w:t xml:space="preserve"> </w:t>
      </w:r>
      <w:r>
        <w:t xml:space="preserve">selon la formule Excel. Exemples réels dans le classeur V3 : « Taux variés par tranche de valeur » (Potentiel fiscal : 1,0,0) et « Taux supérieur terrain vague » y affichent</w:t>
      </w:r>
      <w:r>
        <w:t xml:space="preserve"> </w:t>
      </w:r>
      <w:r>
        <w:rPr>
          <w:i/>
          <w:iCs/>
        </w:rPr>
        <w:t xml:space="preserve">Très favorable</w:t>
      </w:r>
      <w:r>
        <w:t xml:space="preserve"> </w:t>
      </w:r>
      <w:r>
        <w:t xml:space="preserve">avec une somme de 1.</w:t>
      </w:r>
    </w:p>
    <w:p>
      <w:pPr>
        <w:pStyle w:val="BodyText"/>
      </w:pPr>
      <w:r>
        <w:rPr>
          <w:b/>
          <w:bCs/>
        </w:rPr>
        <w:t xml:space="preserve">Divergence interne n° 2 — le seuil « Pas du tout favorable » (celui qui change des recommandations).</w:t>
      </w:r>
      <w:r>
        <w:t xml:space="preserve"> </w:t>
      </w:r>
      <w:r>
        <w:t xml:space="preserve">Une dimension à somme</w:t>
      </w:r>
      <w:r>
        <w:t xml:space="preserve"> </w:t>
      </w:r>
      <w:r>
        <w:rPr>
          <w:b/>
          <w:bCs/>
        </w:rPr>
        <w:t xml:space="preserve">−1 sans aucun positif</w:t>
      </w:r>
      <w:r>
        <w:t xml:space="preserve"> </w:t>
      </w:r>
      <w:r>
        <w:t xml:space="preserve">est</w:t>
      </w:r>
      <w:r>
        <w:t xml:space="preserve"> </w:t>
      </w:r>
      <w:r>
        <w:rPr>
          <w:i/>
          <w:iCs/>
        </w:rPr>
        <w:t xml:space="preserve">Peu favorable</w:t>
      </w:r>
      <w:r>
        <w:t xml:space="preserve"> </w:t>
      </w:r>
      <w:r>
        <w:t xml:space="preserve">selon le guide (et l’app), mais</w:t>
      </w:r>
      <w:r>
        <w:t xml:space="preserve"> </w:t>
      </w:r>
      <w:r>
        <w:rPr>
          <w:i/>
          <w:iCs/>
        </w:rPr>
        <w:t xml:space="preserve">Pas du tout favorable</w:t>
      </w:r>
      <w:r>
        <w:t xml:space="preserve"> </w:t>
      </w:r>
      <w:r>
        <w:t xml:space="preserve">selon la formule Excel. Comme un seul « Pas du tout favorable » entraîne « Non recommandée »,</w:t>
      </w:r>
      <w:r>
        <w:t xml:space="preserve"> </w:t>
      </w:r>
      <w:r>
        <w:rPr>
          <w:b/>
          <w:bCs/>
        </w:rPr>
        <w:t xml:space="preserve">la même cotation produit des recommandations finales différentes</w:t>
      </w:r>
      <w:r>
        <w:t xml:space="preserve"> </w:t>
      </w:r>
      <w:r>
        <w:t xml:space="preserve">selon la source suivie. Cas réels du classeur V3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 (cotes réelles V3)</w:t>
            </w:r>
          </w:p>
        </w:tc>
        <w:tc>
          <w:tcPr/>
          <w:p>
            <w:pPr>
              <w:pStyle w:val="Compact"/>
            </w:pPr>
            <w:r>
              <w:t xml:space="preserve">Selon la formule Excel</w:t>
            </w:r>
          </w:p>
        </w:tc>
        <w:tc>
          <w:tcPr/>
          <w:p>
            <w:pPr>
              <w:pStyle w:val="Compact"/>
            </w:pPr>
            <w:r>
              <w:t xml:space="preserve">Selon le guide (= l’app)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Taxe logements vacants (résidentiel) — SG : un seul −1</w:t>
            </w:r>
          </w:p>
        </w:tc>
        <w:tc>
          <w:tcPr/>
          <w:p>
            <w:pPr>
              <w:pStyle w:val="Compact"/>
            </w:pPr>
            <w:r>
              <w:t xml:space="preserve">SG = Pas du tout favorable →</w:t>
            </w:r>
            <w:r>
              <w:t xml:space="preserve"> </w:t>
            </w:r>
            <w:r>
              <w:rPr>
                <w:b/>
                <w:bCs/>
              </w:rPr>
              <w:t xml:space="preserve">Non recommandée</w:t>
            </w:r>
          </w:p>
        </w:tc>
        <w:tc>
          <w:tcPr/>
          <w:p>
            <w:pPr>
              <w:pStyle w:val="Compact"/>
            </w:pPr>
            <w:r>
              <w:t xml:space="preserve">SG = Peu favorable →</w:t>
            </w:r>
            <w:r>
              <w:t xml:space="preserve"> </w:t>
            </w:r>
            <w:r>
              <w:rPr>
                <w:b/>
                <w:bCs/>
              </w:rPr>
              <w:t xml:space="preserve">Mise à l’étude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Taxe terres agricoles non exploitées — SG : un seul −1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recommandée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Mise à l’étude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Redevance émissions industrielles — SG : un seul −1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recommandée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Mise à l’étude</w:t>
            </w:r>
          </w:p>
        </w:tc>
      </w:tr>
    </w:tbl>
    <w:bookmarkEnd w:id="10"/>
    <w:bookmarkStart w:id="11" w:name="Xea8431bead3fea8d0162e6d65c26dc56f489afa"/>
    <w:p>
      <w:pPr>
        <w:pStyle w:val="Heading2"/>
      </w:pPr>
      <w:r>
        <w:t xml:space="preserve">2 · Règle de recommandation (4 appréciations → recommandation)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Guide (prose)</w:t>
            </w:r>
          </w:p>
        </w:tc>
        <w:tc>
          <w:tcPr/>
          <w:p>
            <w:pPr>
              <w:pStyle w:val="Compact"/>
            </w:pPr>
            <w:r>
              <w:t xml:space="preserve">Formule Excel (Synthèse, col. 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 « Pas du tout favorable »</w:t>
            </w:r>
          </w:p>
        </w:tc>
        <w:tc>
          <w:tcPr/>
          <w:p>
            <w:pPr>
              <w:pStyle w:val="Compact"/>
            </w:pPr>
            <w:r>
              <w:t xml:space="preserve">Non recommandée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=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2 « Peu favorable »</w:t>
            </w:r>
          </w:p>
        </w:tc>
        <w:tc>
          <w:tcPr/>
          <w:p>
            <w:pPr>
              <w:pStyle w:val="Compact"/>
            </w:pPr>
            <w:r>
              <w:t xml:space="preserve">Non recommandée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=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« Peu favorable »</w:t>
            </w:r>
          </w:p>
        </w:tc>
        <w:tc>
          <w:tcPr/>
          <w:p>
            <w:pPr>
              <w:pStyle w:val="Compact"/>
            </w:pPr>
            <w:r>
              <w:t xml:space="preserve">Mise à l’étude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=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Tout Neutre</w:t>
            </w:r>
          </w:p>
        </w:tc>
        <w:tc>
          <w:tcPr/>
          <w:p>
            <w:pPr>
              <w:pStyle w:val="Compact"/>
            </w:pPr>
            <w:r>
              <w:t xml:space="preserve">Mise à l’étude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=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Aucun PF/PDF,</w:t>
            </w:r>
            <w:r>
              <w:t xml:space="preserve"> </w:t>
            </w:r>
            <w:r>
              <w:rPr>
                <w:b/>
                <w:bCs/>
              </w:rPr>
              <w:t xml:space="preserve">≥ 2 favorables</w:t>
            </w:r>
          </w:p>
        </w:tc>
        <w:tc>
          <w:tcPr/>
          <w:p>
            <w:pPr>
              <w:pStyle w:val="Compact"/>
            </w:pPr>
            <w:r>
              <w:t xml:space="preserve">Recommandée</w:t>
            </w:r>
          </w:p>
        </w:tc>
        <w:tc>
          <w:tcPr/>
          <w:p>
            <w:pPr>
              <w:pStyle w:val="Compact"/>
            </w:pPr>
            <w:r>
              <w:t xml:space="preserve">Recommandée</w:t>
            </w:r>
          </w:p>
        </w:tc>
        <w:tc>
          <w:tcPr/>
          <w:p>
            <w:pPr>
              <w:pStyle w:val="Compact"/>
            </w:pPr>
            <w:r>
              <w:t xml:space="preserve">=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Aucun PF/PDF,</w:t>
            </w:r>
            <w:r>
              <w:t xml:space="preserve"> </w:t>
            </w:r>
            <w:r>
              <w:rPr>
                <w:b/>
                <w:bCs/>
              </w:rPr>
              <w:t xml:space="preserve">1 seule favorable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(exige ≥ 2 favorables → pas Recommandée ; cas non énuméré → l’app le classe Mise à l’étude)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Recommandée</w:t>
            </w:r>
          </w:p>
        </w:tc>
        <w:tc>
          <w:tcPr/>
          <w:p>
            <w:pPr>
              <w:pStyle w:val="Compact"/>
            </w:pPr>
            <w:r>
              <w:t xml:space="preserve">Mise à l’étude</w:t>
            </w:r>
          </w:p>
        </w:tc>
      </w:tr>
    </w:tbl>
    <w:p>
      <w:pPr>
        <w:pStyle w:val="BodyText"/>
      </w:pPr>
      <w:r>
        <w:rPr>
          <w:b/>
          <w:bCs/>
        </w:rPr>
        <w:t xml:space="preserve">Divergence interne n° 3 — le seuil « Recommandée ».</w:t>
      </w:r>
      <w:r>
        <w:t xml:space="preserve"> </w:t>
      </w:r>
      <w:r>
        <w:t xml:space="preserve">La formule Excel recommande dès qu’il n’y a ni « Peu » ni « Pas du tout » favorable (hors tout-Neutre) — une seule dimension favorable suffit. Le guide exige</w:t>
      </w:r>
      <w:r>
        <w:t xml:space="preserve"> </w:t>
      </w:r>
      <w:r>
        <w:rPr>
          <w:b/>
          <w:bCs/>
        </w:rPr>
        <w:t xml:space="preserve">au moins deux</w:t>
      </w:r>
      <w:r>
        <w:t xml:space="preserve"> </w:t>
      </w:r>
      <w:r>
        <w:t xml:space="preserve">dimensions favorables. Cas réel du classeur : « Redevance sur les générateurs de risques » (Neutre / Très favorable / Neutre / Neutre) =</w:t>
      </w:r>
      <w:r>
        <w:t xml:space="preserve"> </w:t>
      </w:r>
      <w:r>
        <w:rPr>
          <w:i/>
          <w:iCs/>
        </w:rPr>
        <w:t xml:space="preserve">Recommandée</w:t>
      </w:r>
      <w:r>
        <w:t xml:space="preserve"> </w:t>
      </w:r>
      <w:r>
        <w:t xml:space="preserve">dans l’Excel ;</w:t>
      </w:r>
      <w:r>
        <w:t xml:space="preserve"> </w:t>
      </w:r>
      <w:r>
        <w:rPr>
          <w:i/>
          <w:iCs/>
        </w:rPr>
        <w:t xml:space="preserve">Mise à l’étude</w:t>
      </w:r>
      <w:r>
        <w:t xml:space="preserve"> </w:t>
      </w:r>
      <w:r>
        <w:t xml:space="preserve">selon le guide et l’app.</w:t>
      </w:r>
    </w:p>
    <w:p>
      <w:pPr>
        <w:pStyle w:val="BodyText"/>
      </w:pPr>
      <w:r>
        <w:rPr>
          <w:b/>
          <w:bCs/>
        </w:rPr>
        <w:t xml:space="preserve">Note (déjà au dossier de validation, point A6)</w:t>
      </w:r>
      <w:r>
        <w:t xml:space="preserve"> </w:t>
      </w:r>
      <w:r>
        <w:t xml:space="preserve">: l’énumération « Mise à l’étude » du guide est incomplète (p. ex. une seule favorable sans aucun défavorable n’entre dans aucun des trois cas énumérés). L’app résout l’incomplétude en classant</w:t>
      </w:r>
      <w:r>
        <w:t xml:space="preserve"> </w:t>
      </w:r>
      <w:r>
        <w:rPr>
          <w:i/>
          <w:iCs/>
        </w:rPr>
        <w:t xml:space="preserve">Mise à l’étude</w:t>
      </w:r>
      <w:r>
        <w:t xml:space="preserve"> </w:t>
      </w:r>
      <w:r>
        <w:t xml:space="preserve">tout ce qui n’est ni « Recommandée » ni « Non recommandée » — la formule Excel la résout dans l’autre sens (vers « Recommandée »).</w:t>
      </w:r>
    </w:p>
    <w:bookmarkEnd w:id="11"/>
    <w:bookmarkStart w:id="12" w:name="X9a9fa4707bcf77039b41b77a76d618bf36d738c"/>
    <w:p>
      <w:pPr>
        <w:pStyle w:val="Heading2"/>
      </w:pPr>
      <w:r>
        <w:t xml:space="preserve">3 · Constats de robustesse sur le classeur (facteur de la décision, pas un blâme)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Référence croisée erronée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Synthèse!C4</w:t>
      </w:r>
      <w:r>
        <w:t xml:space="preserve"> </w:t>
      </w:r>
      <w:r>
        <w:t xml:space="preserve">(Saine gestion de « Taux variés superficie habitable ») pointe vers</w:t>
      </w:r>
      <w:r>
        <w:t xml:space="preserve"> </w:t>
      </w:r>
      <w:r>
        <w:rPr>
          <w:rStyle w:val="VerbatimChar"/>
        </w:rPr>
        <w:t xml:space="preserve">Analyse multicritère!C2</w:t>
      </w:r>
      <w:r>
        <w:t xml:space="preserve"> </w:t>
      </w:r>
      <w:r>
        <w:t xml:space="preserve">(Potentiel fiscal) au lieu de</w:t>
      </w:r>
      <w:r>
        <w:t xml:space="preserve"> </w:t>
      </w:r>
      <w:r>
        <w:rPr>
          <w:rStyle w:val="VerbatimChar"/>
        </w:rPr>
        <w:t xml:space="preserve">C7</w:t>
      </w:r>
      <w:r>
        <w:t xml:space="preserve">. Sans effet visible aujourd’hui (les deux cellules valent « Très favorable ») — mais latent.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Colonnes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#REF!</w:t>
      </w:r>
      <w:r>
        <w:t xml:space="preserve"> </w:t>
      </w:r>
      <w:r>
        <w:t xml:space="preserve">dans « Analyse multicritère » et une mesure affichée « 0 » dans la Synthèse (références brisées par des suppressions de feuilles).</w:t>
      </w:r>
    </w:p>
    <w:p>
      <w:pPr>
        <w:pStyle w:val="Compact"/>
        <w:numPr>
          <w:ilvl w:val="0"/>
          <w:numId w:val="1001"/>
        </w:numPr>
      </w:pPr>
      <w:r>
        <w:t xml:space="preserve">Ces classes d’erreurs (copie de formule, référence brisée, prose ≠ formule) sont précisément ce que la transcription en</w:t>
      </w:r>
      <w:r>
        <w:t xml:space="preserve"> </w:t>
      </w:r>
      <w:r>
        <w:rPr>
          <w:b/>
          <w:bCs/>
        </w:rPr>
        <w:t xml:space="preserve">module unique testé</w:t>
      </w:r>
      <w:r>
        <w:t xml:space="preserve"> </w:t>
      </w:r>
      <w:r>
        <w:t xml:space="preserve">élimine : dans l’app, la règle n’existe qu’une fois et 29 tests la verrouillent.</w:t>
      </w:r>
    </w:p>
    <w:bookmarkEnd w:id="12"/>
    <w:bookmarkStart w:id="13" w:name="X8066596545e71c1ee0b469b2f170beadba694ac"/>
    <w:p>
      <w:pPr>
        <w:pStyle w:val="Heading2"/>
      </w:pPr>
      <w:r>
        <w:t xml:space="preserve">4 · Fidélité des libellés (questions et critères)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22/22 critères présents</w:t>
      </w:r>
      <w:r>
        <w:t xml:space="preserve">, mêmes dimensions, même ordre, même échelle −1/0/+1.</w:t>
      </w:r>
    </w:p>
    <w:p>
      <w:pPr>
        <w:pStyle w:val="Compact"/>
        <w:numPr>
          <w:ilvl w:val="0"/>
          <w:numId w:val="1002"/>
        </w:numPr>
      </w:pPr>
      <w:r>
        <w:t xml:space="preserve">Questions :</w:t>
      </w:r>
      <w:r>
        <w:t xml:space="preserve"> </w:t>
      </w:r>
      <w:r>
        <w:rPr>
          <w:b/>
          <w:bCs/>
        </w:rPr>
        <w:t xml:space="preserve">fidèles au sens partout</w:t>
      </w:r>
      <w:r>
        <w:t xml:space="preserve">. Écarts recensés 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pf3</w:t>
      </w:r>
      <w:r>
        <w:t xml:space="preserve"> </w:t>
      </w:r>
      <w:r>
        <w:t xml:space="preserve">: « la Ville de Gatineau » → « la Ville » (généricisation assumée, documentée depuis le début) 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ae1</w:t>
      </w:r>
      <w:r>
        <w:t xml:space="preserve"> </w:t>
      </w:r>
      <w:r>
        <w:t xml:space="preserve">: « celui</w:t>
      </w:r>
      <w:r>
        <w:t xml:space="preserve"> </w:t>
      </w:r>
      <w:r>
        <w:rPr>
          <w:b/>
          <w:bCs/>
        </w:rPr>
        <w:t xml:space="preserve">dont</w:t>
      </w:r>
      <w:r>
        <w:t xml:space="preserve"> </w:t>
      </w:r>
      <w:r>
        <w:t xml:space="preserve">on pourrait s’attendre » → « celui</w:t>
      </w:r>
      <w:r>
        <w:t xml:space="preserve"> </w:t>
      </w:r>
      <w:r>
        <w:rPr>
          <w:b/>
          <w:bCs/>
        </w:rPr>
        <w:t xml:space="preserve">auquel</w:t>
      </w:r>
      <w:r>
        <w:t xml:space="preserve"> </w:t>
      </w:r>
      <w:r>
        <w:t xml:space="preserve">on pourrait s’attendre » (correction grammaticale) ;</w:t>
      </w:r>
    </w:p>
    <w:p>
      <w:pPr>
        <w:pStyle w:val="Compact"/>
        <w:numPr>
          <w:ilvl w:val="1"/>
          <w:numId w:val="1003"/>
        </w:numPr>
      </w:pPr>
      <w:r>
        <w:t xml:space="preserve">une dizaine d’allègements typographiques sans changement de sens (ex. sg1 : « que ce soit en termes d’immobilisations, d’exploitation ou du respect de la conformité fiscale » → « (immobilisations, exploitation, conformité fiscale) » ; ae2 : « diminuer ou</w:t>
      </w:r>
      <w:r>
        <w:t xml:space="preserve"> </w:t>
      </w:r>
      <w:r>
        <w:rPr>
          <w:i/>
          <w:iCs/>
        </w:rPr>
        <w:t xml:space="preserve">même</w:t>
      </w:r>
      <w:r>
        <w:t xml:space="preserve"> </w:t>
      </w:r>
      <w:r>
        <w:t xml:space="preserve">éviter » → « diminuer ou éviter » ; ee3 : « milieux déjà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urbanisés… étalement</w:t>
      </w:r>
      <w:r>
        <w:t xml:space="preserve"> </w:t>
      </w:r>
      <w:r>
        <w:rPr>
          <w:i/>
          <w:iCs/>
        </w:rPr>
        <w:t xml:space="preserve">urbain</w:t>
      </w:r>
      <w:r>
        <w:t xml:space="preserve"> </w:t>
      </w:r>
      <w:r>
        <w:t xml:space="preserve">» → « milieux déjà urbanisés… étalement »).</w:t>
      </w:r>
    </w:p>
    <w:p>
      <w:pPr>
        <w:pStyle w:val="Compact"/>
        <w:numPr>
          <w:ilvl w:val="0"/>
          <w:numId w:val="1002"/>
        </w:numPr>
      </w:pPr>
      <w:r>
        <w:t xml:space="preserve">Étiquettes : « Applicabilité (court terme) » reprend le libellé du classeur ; « Résilience » → « Résilience des écosystèmes » (précision, la question parle bien des écosystèmes).</w:t>
      </w:r>
    </w:p>
    <w:p>
      <w:pPr>
        <w:pStyle w:val="Compact"/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boussole +/−</w:t>
      </w:r>
      <w:r>
        <w:t xml:space="preserve"> </w:t>
      </w:r>
      <w:r>
        <w:t xml:space="preserve">de chaque question est un ajout de l’app (aide à la cotation), sans modification des libellés — les deux polarités ambiguës (ae7, ae2) sont au dossier de validation (section B).</w:t>
      </w:r>
    </w:p>
    <w:bookmarkEnd w:id="13"/>
    <w:bookmarkStart w:id="14" w:name="catalogue-des-mesures"/>
    <w:p>
      <w:pPr>
        <w:pStyle w:val="Heading2"/>
      </w:pPr>
      <w:r>
        <w:t xml:space="preserve">5 · Catalogue des mesures</w:t>
      </w:r>
    </w:p>
    <w:p>
      <w:pPr>
        <w:pStyle w:val="FirstParagraph"/>
      </w:pPr>
      <w:r>
        <w:t xml:space="preserve">Le catalogue de l’app (37 mesures) vient de la</w:t>
      </w:r>
      <w:r>
        <w:t xml:space="preserve"> </w:t>
      </w:r>
      <w:r>
        <w:rPr>
          <w:i/>
          <w:iCs/>
        </w:rPr>
        <w:t xml:space="preserve">Grille des mesures — MRC Thérèse-De Blainville</w:t>
      </w:r>
      <w:r>
        <w:t xml:space="preserve">, pas du classeur V3 (~30 fiches, liste « non exhaustive » selon le guide). Deux écarts à confirmer en passant :</w:t>
      </w:r>
      <w:r>
        <w:t xml:space="preserve"> </w:t>
      </w:r>
      <w:r>
        <w:t xml:space="preserve">- « Taux variés en fonction de la</w:t>
      </w:r>
      <w:r>
        <w:t xml:space="preserve"> </w:t>
      </w:r>
      <w:r>
        <w:rPr>
          <w:b/>
          <w:bCs/>
        </w:rPr>
        <w:t xml:space="preserve">superficie habitable</w:t>
      </w:r>
      <w:r>
        <w:t xml:space="preserve"> </w:t>
      </w:r>
      <w:r>
        <w:t xml:space="preserve">» existe dans le classeur V3 mais pas dans le catalogue TDB (choix de mandat ?) ;</w:t>
      </w:r>
      <w:r>
        <w:t xml:space="preserve"> </w:t>
      </w:r>
      <w:r>
        <w:t xml:space="preserve">- m07 s’intitule « Taxe</w:t>
      </w:r>
      <w:r>
        <w:t xml:space="preserve"> </w:t>
      </w:r>
      <w:r>
        <w:rPr>
          <w:b/>
          <w:bCs/>
        </w:rPr>
        <w:t xml:space="preserve">logements</w:t>
      </w:r>
      <w:r>
        <w:t xml:space="preserve"> </w:t>
      </w:r>
      <w:r>
        <w:t xml:space="preserve">vacants (non résidentiel) » dans le catalogue TDB alors que le classeur V3 dit « Taxe</w:t>
      </w:r>
      <w:r>
        <w:t xml:space="preserve"> </w:t>
      </w:r>
      <w:r>
        <w:rPr>
          <w:b/>
          <w:bCs/>
        </w:rPr>
        <w:t xml:space="preserve">immeubles</w:t>
      </w:r>
      <w:r>
        <w:t xml:space="preserve"> </w:t>
      </w:r>
      <w:r>
        <w:t xml:space="preserve">vacants (non résidentiel) » — le libellé V3 semble le bon.</w:t>
      </w:r>
    </w:p>
    <w:bookmarkEnd w:id="14"/>
    <w:bookmarkStart w:id="15" w:name="la-question-à-trancher-pour-jérôme"/>
    <w:p>
      <w:pPr>
        <w:pStyle w:val="Heading2"/>
      </w:pPr>
      <w:r>
        <w:t xml:space="preserve">6 · La question à trancher (pour Jérôme)</w:t>
      </w:r>
    </w:p>
    <w:p>
      <w:pPr>
        <w:pStyle w:val="BlockText"/>
      </w:pPr>
      <w:r>
        <w:rPr>
          <w:b/>
          <w:bCs/>
        </w:rPr>
        <w:t xml:space="preserve">Laquelle des deux sources fait doctrine : la prose du guide, ou les formules du classeur ?</w:t>
      </w:r>
      <w:r>
        <w:t xml:space="preserve"> </w:t>
      </w:r>
      <w:r>
        <w:t xml:space="preserve">L’application suit aujourd’hui la prose (seuils stricts : TF à ±2, Recommandée à 2 favorables). Si les formules du classeur reflètent l’intention réelle (seuils à ±1, Recommandée dès 1 favorable), le changement dans l’app tient en trois lignes du moteur, couvert par les tests — mais il faut le décider explicitement, car</w:t>
      </w:r>
      <w:r>
        <w:t xml:space="preserve"> </w:t>
      </w:r>
      <w:r>
        <w:rPr>
          <w:b/>
          <w:bCs/>
        </w:rPr>
        <w:t xml:space="preserve">trois recommandations du classeur V3 changent</w:t>
      </w:r>
      <w:r>
        <w:t xml:space="preserve"> </w:t>
      </w:r>
      <w:r>
        <w:t xml:space="preserve">selon la réponse.</w:t>
      </w:r>
    </w:p>
    <w:p>
      <w:pPr>
        <w:pStyle w:val="FirstParagraph"/>
      </w:pPr>
      <w:r>
        <w:rPr>
          <w:i/>
          <w:iCs/>
        </w:rPr>
        <w:t xml:space="preserve">Méthode : extraction openpyxl des formules et valeurs du classeur (fiches, Analyse multicritère, Synthèse) ; conversion pandoc du guide ; comparaison ligne à ligne avec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rules.js</w:t>
      </w:r>
      <w:r>
        <w:rPr>
          <w:i/>
          <w:iCs/>
        </w:rPr>
        <w:t xml:space="preserve">. Reproduisible sur demande.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2026-07-08T02:52:59Z</dcterms:created>
  <dcterms:modified xsi:type="dcterms:W3CDTF">2026-07-08T02:52:59Z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