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f59bc488a09250e8cb2227f588242af63352b0"/>
    <w:p>
      <w:pPr>
        <w:pStyle w:val="Heading1"/>
      </w:pPr>
      <w:r>
        <w:t xml:space="preserve">Cahier Loi 25 — Orchestrateur (mandat MRC Thérèse-De Blainville)</w:t>
      </w:r>
    </w:p>
    <w:p>
      <w:pPr>
        <w:pStyle w:val="FirstParagraph"/>
      </w:pPr>
      <w:r>
        <w:rPr>
          <w:b/>
          <w:bCs/>
        </w:rPr>
        <w:t xml:space="preserve">Corda · Écofiscalité — juillet 2026 (brouillons de travail, pour validation en rencontre d’équipe)</w:t>
      </w:r>
    </w:p>
    <w:p>
      <w:pPr>
        <w:pStyle w:val="BodyText"/>
      </w:pPr>
      <w:r>
        <w:t xml:space="preserve">Six documents : la table des variables, la politique de confidentialité, l’avis de</w:t>
      </w:r>
      <w:r>
        <w:t xml:space="preserve"> </w:t>
      </w:r>
      <w:r>
        <w:t xml:space="preserve">consentement (déjà en service dans l’outil), l’EFVP courte, la trame d’entente</w:t>
      </w:r>
      <w:r>
        <w:t xml:space="preserve"> </w:t>
      </w:r>
      <w:r>
        <w:t xml:space="preserve">d’encadrement (à réviser par juriste) et les procédures (droits, incidents). Les</w:t>
      </w:r>
      <w:r>
        <w:t xml:space="preserve"> </w:t>
      </w:r>
      <w:r>
        <w:t xml:space="preserve">marques ⏳ = décisions D1/D2 du dossier de validation, à confirmer en séance.</w:t>
      </w:r>
    </w:p>
    <w:p>
      <w:r>
        <w:pict>
          <v:rect style="width:0;height:1.5pt" o:hralign="center" o:hrstd="t" o:hr="t"/>
        </w:pict>
      </w:r>
    </w:p>
    <w:bookmarkEnd w:id="9"/>
    <w:bookmarkStart w:id="10" w:name="Xd50c5743c13840d6c2506b5fcf1c133b66e13a1"/>
    <w:p>
      <w:pPr>
        <w:pStyle w:val="Heading1"/>
      </w:pPr>
      <w:r>
        <w:t xml:space="preserve">Variables client — bibliothèque de conformité Corda</w:t>
      </w:r>
    </w:p>
    <w:p>
      <w:pPr>
        <w:pStyle w:val="BlockText"/>
      </w:pPr>
      <w:r>
        <w:t xml:space="preserve">Les six gabarits de ce dossier sont</w:t>
      </w:r>
      <w:r>
        <w:t xml:space="preserve"> </w:t>
      </w:r>
      <w:r>
        <w:rPr>
          <w:b/>
          <w:bCs/>
        </w:rPr>
        <w:t xml:space="preserve">réutilisables</w:t>
      </w:r>
      <w:r>
        <w:t xml:space="preserve"> </w:t>
      </w:r>
      <w:r>
        <w:t xml:space="preserve">pour tout mandat Corda : les</w:t>
      </w:r>
      <w:r>
        <w:t xml:space="preserve"> </w:t>
      </w:r>
      <w:r>
        <w:t xml:space="preserve">valeurs propres au client sont des variables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. Ce fichier est la</w:t>
      </w:r>
      <w:r>
        <w:t xml:space="preserve"> </w:t>
      </w: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maîtresse</w:t>
      </w:r>
      <w:r>
        <w:t xml:space="preserve"> </w:t>
      </w:r>
      <w:r>
        <w:t xml:space="preserve">— remplir ici, reporter partout. Les valeurs ⏳ sont</w:t>
      </w:r>
      <w:r>
        <w:t xml:space="preserve"> </w:t>
      </w:r>
      <w:r>
        <w:rPr>
          <w:b/>
          <w:bCs/>
        </w:rPr>
        <w:t xml:space="preserve">en attente d’une</w:t>
      </w:r>
      <w:r>
        <w:rPr>
          <w:b/>
          <w:bCs/>
        </w:rPr>
        <w:t xml:space="preserve"> </w:t>
      </w:r>
      <w:r>
        <w:rPr>
          <w:b/>
          <w:bCs/>
        </w:rPr>
        <w:t xml:space="preserve">décision</w:t>
      </w:r>
      <w:r>
        <w:t xml:space="preserve"> </w:t>
      </w:r>
      <w:r>
        <w:t xml:space="preserve">(référence :</w:t>
      </w:r>
      <w:r>
        <w:t xml:space="preserve"> </w:t>
      </w:r>
      <w:r>
        <w:rPr>
          <w:rStyle w:val="VerbatimChar"/>
        </w:rPr>
        <w:t xml:space="preserve">docs/dossier-validation-fanny.md</w:t>
      </w:r>
      <w:r>
        <w:t xml:space="preserve">, section 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Valeur — mandat MRC Thérèse-De Blainville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{{PROJET}}</w:t>
            </w:r>
          </w:p>
        </w:tc>
        <w:tc>
          <w:tcPr/>
          <w:p>
            <w:pPr>
              <w:pStyle w:val="Compact"/>
            </w:pPr>
            <w:r>
              <w:t xml:space="preserve">Analyse multicritère des mesures écofiscales — MRC Thérèse-De Blainville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{{OUTIL}}</w:t>
            </w:r>
          </w:p>
        </w:tc>
        <w:tc>
          <w:tcPr/>
          <w:p>
            <w:pPr>
              <w:pStyle w:val="Compact"/>
            </w:pPr>
            <w:r>
              <w:t xml:space="preserve">Orchestrateur (ecofisc.corda.consulting), un produit Corda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{{CHERCHEURE}}</w:t>
            </w:r>
          </w:p>
        </w:tc>
        <w:tc>
          <w:tcPr/>
          <w:p>
            <w:pPr>
              <w:pStyle w:val="Compact"/>
            </w:pPr>
            <w:r>
              <w:t xml:space="preserve">Pre Fanny Tremblay-Racicot, ENAP / CERGO — chercheure responsable du mandat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{{MANDANT}}</w:t>
            </w:r>
          </w:p>
        </w:tc>
        <w:tc>
          <w:tcPr/>
          <w:p>
            <w:pPr>
              <w:pStyle w:val="Compact"/>
            </w:pPr>
            <w:r>
              <w:t xml:space="preserve">MRC Thérèse-De Blainville</w:t>
            </w:r>
          </w:p>
        </w:tc>
        <w:tc>
          <w:tcPr/>
          <w:p>
            <w:pPr>
              <w:pStyle w:val="Compact"/>
            </w:pPr>
            <w:r>
              <w:t xml:space="preserve">✔ à confirmer (signataire exact)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{{FOURNISSEUR}}</w:t>
            </w:r>
          </w:p>
        </w:tc>
        <w:tc>
          <w:tcPr/>
          <w:p>
            <w:pPr>
              <w:pStyle w:val="Compact"/>
            </w:pPr>
            <w:r>
              <w:t xml:space="preserve">Corda (Vincent Duguay) — conception, exploitation et propriété de l’outil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{{RESPONSABLE_RP}}</w:t>
            </w:r>
          </w:p>
        </w:tc>
        <w:tc>
          <w:tcPr/>
          <w:p>
            <w:pPr>
              <w:pStyle w:val="Compact"/>
            </w:pPr>
            <w:r>
              <w:t xml:space="preserve">Vincent Duguay (Corda) —</w:t>
            </w:r>
            <w:r>
              <w:t xml:space="preserve"> </w:t>
            </w:r>
            <w:r>
              <w:rPr>
                <w:b/>
                <w:bCs/>
              </w:rPr>
              <w:t xml:space="preserve">proposition</w:t>
            </w:r>
            <w:r>
              <w:t xml:space="preserve"> </w:t>
            </w:r>
            <w:r>
              <w:t xml:space="preserve">(décision D2)</w:t>
            </w:r>
          </w:p>
        </w:tc>
        <w:tc>
          <w:tcPr/>
          <w:p>
            <w:pPr>
              <w:pStyle w:val="Compact"/>
            </w:pPr>
            <w:r>
              <w:t xml:space="preserve">⏳ 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{{COURRIEL_RP}}</w:t>
            </w:r>
          </w:p>
        </w:tc>
        <w:tc>
          <w:tcPr/>
          <w:p>
            <w:pPr>
              <w:pStyle w:val="Compact"/>
            </w:pPr>
            <w:r>
              <w:t xml:space="preserve">vincent.duguay@enap.ca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{{DUREE_CONSERVATION}}</w:t>
            </w:r>
          </w:p>
        </w:tc>
        <w:tc>
          <w:tcPr/>
          <w:p>
            <w:pPr>
              <w:pStyle w:val="Compact"/>
            </w:pPr>
            <w:r>
              <w:t xml:space="preserve">Durée du mandat + 3 ans —</w:t>
            </w:r>
            <w:r>
              <w:t xml:space="preserve"> </w:t>
            </w:r>
            <w:r>
              <w:rPr>
                <w:b/>
                <w:bCs/>
              </w:rPr>
              <w:t xml:space="preserve">proposition</w:t>
            </w:r>
            <w:r>
              <w:t xml:space="preserve"> </w:t>
            </w:r>
            <w:r>
              <w:t xml:space="preserve">(décision D1)</w:t>
            </w:r>
          </w:p>
        </w:tc>
        <w:tc>
          <w:tcPr/>
          <w:p>
            <w:pPr>
              <w:pStyle w:val="Compact"/>
            </w:pPr>
            <w:r>
              <w:t xml:space="preserve">⏳ D1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{{HEBERGEUR_DONNEES}}</w:t>
            </w:r>
          </w:p>
        </w:tc>
        <w:tc>
          <w:tcPr/>
          <w:p>
            <w:pPr>
              <w:pStyle w:val="Compact"/>
            </w:pPr>
            <w:r>
              <w:t xml:space="preserve">Supabase (région Canada Central — Ontario, infrastructure AWS ca-central-1)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{{HEBERGEUR_PAGE}}</w:t>
            </w:r>
          </w:p>
        </w:tc>
        <w:tc>
          <w:tcPr/>
          <w:p>
            <w:pPr>
              <w:pStyle w:val="Compact"/>
            </w:pPr>
            <w:r>
              <w:t xml:space="preserve">Namecheap / cPanel (sert la page publique — aucune donnée personnelle)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{{DATE_MISE_EN_SERVICE}}</w:t>
            </w:r>
          </w:p>
        </w:tc>
        <w:tc>
          <w:tcPr/>
          <w:p>
            <w:pPr>
              <w:pStyle w:val="Compact"/>
            </w:pPr>
            <w:r>
              <w:t xml:space="preserve">⏳ au go-live réel (cercle fermé)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</w:tbl>
    <w:p>
      <w:pPr>
        <w:pStyle w:val="BodyText"/>
      </w:pPr>
      <w:r>
        <w:rPr>
          <w:b/>
          <w:bCs/>
        </w:rPr>
        <w:t xml:space="preserve">Rappels d’architecture (vrais pour tout client, à ne pas re-décider) :</w:t>
      </w:r>
      <w:r>
        <w:t xml:space="preserve"> </w:t>
      </w:r>
      <w:r>
        <w:t xml:space="preserve">- Les renseignements personnels vivent</w:t>
      </w:r>
      <w:r>
        <w:t xml:space="preserve"> </w:t>
      </w:r>
      <w:r>
        <w:rPr>
          <w:b/>
          <w:bCs/>
        </w:rPr>
        <w:t xml:space="preserve">exclusivement</w:t>
      </w:r>
      <w:r>
        <w:t xml:space="preserve"> </w:t>
      </w:r>
      <w:r>
        <w:t xml:space="preserve">chez</w:t>
      </w:r>
      <w:r>
        <w:t xml:space="preserve"> </w:t>
      </w:r>
      <w:r>
        <w:rPr>
          <w:rStyle w:val="VerbatimChar"/>
        </w:rPr>
        <w:t xml:space="preserve">{{HEBERGEUR_DONNEES}}</w:t>
      </w:r>
      <w:r>
        <w:t xml:space="preserve"> </w:t>
      </w:r>
      <w:r>
        <w:t xml:space="preserve">;</w:t>
      </w:r>
      <w:r>
        <w:t xml:space="preserve"> </w:t>
      </w:r>
      <w:r>
        <w:t xml:space="preserve">la page publique n’en contient aucun.</w:t>
      </w:r>
      <w:r>
        <w:t xml:space="preserve"> </w:t>
      </w:r>
      <w:r>
        <w:t xml:space="preserve">- La suppression d’un code d’accès</w:t>
      </w:r>
      <w:r>
        <w:t xml:space="preserve"> </w:t>
      </w:r>
      <w:r>
        <w:rPr>
          <w:b/>
          <w:bCs/>
        </w:rPr>
        <w:t xml:space="preserve">détruit réellement</w:t>
      </w:r>
      <w:r>
        <w:t xml:space="preserve"> </w:t>
      </w:r>
      <w:r>
        <w:t xml:space="preserve">ses réponses (cascade) ;</w:t>
      </w:r>
      <w:r>
        <w:t xml:space="preserve"> </w:t>
      </w:r>
      <w:r>
        <w:t xml:space="preserve">l’archivage d’un projet est temporaire, la destruction survient à l’échéance de</w:t>
      </w:r>
      <w:r>
        <w:t xml:space="preserve"> </w:t>
      </w:r>
      <w:r>
        <w:t xml:space="preserve">conservation (</w:t>
      </w:r>
      <w:r>
        <w:rPr>
          <w:rStyle w:val="VerbatimChar"/>
        </w:rPr>
        <w:t xml:space="preserve">purge_expired</w:t>
      </w:r>
      <w:r>
        <w:t xml:space="preserve">, schema.sql).</w:t>
      </w:r>
      <w:r>
        <w:t xml:space="preserve"> </w:t>
      </w:r>
      <w:r>
        <w:t xml:space="preserve">- L’analyse des commentaires par un outil d’IA est</w:t>
      </w:r>
      <w:r>
        <w:t xml:space="preserve"> </w:t>
      </w:r>
      <w:r>
        <w:rPr>
          <w:b/>
          <w:bCs/>
        </w:rPr>
        <w:t xml:space="preserve">interdite par défaut</w:t>
      </w:r>
      <w:r>
        <w:t xml:space="preserve"> </w:t>
      </w:r>
      <w:r>
        <w:t xml:space="preserve">(décision D5).</w:t>
      </w:r>
    </w:p>
    <w:p>
      <w:r>
        <w:pict>
          <v:rect style="width:0;height:1.5pt" o:hralign="center" o:hrstd="t" o:hr="t"/>
        </w:pict>
      </w:r>
    </w:p>
    <w:bookmarkEnd w:id="10"/>
    <w:bookmarkStart w:id="18" w:name="politique-de-confidentialité-outil"/>
    <w:p>
      <w:pPr>
        <w:pStyle w:val="Heading1"/>
      </w:pPr>
      <w:r>
        <w:t xml:space="preserve">Politique de confidentialité — {{OUTIL}}</w:t>
      </w:r>
    </w:p>
    <w:p>
      <w:pPr>
        <w:pStyle w:val="FirstParagraph"/>
      </w:pPr>
      <w:r>
        <w:rPr>
          <w:i/>
          <w:iCs/>
        </w:rPr>
        <w:t xml:space="preserve">Version 1.0 (brouillon) · {{PROJET}} · Dernière mise à jour : juillet 2026</w:t>
      </w:r>
      <w:r>
        <w:t xml:space="preserve"> </w:t>
      </w:r>
      <w:r>
        <w:rPr>
          <w:i/>
          <w:iCs/>
        </w:rPr>
        <w:t xml:space="preserve">(Gabarit Corda — publier sur le site de l’outil ; art. 63.4 de la Loi sur l’accès pour</w:t>
      </w:r>
      <w:r>
        <w:rPr>
          <w:i/>
          <w:iCs/>
        </w:rPr>
        <w:t xml:space="preserve"> </w:t>
      </w:r>
      <w:r>
        <w:rPr>
          <w:i/>
          <w:iCs/>
        </w:rPr>
        <w:t xml:space="preserve">les organismes publics, art. 3.2 LPRPSP pour l’entreprise privée — la Loi 25 exige une</w:t>
      </w:r>
      <w:r>
        <w:rPr>
          <w:i/>
          <w:iCs/>
        </w:rPr>
        <w:t xml:space="preserve"> </w:t>
      </w:r>
      <w:r>
        <w:rPr>
          <w:i/>
          <w:iCs/>
        </w:rPr>
        <w:t xml:space="preserve">politique publiée en termes simples et clairs.)</w:t>
      </w:r>
    </w:p>
    <w:p>
      <w:r>
        <w:pict>
          <v:rect style="width:0;height:1.5pt" o:hralign="center" o:hrstd="t" o:hr="t"/>
        </w:pict>
      </w:r>
    </w:p>
    <w:bookmarkStart w:id="11" w:name="X9ab4dd0b25ac735bf5768cb6b3530aef1a883ad"/>
    <w:p>
      <w:pPr>
        <w:pStyle w:val="Heading2"/>
      </w:pPr>
      <w:r>
        <w:t xml:space="preserve">1. Qui est responsable de vos renseignements</w:t>
      </w:r>
    </w:p>
    <w:p>
      <w:pPr>
        <w:pStyle w:val="FirstParagraph"/>
      </w:pPr>
      <w:r>
        <w:t xml:space="preserve">Le responsable de la protection des renseignements personnels pour cet outil est</w:t>
      </w:r>
      <w:r>
        <w:t xml:space="preserve"> </w:t>
      </w:r>
      <w:r>
        <w:rPr>
          <w:b/>
          <w:bCs/>
        </w:rPr>
        <w:t xml:space="preserve">{{RESPONSABLE_RP}}</w:t>
      </w:r>
      <w:r>
        <w:t xml:space="preserve"> </w:t>
      </w:r>
      <w:r>
        <w:t xml:space="preserve">— joignable à</w:t>
      </w:r>
      <w:r>
        <w:t xml:space="preserve"> </w:t>
      </w:r>
      <w:r>
        <w:rPr>
          <w:b/>
          <w:bCs/>
        </w:rPr>
        <w:t xml:space="preserve">{{COURRIEL_RP}}</w:t>
      </w:r>
      <w:r>
        <w:t xml:space="preserve">. L’outil est conçu et exploité</w:t>
      </w:r>
      <w:r>
        <w:t xml:space="preserve"> </w:t>
      </w:r>
      <w:r>
        <w:t xml:space="preserve">par {{FOURNISSEUR}} dans le cadre du mandat de recherche « {{PROJET}} », dirigé par</w:t>
      </w:r>
      <w:r>
        <w:t xml:space="preserve"> </w:t>
      </w:r>
      <w:r>
        <w:t xml:space="preserve">{{CHERCHEURE}}.</w:t>
      </w:r>
    </w:p>
    <w:bookmarkEnd w:id="11"/>
    <w:bookmarkStart w:id="12" w:name="ce-que-nous-recueillons-et-rien-de-plus"/>
    <w:p>
      <w:pPr>
        <w:pStyle w:val="Heading2"/>
      </w:pPr>
      <w:r>
        <w:t xml:space="preserve">2. Ce que nous recueillons — et rien de plus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Renseignement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Prénom, nom, fonction</w:t>
            </w:r>
          </w:p>
        </w:tc>
        <w:tc>
          <w:tcPr/>
          <w:p>
            <w:pPr>
              <w:pStyle w:val="Compact"/>
            </w:pPr>
            <w:r>
              <w:t xml:space="preserve">Rattacher vos cotations à votre municipalité et à votre 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 cotations (+1 / 0 / −1) et commentaires libres</w:t>
            </w:r>
          </w:p>
        </w:tc>
        <w:tc>
          <w:tcPr/>
          <w:p>
            <w:pPr>
              <w:pStyle w:val="Compact"/>
            </w:pPr>
            <w:r>
              <w:t xml:space="preserve">La matière même de l’analyse multicritère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Horodatages (consentement, connexions) et journal des accès</w:t>
            </w:r>
          </w:p>
        </w:tc>
        <w:tc>
          <w:tcPr/>
          <w:p>
            <w:pPr>
              <w:pStyle w:val="Compact"/>
            </w:pPr>
            <w:r>
              <w:t xml:space="preserve">Sécurité et obligations légales (traçabilité)</w:t>
            </w:r>
          </w:p>
        </w:tc>
      </w:tr>
    </w:tbl>
    <w:p>
      <w:pPr>
        <w:pStyle w:val="BodyText"/>
      </w:pPr>
      <w:r>
        <w:t xml:space="preserve">Nous ne recueillons</w:t>
      </w:r>
      <w:r>
        <w:t xml:space="preserve"> </w:t>
      </w:r>
      <w:r>
        <w:rPr>
          <w:b/>
          <w:bCs/>
        </w:rPr>
        <w:t xml:space="preserve">ni courriel, ni téléphone, ni adresse, ni témoin (cookie) de</w:t>
      </w:r>
      <w:r>
        <w:rPr>
          <w:b/>
          <w:bCs/>
        </w:rPr>
        <w:t xml:space="preserve"> </w:t>
      </w:r>
      <w:r>
        <w:rPr>
          <w:b/>
          <w:bCs/>
        </w:rPr>
        <w:t xml:space="preserve">suivi</w:t>
      </w:r>
      <w:r>
        <w:t xml:space="preserve">. La connexion se fait par un code d’accès personnel remis par l’équipe du mandat.</w:t>
      </w:r>
    </w:p>
    <w:bookmarkEnd w:id="12"/>
    <w:bookmarkStart w:id="13" w:name="qui-y-a-accès"/>
    <w:p>
      <w:pPr>
        <w:pStyle w:val="Heading2"/>
      </w:pPr>
      <w:r>
        <w:t xml:space="preserve">3. Qui y a accès</w:t>
      </w:r>
    </w:p>
    <w:p>
      <w:pPr>
        <w:pStyle w:val="FirstParagraph"/>
      </w:pPr>
      <w:r>
        <w:t xml:space="preserve">L’équipe du mandat de recherche ({{CHERCHEURE}} et {{FOURNISSEUR}}) — personne d’autre.</w:t>
      </w:r>
      <w:r>
        <w:t xml:space="preserve"> </w:t>
      </w:r>
      <w:r>
        <w:t xml:space="preserve">Les résultats sont diffusés sous forme</w:t>
      </w:r>
      <w:r>
        <w:t xml:space="preserve"> </w:t>
      </w:r>
      <w:r>
        <w:rPr>
          <w:b/>
          <w:bCs/>
        </w:rPr>
        <w:t xml:space="preserve">agrégée par municipalité</w:t>
      </w:r>
      <w:r>
        <w:t xml:space="preserve"> </w:t>
      </w:r>
      <w:r>
        <w:t xml:space="preserve">; aucune diffusion</w:t>
      </w:r>
      <w:r>
        <w:t xml:space="preserve"> </w:t>
      </w:r>
      <w:r>
        <w:t xml:space="preserve">nominative. Vos commentaires ne sont pas analysés par des outils d’intelligence</w:t>
      </w:r>
      <w:r>
        <w:t xml:space="preserve"> </w:t>
      </w:r>
      <w:r>
        <w:t xml:space="preserve">artificielle.</w:t>
      </w:r>
    </w:p>
    <w:bookmarkEnd w:id="13"/>
    <w:bookmarkStart w:id="14" w:name="où-vivent-vos-renseignements"/>
    <w:p>
      <w:pPr>
        <w:pStyle w:val="Heading2"/>
      </w:pPr>
      <w:r>
        <w:t xml:space="preserve">4. Où vivent vos renseignements</w:t>
      </w:r>
    </w:p>
    <w:p>
      <w:pPr>
        <w:pStyle w:val="FirstParagraph"/>
      </w:pPr>
      <w:r>
        <w:t xml:space="preserve">Dans une base de données hébergée au</w:t>
      </w:r>
      <w:r>
        <w:t xml:space="preserve"> </w:t>
      </w:r>
      <w:r>
        <w:rPr>
          <w:b/>
          <w:bCs/>
        </w:rPr>
        <w:t xml:space="preserve">Canada</w:t>
      </w:r>
      <w:r>
        <w:t xml:space="preserve"> </w:t>
      </w:r>
      <w:r>
        <w:t xml:space="preserve">({{HEBERGEUR_DONNEES}}), verrouillée par</w:t>
      </w:r>
      <w:r>
        <w:t xml:space="preserve"> </w:t>
      </w:r>
      <w:r>
        <w:t xml:space="preserve">défaut : chiffrement en transit et au repos, accès par privilèges minimaux, journal des</w:t>
      </w:r>
      <w:r>
        <w:t xml:space="preserve"> </w:t>
      </w:r>
      <w:r>
        <w:t xml:space="preserve">accès, protection contre les essais de codes répétés. La page web publique</w:t>
      </w:r>
      <w:r>
        <w:t xml:space="preserve"> </w:t>
      </w:r>
      <w:r>
        <w:t xml:space="preserve">({{HEBERGEUR_PAGE}}) ne contient ni ne conserve aucun renseignement personnel. Le</w:t>
      </w:r>
      <w:r>
        <w:t xml:space="preserve"> </w:t>
      </w:r>
      <w:r>
        <w:t xml:space="preserve">fournisseur d’hébergement de la base est une entreprise établie hors Québec : cette</w:t>
      </w:r>
      <w:r>
        <w:t xml:space="preserve"> </w:t>
      </w:r>
      <w:r>
        <w:t xml:space="preserve">communication fait l’objet d’une évaluation écrite (art. 17) résumée dans notre</w:t>
      </w:r>
      <w:r>
        <w:t xml:space="preserve"> </w:t>
      </w:r>
      <w:r>
        <w:t xml:space="preserve">évaluation des facteurs relatifs à la vie privée, disponible sur demande.</w:t>
      </w:r>
    </w:p>
    <w:bookmarkEnd w:id="14"/>
    <w:bookmarkStart w:id="15" w:name="combien-de-temps"/>
    <w:p>
      <w:pPr>
        <w:pStyle w:val="Heading2"/>
      </w:pPr>
      <w:r>
        <w:t xml:space="preserve">5. Combien de temps</w:t>
      </w:r>
    </w:p>
    <w:p>
      <w:pPr>
        <w:pStyle w:val="FirstParagraph"/>
      </w:pPr>
      <w:r>
        <w:t xml:space="preserve">Vos renseignements sont conservés pour la durée suivante :</w:t>
      </w:r>
      <w:r>
        <w:t xml:space="preserve"> </w:t>
      </w:r>
      <w:r>
        <w:rPr>
          <w:b/>
          <w:bCs/>
        </w:rPr>
        <w:t xml:space="preserve">{{DUREE_CONSERVATION}}</w:t>
      </w:r>
      <w:r>
        <w:t xml:space="preserve">,</w:t>
      </w:r>
      <w:r>
        <w:t xml:space="preserve"> </w:t>
      </w:r>
      <w:r>
        <w:t xml:space="preserve">puis</w:t>
      </w:r>
      <w:r>
        <w:t xml:space="preserve"> </w:t>
      </w:r>
      <w:r>
        <w:rPr>
          <w:b/>
          <w:bCs/>
        </w:rPr>
        <w:t xml:space="preserve">réellement détruits</w:t>
      </w:r>
      <w:r>
        <w:t xml:space="preserve"> </w:t>
      </w:r>
      <w:r>
        <w:t xml:space="preserve">(pas simplement archivés).</w:t>
      </w:r>
    </w:p>
    <w:bookmarkEnd w:id="15"/>
    <w:bookmarkStart w:id="16" w:name="vos-droits"/>
    <w:p>
      <w:pPr>
        <w:pStyle w:val="Heading2"/>
      </w:pPr>
      <w:r>
        <w:t xml:space="preserve">6. Vos droits</w:t>
      </w:r>
    </w:p>
    <w:p>
      <w:pPr>
        <w:pStyle w:val="FirstParagraph"/>
      </w:pPr>
      <w:r>
        <w:t xml:space="preserve">Vous pouvez en tout temps demander l’</w:t>
      </w:r>
      <w:r>
        <w:rPr>
          <w:b/>
          <w:bCs/>
        </w:rPr>
        <w:t xml:space="preserve">accès</w:t>
      </w:r>
      <w:r>
        <w:t xml:space="preserve"> </w:t>
      </w:r>
      <w:r>
        <w:t xml:space="preserve">à vos renseignements, leur</w:t>
      </w:r>
      <w:r>
        <w:t xml:space="preserve"> </w:t>
      </w:r>
      <w:r>
        <w:rPr>
          <w:b/>
          <w:bCs/>
        </w:rPr>
        <w:t xml:space="preserve">rectification</w:t>
      </w:r>
      <w:r>
        <w:t xml:space="preserve"> </w:t>
      </w:r>
      <w:r>
        <w:t xml:space="preserve">ou leur</w:t>
      </w:r>
      <w:r>
        <w:t xml:space="preserve"> </w:t>
      </w:r>
      <w:r>
        <w:rPr>
          <w:b/>
          <w:bCs/>
        </w:rPr>
        <w:t xml:space="preserve">retrait</w:t>
      </w:r>
      <w:r>
        <w:t xml:space="preserve"> </w:t>
      </w:r>
      <w:r>
        <w:t xml:space="preserve">(vos réponses sont alors détruites). Écrivez à</w:t>
      </w:r>
      <w:r>
        <w:t xml:space="preserve"> </w:t>
      </w:r>
      <w:r>
        <w:t xml:space="preserve">{{COURRIEL_RP}} — réponse dans un délai maximal de 30 jours. Si vous êtes insatisfait de</w:t>
      </w:r>
      <w:r>
        <w:t xml:space="preserve"> </w:t>
      </w:r>
      <w:r>
        <w:t xml:space="preserve">la réponse, vous pouvez vous adresser à la</w:t>
      </w:r>
      <w:r>
        <w:t xml:space="preserve"> </w:t>
      </w:r>
      <w:r>
        <w:rPr>
          <w:b/>
          <w:bCs/>
        </w:rPr>
        <w:t xml:space="preserve">Commission d’accès à l’information du</w:t>
      </w:r>
      <w:r>
        <w:rPr>
          <w:b/>
          <w:bCs/>
        </w:rPr>
        <w:t xml:space="preserve"> </w:t>
      </w:r>
      <w:r>
        <w:rPr>
          <w:b/>
          <w:bCs/>
        </w:rPr>
        <w:t xml:space="preserve">Québec</w:t>
      </w:r>
      <w:r>
        <w:t xml:space="preserve"> </w:t>
      </w:r>
      <w:r>
        <w:t xml:space="preserve">(cai.gouv.qc.ca).</w:t>
      </w:r>
    </w:p>
    <w:bookmarkEnd w:id="16"/>
    <w:bookmarkStart w:id="17" w:name="en-cas-dincident"/>
    <w:p>
      <w:pPr>
        <w:pStyle w:val="Heading2"/>
      </w:pPr>
      <w:r>
        <w:t xml:space="preserve">7. En cas d’incident</w:t>
      </w:r>
    </w:p>
    <w:p>
      <w:pPr>
        <w:pStyle w:val="FirstParagraph"/>
      </w:pPr>
      <w:r>
        <w:t xml:space="preserve">Tout incident de confidentialité est consigné à un registre ; s’il présente un risque de</w:t>
      </w:r>
      <w:r>
        <w:t xml:space="preserve"> </w:t>
      </w:r>
      <w:r>
        <w:t xml:space="preserve">préjudice sérieux, les personnes concernées et la Commission d’accès à l’information en</w:t>
      </w:r>
      <w:r>
        <w:t xml:space="preserve"> </w:t>
      </w:r>
      <w:r>
        <w:t xml:space="preserve">sont avisées sans délai.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vis-de-collecte-et-consentement-outil"/>
    <w:p>
      <w:pPr>
        <w:pStyle w:val="Heading1"/>
      </w:pPr>
      <w:r>
        <w:t xml:space="preserve">Avis de collecte et consentement — {{OUTIL}}</w:t>
      </w:r>
    </w:p>
    <w:p>
      <w:pPr>
        <w:pStyle w:val="FirstParagraph"/>
      </w:pPr>
      <w:r>
        <w:rPr>
          <w:i/>
          <w:iCs/>
        </w:rPr>
        <w:t xml:space="preserve">(Gabarit Corda — texte affiché DANS l’outil à la première connexion, avant toute</w:t>
      </w:r>
      <w:r>
        <w:rPr>
          <w:i/>
          <w:iCs/>
        </w:rPr>
        <w:t xml:space="preserve"> </w:t>
      </w:r>
      <w:r>
        <w:rPr>
          <w:i/>
          <w:iCs/>
        </w:rPr>
        <w:t xml:space="preserve">saisie d’identité. Art. 8 : informer de la finalité, des moyens, des droits, AVANT ou</w:t>
      </w:r>
      <w:r>
        <w:rPr>
          <w:i/>
          <w:iCs/>
        </w:rPr>
        <w:t xml:space="preserve"> </w:t>
      </w:r>
      <w:r>
        <w:rPr>
          <w:i/>
          <w:iCs/>
        </w:rPr>
        <w:t xml:space="preserve">AU MOMENT de la collecte. Le consentement est bloquant et horodaté en base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access_codes.consent_at</w:t>
      </w:r>
      <w:r>
        <w:rPr>
          <w:i/>
          <w:iCs/>
        </w:rPr>
        <w:t xml:space="preserve">). CE FICHIER EST LA SOURCE : toute modification doit être</w:t>
      </w:r>
      <w:r>
        <w:rPr>
          <w:i/>
          <w:iCs/>
        </w:rPr>
        <w:t xml:space="preserve"> </w:t>
      </w:r>
      <w:r>
        <w:rPr>
          <w:i/>
          <w:iCs/>
        </w:rPr>
        <w:t xml:space="preserve">reportée mot pour mot dans l’application.)</w:t>
      </w:r>
    </w:p>
    <w:p>
      <w:r>
        <w:pict>
          <v:rect style="width:0;height:1.5pt" o:hralign="center" o:hrstd="t" o:hr="t"/>
        </w:pict>
      </w:r>
    </w:p>
    <w:bookmarkStart w:id="20" w:name="X61fb08d7e9fc631ed838356a094cb54244aac20"/>
    <w:p>
      <w:pPr>
        <w:pStyle w:val="Heading2"/>
      </w:pPr>
      <w:r>
        <w:t xml:space="preserve">Texte affiché (encadré « Avis de collecte — renseignements personnels »)</w:t>
      </w:r>
    </w:p>
    <w:p>
      <w:pPr>
        <w:pStyle w:val="BlockText"/>
      </w:pPr>
      <w:r>
        <w:t xml:space="preserve">Vos prénom, nom et fonction servent uniquement à rattacher vos cotations à votre</w:t>
      </w:r>
      <w:r>
        <w:t xml:space="preserve"> </w:t>
      </w:r>
      <w:r>
        <w:t xml:space="preserve">ville dans le cadre du mandat d’analyse écofiscale «</w:t>
      </w:r>
      <w:r>
        <w:t xml:space="preserve"> </w:t>
      </w:r>
      <w:r>
        <w:rPr>
          <w:b/>
          <w:bCs/>
        </w:rPr>
        <w:t xml:space="preserve">{{PROJET}}</w:t>
      </w:r>
      <w:r>
        <w:t xml:space="preserve"> </w:t>
      </w:r>
      <w:r>
        <w:t xml:space="preserve">» (ENAP/CERGO).</w:t>
      </w:r>
      <w:r>
        <w:t xml:space="preserve"> </w:t>
      </w:r>
      <w:r>
        <w:t xml:space="preserve">L’accès est restreint à l’équipe de recherche ; aucune diffusion nominative. Vous</w:t>
      </w:r>
      <w:r>
        <w:t xml:space="preserve"> </w:t>
      </w:r>
      <w:r>
        <w:t xml:space="preserve">pouvez en tout temps demander l’accès à vos renseignements, leur rectification ou</w:t>
      </w:r>
      <w:r>
        <w:t xml:space="preserve"> </w:t>
      </w:r>
      <w:r>
        <w:t xml:space="preserve">leur retrait auprès de l’équipe du mandat.</w:t>
      </w:r>
      <w:r>
        <w:t xml:space="preserve"> </w:t>
      </w:r>
      <w:hyperlink r:id="rId19">
        <w:r>
          <w:rPr>
            <w:rStyle w:val="Hyperlink"/>
          </w:rPr>
          <w:t xml:space="preserve">Politique de confidentialité</w:t>
        </w:r>
      </w:hyperlink>
    </w:p>
    <w:p>
      <w:pPr>
        <w:pStyle w:val="FirstParagraph"/>
      </w:pPr>
      <w:r>
        <w:rPr>
          <w:b/>
          <w:bCs/>
        </w:rPr>
        <w:t xml:space="preserve">Case à cocher (obligatoire) :</w:t>
      </w:r>
      <w:r>
        <w:t xml:space="preserve"> </w:t>
      </w:r>
      <w:r>
        <w:t xml:space="preserve">« J’ai lu l’avis et je consens à la collecte de ces</w:t>
      </w:r>
      <w:r>
        <w:t xml:space="preserve"> </w:t>
      </w:r>
      <w:r>
        <w:t xml:space="preserve">renseignements. »</w:t>
      </w:r>
    </w:p>
    <w:bookmarkEnd w:id="20"/>
    <w:bookmarkStart w:id="21" w:name="X0d166dc528e511bd73c524b58b17cf5536eb03e"/>
    <w:p>
      <w:pPr>
        <w:pStyle w:val="Heading2"/>
      </w:pPr>
      <w:r>
        <w:t xml:space="preserve">Caractéristiques du consentement (exigences remplies)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Mise en œuvre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Manifeste, libre, éclairé</w:t>
            </w:r>
          </w:p>
        </w:tc>
        <w:tc>
          <w:tcPr/>
          <w:p>
            <w:pPr>
              <w:pStyle w:val="Compact"/>
            </w:pPr>
            <w:r>
              <w:t xml:space="preserve">Case non pré-cochée, bloquante ; avis affiché avant la saisie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Fins spécifiques</w:t>
            </w:r>
          </w:p>
        </w:tc>
        <w:tc>
          <w:tcPr/>
          <w:p>
            <w:pPr>
              <w:pStyle w:val="Compact"/>
            </w:pPr>
            <w:r>
              <w:t xml:space="preserve">Une seule finalité énoncée (rattacher les cotations à la ville, mandat nommé)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Preuve</w:t>
            </w:r>
          </w:p>
        </w:tc>
        <w:tc>
          <w:tcPr/>
          <w:p>
            <w:pPr>
              <w:pStyle w:val="Compact"/>
            </w:pPr>
            <w:r>
              <w:t xml:space="preserve">Horodatage</w:t>
            </w:r>
            <w:r>
              <w:t xml:space="preserve"> </w:t>
            </w:r>
            <w:r>
              <w:rPr>
                <w:rStyle w:val="VerbatimChar"/>
              </w:rPr>
              <w:t xml:space="preserve">consent_at</w:t>
            </w:r>
            <w:r>
              <w:t xml:space="preserve"> </w:t>
            </w:r>
            <w:r>
              <w:t xml:space="preserve">inscrit côté serveur au moment précis du consentement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Retrait possible</w:t>
            </w:r>
          </w:p>
        </w:tc>
        <w:tc>
          <w:tcPr/>
          <w:p>
            <w:pPr>
              <w:pStyle w:val="Compact"/>
            </w:pPr>
            <w:r>
              <w:t xml:space="preserve">Procédure des droits (document 05) — la suppression du code détruit les réponses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Termes simples et clairs</w:t>
            </w:r>
          </w:p>
        </w:tc>
        <w:tc>
          <w:tcPr/>
          <w:p>
            <w:pPr>
              <w:pStyle w:val="Compact"/>
            </w:pPr>
            <w:r>
              <w:t xml:space="preserve">Texte court, sans jargon, lien vers la politique complète</w:t>
            </w:r>
          </w:p>
        </w:tc>
      </w:tr>
    </w:tbl>
    <w:bookmarkEnd w:id="21"/>
    <w:bookmarkStart w:id="22" w:name="notes-dimplantation"/>
    <w:p>
      <w:pPr>
        <w:pStyle w:val="Heading2"/>
      </w:pPr>
      <w:r>
        <w:t xml:space="preserve">Notes d’implantation</w:t>
      </w:r>
    </w:p>
    <w:p>
      <w:pPr>
        <w:pStyle w:val="Compact"/>
        <w:numPr>
          <w:ilvl w:val="0"/>
          <w:numId w:val="1001"/>
        </w:numPr>
      </w:pPr>
      <w:r>
        <w:t xml:space="preserve">Le titre du projet est</w:t>
      </w:r>
      <w:r>
        <w:t xml:space="preserve"> </w:t>
      </w:r>
      <w:r>
        <w:rPr>
          <w:b/>
          <w:bCs/>
        </w:rPr>
        <w:t xml:space="preserve">injecté dynamiquement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{{PROJET}}</w:t>
      </w:r>
      <w:r>
        <w:t xml:space="preserve"> </w:t>
      </w:r>
      <w:r>
        <w:t xml:space="preserve">= titre du projet</w:t>
      </w:r>
      <w:r>
        <w:t xml:space="preserve"> </w:t>
      </w:r>
      <w:r>
        <w:t xml:space="preserve">auquel le code appartient) — le même texte sert donc à tous les mandats.</w:t>
      </w:r>
    </w:p>
    <w:p>
      <w:pPr>
        <w:pStyle w:val="Compact"/>
        <w:numPr>
          <w:ilvl w:val="0"/>
          <w:numId w:val="1001"/>
        </w:numPr>
      </w:pPr>
      <w:r>
        <w:t xml:space="preserve">Le contenu de l’outil (questions, mesures) n’est livré</w:t>
      </w:r>
      <w:r>
        <w:t xml:space="preserve"> </w:t>
      </w:r>
      <w:r>
        <w:rPr>
          <w:b/>
          <w:bCs/>
        </w:rPr>
        <w:t xml:space="preserve">qu’après</w:t>
      </w:r>
      <w:r>
        <w:t xml:space="preserve"> </w:t>
      </w:r>
      <w:r>
        <w:t xml:space="preserve">ce consentement.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751c2240e3339ff30ba3e6125b4cd85897bcf53"/>
    <w:p>
      <w:pPr>
        <w:pStyle w:val="Heading1"/>
      </w:pPr>
      <w:r>
        <w:t xml:space="preserve">Évaluation des facteurs relatifs à la vie privée (EFVP) — {{OUTIL}}</w:t>
      </w:r>
    </w:p>
    <w:p>
      <w:pPr>
        <w:pStyle w:val="FirstParagraph"/>
      </w:pPr>
      <w:r>
        <w:rPr>
          <w:i/>
          <w:iCs/>
        </w:rPr>
        <w:t xml:space="preserve">Version 1.0 (brouillon) · {{PROJET}} · Juillet 2026</w:t>
      </w:r>
      <w:r>
        <w:t xml:space="preserve"> </w:t>
      </w:r>
      <w:r>
        <w:rPr>
          <w:i/>
          <w:iCs/>
        </w:rPr>
        <w:t xml:space="preserve">(Gabarit Corda — EFVP « courte », proportionnée à la sensibilité du système</w:t>
      </w:r>
      <w:r>
        <w:rPr>
          <w:i/>
          <w:iCs/>
        </w:rPr>
        <w:t xml:space="preserve"> </w:t>
      </w:r>
      <w:r>
        <w:rPr>
          <w:i/>
          <w:iCs/>
        </w:rPr>
        <w:t xml:space="preserve">(art. 3.3 : EFVP proportionnée ; art. 17 : évaluation écrite avant communication hors</w:t>
      </w:r>
      <w:r>
        <w:rPr>
          <w:i/>
          <w:iCs/>
        </w:rPr>
        <w:t xml:space="preserve"> </w:t>
      </w:r>
      <w:r>
        <w:rPr>
          <w:i/>
          <w:iCs/>
        </w:rPr>
        <w:t xml:space="preserve">Québec). Rédigée d’après l’inventaire réel des données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docs/dictionnaire-donnees.md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deploiement/schema.sql</w:t>
      </w:r>
      <w:r>
        <w:rPr>
          <w:i/>
          <w:iCs/>
        </w:rPr>
        <w:t xml:space="preserve"> </w:t>
      </w:r>
      <w:r>
        <w:rPr>
          <w:i/>
          <w:iCs/>
        </w:rPr>
        <w:t xml:space="preserve">font foi.)</w:t>
      </w:r>
    </w:p>
    <w:p>
      <w:r>
        <w:pict>
          <v:rect style="width:0;height:1.5pt" o:hralign="center" o:hrstd="t" o:hr="t"/>
        </w:pict>
      </w:r>
    </w:p>
    <w:bookmarkStart w:id="24" w:name="description-du-système"/>
    <w:p>
      <w:pPr>
        <w:pStyle w:val="Heading2"/>
      </w:pPr>
      <w:r>
        <w:t xml:space="preserve">1. Description du système</w:t>
      </w:r>
    </w:p>
    <w:p>
      <w:pPr>
        <w:pStyle w:val="FirstParagraph"/>
      </w:pPr>
      <w:r>
        <w:t xml:space="preserve">{{OUTIL}} numérise la grille d’analyse multicritère de {{CHERCHEURE}} : des</w:t>
      </w:r>
      <w:r>
        <w:t xml:space="preserve"> </w:t>
      </w:r>
      <w:r>
        <w:t xml:space="preserve">représentants municipaux désignés cotent 37 mesures écofiscales sur 22 critères ;</w:t>
      </w:r>
      <w:r>
        <w:t xml:space="preserve"> </w:t>
      </w:r>
      <w:r>
        <w:t xml:space="preserve">l’outil calcule les recommandations et le portrait régional. Accès par</w:t>
      </w:r>
      <w:r>
        <w:t xml:space="preserve"> </w:t>
      </w:r>
      <w:r>
        <w:rPr>
          <w:b/>
          <w:bCs/>
        </w:rPr>
        <w:t xml:space="preserve">code personnel</w:t>
      </w:r>
      <w:r>
        <w:t xml:space="preserve"> </w:t>
      </w:r>
      <w:r>
        <w:t xml:space="preserve">remis par l’équipe du mandat (aucune inscription publique) ; administration par comptes</w:t>
      </w:r>
      <w:r>
        <w:t xml:space="preserve"> </w:t>
      </w:r>
      <w:r>
        <w:t xml:space="preserve">nominatifs. Le contenu et les calculs sont servis par le serveur</w:t>
      </w:r>
      <w:r>
        <w:t xml:space="preserve"> </w:t>
      </w:r>
      <w:r>
        <w:rPr>
          <w:b/>
          <w:bCs/>
        </w:rPr>
        <w:t xml:space="preserve">après</w:t>
      </w:r>
      <w:r>
        <w:rPr>
          <w:b/>
          <w:bCs/>
        </w:rPr>
        <w:t xml:space="preserve"> </w:t>
      </w:r>
      <w:r>
        <w:rPr>
          <w:b/>
          <w:bCs/>
        </w:rPr>
        <w:t xml:space="preserve">authentification</w:t>
      </w:r>
      <w:r>
        <w:t xml:space="preserve"> </w:t>
      </w:r>
      <w:r>
        <w:t xml:space="preserve">; la page publique ne contient aucun renseignement.</w:t>
      </w:r>
    </w:p>
    <w:bookmarkEnd w:id="24"/>
    <w:bookmarkStart w:id="25" w:name="inventaire-des-renseignements-personnels"/>
    <w:p>
      <w:pPr>
        <w:pStyle w:val="Heading2"/>
      </w:pPr>
      <w:r>
        <w:t xml:space="preserve">2. Inventaire des renseignements personnels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Sensibilité</w:t>
            </w:r>
          </w:p>
        </w:tc>
        <w:tc>
          <w:tcPr/>
          <w:p>
            <w:pPr>
              <w:pStyle w:val="Compact"/>
            </w:pPr>
            <w:r>
              <w:t xml:space="preserve">Minimisation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Prénom, nom, fonction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access_codes</w:t>
            </w:r>
          </w:p>
        </w:tc>
        <w:tc>
          <w:tcPr/>
          <w:p>
            <w:pPr>
              <w:pStyle w:val="Compact"/>
            </w:pPr>
            <w:r>
              <w:t xml:space="preserve">Identité</w:t>
            </w:r>
            <w:r>
              <w:t xml:space="preserve"> </w:t>
            </w:r>
            <w:r>
              <w:rPr>
                <w:b/>
                <w:bCs/>
              </w:rPr>
              <w:t xml:space="preserve">professionnelle</w:t>
            </w:r>
            <w:r>
              <w:t xml:space="preserve"> </w:t>
            </w:r>
            <w:r>
              <w:t xml:space="preserve">(contexte public municipal)</w:t>
            </w:r>
          </w:p>
        </w:tc>
        <w:tc>
          <w:tcPr/>
          <w:p>
            <w:pPr>
              <w:pStyle w:val="Compact"/>
            </w:pPr>
            <w:r>
              <w:t xml:space="preserve">Aucun autre identifiant (ni courriel, ni téléphone)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Cotations (+1/0/−1)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t xml:space="preserve">Opinions professionnelles — faible seule,</w:t>
            </w:r>
            <w:r>
              <w:t xml:space="preserve"> </w:t>
            </w:r>
            <w:r>
              <w:rPr>
                <w:b/>
                <w:bCs/>
              </w:rPr>
              <w:t xml:space="preserve">ré-identifiable</w:t>
            </w:r>
            <w:r>
              <w:t xml:space="preserve"> </w:t>
            </w:r>
            <w:r>
              <w:t xml:space="preserve">en petit groupe (N≈7 villes)</w:t>
            </w:r>
          </w:p>
        </w:tc>
        <w:tc>
          <w:tcPr/>
          <w:p>
            <w:pPr>
              <w:pStyle w:val="Compact"/>
            </w:pPr>
            <w:r>
              <w:t xml:space="preserve">Diffusion agrégée par ville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Commentaires libres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responses.comment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zone la plus sensible</w:t>
            </w:r>
            <w:r>
              <w:t xml:space="preserve"> </w:t>
            </w:r>
            <w:r>
              <w:t xml:space="preserve">: peut contenir des renseignements sur des tiers</w:t>
            </w:r>
          </w:p>
        </w:tc>
        <w:tc>
          <w:tcPr/>
          <w:p>
            <w:pPr>
              <w:pStyle w:val="Compact"/>
            </w:pPr>
            <w:r>
              <w:t xml:space="preserve">Analyse par IA interdite par défaut (D5) ; détachement des identités avant toute analyse externe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Consentement, connexions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access_codes.consent_at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Le journal ne contient jamais le contenu des réponses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Tentatives de connexion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login_attempts</w:t>
            </w:r>
          </w:p>
        </w:tc>
        <w:tc>
          <w:tcPr/>
          <w:p>
            <w:pPr>
              <w:pStyle w:val="Compact"/>
            </w:pPr>
            <w:r>
              <w:t xml:space="preserve">Anti-force-brute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Empreinte hachée</w:t>
            </w:r>
            <w:r>
              <w:t xml:space="preserve"> </w:t>
            </w:r>
            <w:r>
              <w:t xml:space="preserve">de l’origine — jamais l’adresse IP en clair</w:t>
            </w:r>
          </w:p>
        </w:tc>
      </w:tr>
    </w:tbl>
    <w:bookmarkEnd w:id="25"/>
    <w:bookmarkStart w:id="26" w:name="mesures-de-protection-en-place"/>
    <w:p>
      <w:pPr>
        <w:pStyle w:val="Heading2"/>
      </w:pPr>
      <w:r>
        <w:t xml:space="preserve">3. Mesures de protection en place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b/>
          <w:bCs/>
        </w:rPr>
        <w:t xml:space="preserve">verrouillée par défaut</w:t>
      </w:r>
      <w:r>
        <w:t xml:space="preserve"> </w:t>
      </w:r>
      <w:r>
        <w:t xml:space="preserve">(RLS : le rôle public n’a aucun accès) · chiffrement en</w:t>
      </w:r>
      <w:r>
        <w:t xml:space="preserve"> </w:t>
      </w:r>
      <w:r>
        <w:t xml:space="preserve">transit (HTTPS/TLS) et au repos · villes limitées à</w:t>
      </w:r>
      <w:r>
        <w:t xml:space="preserve"> </w:t>
      </w:r>
      <w:r>
        <w:rPr>
          <w:b/>
          <w:bCs/>
        </w:rPr>
        <w:t xml:space="preserve">leurs propres</w:t>
      </w:r>
      <w:r>
        <w:t xml:space="preserve"> </w:t>
      </w:r>
      <w:r>
        <w:t xml:space="preserve">réponses via</w:t>
      </w:r>
      <w:r>
        <w:t xml:space="preserve"> </w:t>
      </w:r>
      <w:r>
        <w:t xml:space="preserve">fonctions serveur validant chaque écriture (liste blanche des champs, bornage) ·</w:t>
      </w:r>
      <w:r>
        <w:t xml:space="preserve"> </w:t>
      </w:r>
      <w:r>
        <w:t xml:space="preserve">verrouillage après 8 tentatives/15 min · comptes admin nominatifs, inscriptions</w:t>
      </w:r>
      <w:r>
        <w:t xml:space="preserve"> </w:t>
      </w:r>
      <w:r>
        <w:t xml:space="preserve">publiques désactivées · journal des accès (connexions, lectures, exports) · page</w:t>
      </w:r>
      <w:r>
        <w:t xml:space="preserve"> </w:t>
      </w:r>
      <w:r>
        <w:t xml:space="preserve">publique sans contenu ni donnée (en-têtes de sécurité CSP, anti-hameçonnage par iframe</w:t>
      </w:r>
      <w:r>
        <w:t xml:space="preserve"> </w:t>
      </w:r>
      <w:r>
        <w:t xml:space="preserve">interdit) · destruction réelle : suppression d’un code = cascade sur ses réponses ;</w:t>
      </w:r>
      <w:r>
        <w:t xml:space="preserve"> </w:t>
      </w:r>
      <w:r>
        <w:t xml:space="preserve">purge des projets archivés à l’échéance</w:t>
      </w:r>
      <w:r>
        <w:t xml:space="preserve"> </w:t>
      </w:r>
      <w:r>
        <w:rPr>
          <w:rStyle w:val="VerbatimChar"/>
        </w:rPr>
        <w:t xml:space="preserve">{{DUREE_CONSERVATION}}</w:t>
      </w:r>
      <w:r>
        <w:t xml:space="preserve">.</w:t>
      </w:r>
    </w:p>
    <w:bookmarkEnd w:id="26"/>
    <w:bookmarkStart w:id="27" w:name="Xa3cd5d93a46a49b31ac8400725e07f3bf53e71a"/>
    <w:p>
      <w:pPr>
        <w:pStyle w:val="Heading2"/>
      </w:pPr>
      <w:r>
        <w:t xml:space="preserve">4. Communication hors Québec (art. 17) — évaluation écrite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Fait</w:t>
            </w:r>
          </w:p>
        </w:tc>
        <w:tc>
          <w:tcPr/>
          <w:p>
            <w:pPr>
              <w:pStyle w:val="Compact"/>
            </w:pPr>
            <w:r>
              <w:t xml:space="preserve">Analyse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base réside chez {{HEBERGEUR_DONNEES}} : région « Canada Central » =</w:t>
            </w:r>
            <w:r>
              <w:t xml:space="preserve"> </w:t>
            </w:r>
            <w:r>
              <w:rPr>
                <w:b/>
                <w:bCs/>
              </w:rPr>
              <w:t xml:space="preserve">Ontario</w:t>
            </w:r>
            <w:r>
              <w:t xml:space="preserve">, donc</w:t>
            </w:r>
            <w:r>
              <w:t xml:space="preserve"> </w:t>
            </w:r>
            <w:r>
              <w:rPr>
                <w:b/>
                <w:bCs/>
              </w:rPr>
              <w:t xml:space="preserve">hors Québec</w:t>
            </w:r>
            <w:r>
              <w:t xml:space="preserve"> </w:t>
            </w:r>
            <w:r>
              <w:t xml:space="preserve">(mais au Canada, régime fédéral LPRPDE)</w:t>
            </w:r>
          </w:p>
        </w:tc>
        <w:tc>
          <w:tcPr/>
          <w:p>
            <w:pPr>
              <w:pStyle w:val="Compact"/>
            </w:pPr>
            <w:r>
              <w:t xml:space="preserve">Communication hors Québec au sens de l’art. 17 → la présente évaluation en tient lieu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Inc. est une société</w:t>
            </w:r>
            <w:r>
              <w:t xml:space="preserve"> </w:t>
            </w:r>
            <w:r>
              <w:rPr>
                <w:b/>
                <w:bCs/>
              </w:rPr>
              <w:t xml:space="preserve">américaine</w:t>
            </w:r>
            <w:r>
              <w:t xml:space="preserve"> </w:t>
            </w:r>
            <w:r>
              <w:t xml:space="preserve">(sous-traitant infonuagique ; infrastructure AWS ca-central-1)</w:t>
            </w:r>
          </w:p>
        </w:tc>
        <w:tc>
          <w:tcPr/>
          <w:p>
            <w:pPr>
              <w:pStyle w:val="Compact"/>
            </w:pPr>
            <w:r>
              <w:t xml:space="preserve">Encadrement contractuel : conditions de service et addenda de traitement des données (DPA) de Supabase, clauses contractuelles types ; chiffrement au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</w:t>
            </w:r>
            <w:r>
              <w:t xml:space="preserve"> </w:t>
            </w:r>
            <w:r>
              <w:rPr>
                <w:b/>
                <w:bCs/>
              </w:rPr>
              <w:t xml:space="preserve">fonctions serveur</w:t>
            </w:r>
            <w:r>
              <w:t xml:space="preserve"> </w:t>
            </w:r>
            <w:r>
              <w:t xml:space="preserve">(calculs) s’exécutent sur un réseau distribué — un traitement</w:t>
            </w:r>
            <w:r>
              <w:t xml:space="preserve"> </w:t>
            </w:r>
            <w:r>
              <w:rPr>
                <w:b/>
                <w:bCs/>
              </w:rPr>
              <w:t xml:space="preserve">transitoire</w:t>
            </w:r>
            <w:r>
              <w:t xml:space="preserve"> </w:t>
            </w:r>
            <w:r>
              <w:t xml:space="preserve">peut survenir hors Canada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Point ouvert</w:t>
            </w:r>
            <w:r>
              <w:t xml:space="preserve"> </w:t>
            </w:r>
            <w:r>
              <w:t xml:space="preserve">: épinglage régional des fonctions possible si l’équipe l’exige ; les données au repos, elles, ne quittent pas ca-central-1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Sensibilité globale : identités professionnelles + opinions dans un contexte municipal 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à modérée</w:t>
            </w:r>
            <w:r>
              <w:t xml:space="preserve"> </w:t>
            </w:r>
            <w:r>
              <w:t xml:space="preserve">— pas de renseignements financiers, de santé ni de mineurs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(proposée)</w:t>
      </w:r>
      <w:r>
        <w:t xml:space="preserve"> </w:t>
      </w:r>
      <w:r>
        <w:t xml:space="preserve">: les renseignements bénéficient d’une protection adéquate,</w:t>
      </w:r>
      <w:r>
        <w:t xml:space="preserve"> </w:t>
      </w:r>
      <w:r>
        <w:t xml:space="preserve">équivalente aux principes de la loi québécoise, compte tenu de leur sensibilité, des</w:t>
      </w:r>
      <w:r>
        <w:t xml:space="preserve"> </w:t>
      </w:r>
      <w:r>
        <w:t xml:space="preserve">mesures techniques et de l’encadrement contractuel. À réévaluer si la nature des données</w:t>
      </w:r>
      <w:r>
        <w:t xml:space="preserve"> </w:t>
      </w:r>
      <w:r>
        <w:t xml:space="preserve">change (ex. données financières du calculateur d’impact).</w:t>
      </w:r>
    </w:p>
    <w:bookmarkEnd w:id="27"/>
    <w:bookmarkStart w:id="28" w:name="décisions-rattachées-et-suivi"/>
    <w:p>
      <w:pPr>
        <w:pStyle w:val="Heading2"/>
      </w:pPr>
      <w:r>
        <w:t xml:space="preserve">5. Décisions rattachées et suivi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Durée de conservation : {{DUREE_CONSERVATION}}</w:t>
            </w:r>
          </w:p>
        </w:tc>
        <w:tc>
          <w:tcPr/>
          <w:p>
            <w:pPr>
              <w:pStyle w:val="Compact"/>
            </w:pPr>
            <w:r>
              <w:t xml:space="preserve">⏳ à confirmer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Responsable RP : {{RESPONSABLE_RP}}</w:t>
            </w:r>
          </w:p>
        </w:tc>
        <w:tc>
          <w:tcPr/>
          <w:p>
            <w:pPr>
              <w:pStyle w:val="Compact"/>
            </w:pPr>
            <w:r>
              <w:t xml:space="preserve">⏳ à confirmer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Interdiction par défaut d’analyse des commentaires par IA</w:t>
            </w:r>
          </w:p>
        </w:tc>
        <w:tc>
          <w:tcPr/>
          <w:p>
            <w:pPr>
              <w:pStyle w:val="Compact"/>
            </w:pPr>
            <w:r>
              <w:t xml:space="preserve">✔ inscrite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Épinglage régional des fonctions serveur</w:t>
            </w:r>
          </w:p>
        </w:tc>
        <w:tc>
          <w:tcPr/>
          <w:p>
            <w:pPr>
              <w:pStyle w:val="Compact"/>
            </w:pPr>
            <w:r>
              <w:t xml:space="preserve">⏳ à discuter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Réévaluation de la présente EFVP : à chaque ajout de fonctionnalité traitant des RP</w:t>
      </w:r>
      <w:r>
        <w:rPr>
          <w:i/>
          <w:iCs/>
        </w:rPr>
        <w:t xml:space="preserve"> </w:t>
      </w:r>
      <w:r>
        <w:rPr>
          <w:i/>
          <w:iCs/>
        </w:rPr>
        <w:t xml:space="preserve">(orchestrateur de compromis, calculateur d’impact) ou changement de sous-traitant.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f481f97aaa5df7c40dc47a977426a222ce76390"/>
    <w:p>
      <w:pPr>
        <w:pStyle w:val="Heading1"/>
      </w:pPr>
      <w:r>
        <w:t xml:space="preserve">Entente d’encadrement des renseignements personnels — {{PROJET}}</w:t>
      </w:r>
    </w:p>
    <w:p>
      <w:pPr>
        <w:pStyle w:val="FirstParagraph"/>
      </w:pPr>
      <w:r>
        <w:rPr>
          <w:i/>
          <w:iCs/>
        </w:rPr>
        <w:t xml:space="preserve">TRAME (brouillon de travail) — ⚠ à faire réviser par un conseiller juridique avant</w:t>
      </w:r>
      <w:r>
        <w:rPr>
          <w:i/>
          <w:iCs/>
        </w:rPr>
        <w:t xml:space="preserve"> </w:t>
      </w:r>
      <w:r>
        <w:rPr>
          <w:i/>
          <w:iCs/>
        </w:rPr>
        <w:t xml:space="preserve">signature. Gabarit Corda : structure et contenu factuel exacts, formulations à valider.</w:t>
      </w:r>
    </w:p>
    <w:p>
      <w:pPr>
        <w:pStyle w:val="BodyText"/>
      </w:pPr>
      <w:r>
        <w:rPr>
          <w:b/>
          <w:bCs/>
        </w:rPr>
        <w:t xml:space="preserve">Entre :</w:t>
      </w:r>
      <w:r>
        <w:t xml:space="preserve"> </w:t>
      </w:r>
      <w:r>
        <w:t xml:space="preserve">{{CHERCHEURE}}, ci-après « la Chercheure » (responsable du mandat de</w:t>
      </w:r>
      <w:r>
        <w:t xml:space="preserve"> </w:t>
      </w:r>
      <w:r>
        <w:t xml:space="preserve">recherche) ;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{{MANDANT}}, ci-après « le Mandant ».</w:t>
      </w:r>
      <w:r>
        <w:t xml:space="preserve"> </w:t>
      </w:r>
      <w:r>
        <w:rPr>
          <w:b/>
          <w:bCs/>
        </w:rPr>
        <w:t xml:space="preserve">Intervenant :</w:t>
      </w:r>
      <w:r>
        <w:t xml:space="preserve"> </w:t>
      </w:r>
      <w:r>
        <w:t xml:space="preserve">{{FOURNISSEUR}}, ci-après « le Fournisseur » — conçoit et exploite</w:t>
      </w:r>
      <w:r>
        <w:t xml:space="preserve"> </w:t>
      </w:r>
      <w:r>
        <w:t xml:space="preserve">l’outil {{OUTIL}} pour les fins du mandat.</w:t>
      </w:r>
    </w:p>
    <w:p>
      <w:pPr>
        <w:pStyle w:val="BodyText"/>
      </w:pPr>
      <w:r>
        <w:rPr>
          <w:i/>
          <w:iCs/>
        </w:rPr>
        <w:t xml:space="preserve">(Assise : art. 67.2 de la Loi sur l’accès — un organisme public qui confie des</w:t>
      </w:r>
      <w:r>
        <w:rPr>
          <w:i/>
          <w:iCs/>
        </w:rPr>
        <w:t xml:space="preserve"> </w:t>
      </w:r>
      <w:r>
        <w:rPr>
          <w:i/>
          <w:iCs/>
        </w:rPr>
        <w:t xml:space="preserve">renseignements personnels à un tiers dans le cadre d’un mandat doit l’encadrer par</w:t>
      </w:r>
      <w:r>
        <w:rPr>
          <w:i/>
          <w:iCs/>
        </w:rPr>
        <w:t xml:space="preserve"> </w:t>
      </w:r>
      <w:r>
        <w:rPr>
          <w:i/>
          <w:iCs/>
        </w:rPr>
        <w:t xml:space="preserve">écrit : finalité, confidentialité, sécurité, destruction.)</w:t>
      </w:r>
    </w:p>
    <w:p>
      <w:r>
        <w:pict>
          <v:rect style="width:0;height:1.5pt" o:hralign="center" o:hrstd="t" o:hr="t"/>
        </w:pict>
      </w:r>
    </w:p>
    <w:bookmarkStart w:id="30" w:name="objet-et-finalité"/>
    <w:p>
      <w:pPr>
        <w:pStyle w:val="Heading2"/>
      </w:pPr>
      <w:r>
        <w:t xml:space="preserve">1. Objet et finalité</w:t>
      </w:r>
    </w:p>
    <w:p>
      <w:pPr>
        <w:pStyle w:val="FirstParagraph"/>
      </w:pPr>
      <w:r>
        <w:t xml:space="preserve">La collecte et l’utilisation de renseignements personnels de représentants municipaux</w:t>
      </w:r>
      <w:r>
        <w:t xml:space="preserve"> </w:t>
      </w:r>
      <w:r>
        <w:t xml:space="preserve">(prénom, nom, fonction, cotations, commentaires)</w:t>
      </w:r>
      <w:r>
        <w:t xml:space="preserve"> </w:t>
      </w:r>
      <w:r>
        <w:rPr>
          <w:b/>
          <w:bCs/>
        </w:rPr>
        <w:t xml:space="preserve">aux seules fins</w:t>
      </w:r>
      <w:r>
        <w:t xml:space="preserve"> </w:t>
      </w:r>
      <w:r>
        <w:t xml:space="preserve">de l’analyse</w:t>
      </w:r>
      <w:r>
        <w:t xml:space="preserve"> </w:t>
      </w:r>
      <w:r>
        <w:t xml:space="preserve">multicritère des mesures écofiscales prévue au mandat « {{PROJET}} ». Toute autre</w:t>
      </w:r>
      <w:r>
        <w:t xml:space="preserve"> </w:t>
      </w:r>
      <w:r>
        <w:t xml:space="preserve">utilisation exige une entente distincte.</w:t>
      </w:r>
    </w:p>
    <w:bookmarkEnd w:id="30"/>
    <w:bookmarkStart w:id="31" w:name="rôles-et-responsabilités"/>
    <w:p>
      <w:pPr>
        <w:pStyle w:val="Heading2"/>
      </w:pPr>
      <w:r>
        <w:t xml:space="preserve">2. Rôles et responsabilités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Chercheure</w:t>
      </w:r>
      <w:r>
        <w:t xml:space="preserve"> </w:t>
      </w:r>
      <w:r>
        <w:t xml:space="preserve">dirige le mandat, décide des finalités scientifiques et de la</w:t>
      </w:r>
      <w:r>
        <w:t xml:space="preserve"> </w:t>
      </w:r>
      <w:r>
        <w:t xml:space="preserve">diffusion des résultats (agrégés, non nominatifs).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Fournisseur</w:t>
      </w:r>
      <w:r>
        <w:t xml:space="preserve"> </w:t>
      </w:r>
      <w:r>
        <w:t xml:space="preserve">exploite l’outil, applique les mesures de sécurité décrites à</w:t>
      </w:r>
      <w:r>
        <w:t xml:space="preserve"> </w:t>
      </w:r>
      <w:r>
        <w:t xml:space="preserve">l’EFVP (document 03), tient le journal des accès et le registre des incidents.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de la protection des RP</w:t>
      </w:r>
      <w:r>
        <w:t xml:space="preserve"> </w:t>
      </w:r>
      <w:r>
        <w:t xml:space="preserve">pour l’outil : {{RESPONSABLE_RP}}</w:t>
      </w:r>
      <w:r>
        <w:t xml:space="preserve"> </w:t>
      </w:r>
      <w:r>
        <w:t xml:space="preserve">({{COURRIEL_RP}}).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Mandant</w:t>
      </w:r>
      <w:r>
        <w:t xml:space="preserve"> </w:t>
      </w:r>
      <w:r>
        <w:t xml:space="preserve">désigne les répondants municipaux et relaie la présente entente à ses</w:t>
      </w:r>
      <w:r>
        <w:t xml:space="preserve"> </w:t>
      </w:r>
      <w:r>
        <w:t xml:space="preserve">villes membres, le cas échéant.</w:t>
      </w:r>
    </w:p>
    <w:bookmarkEnd w:id="31"/>
    <w:bookmarkStart w:id="32" w:name="sous-traitants-et-localisation"/>
    <w:p>
      <w:pPr>
        <w:pStyle w:val="Heading2"/>
      </w:pPr>
      <w:r>
        <w:t xml:space="preserve">3. Sous-traitants et localisation</w:t>
      </w:r>
    </w:p>
    <w:p>
      <w:pPr>
        <w:pStyle w:val="FirstParagraph"/>
      </w:pPr>
      <w:r>
        <w:t xml:space="preserve">Base de données : {{HEBERGEUR_DONNEES}} (hors Québec — évaluation art. 17 à l’EFVP).</w:t>
      </w:r>
      <w:r>
        <w:t xml:space="preserve"> </w:t>
      </w:r>
      <w:r>
        <w:t xml:space="preserve">Page publique : {{HEBERGEUR_PAGE}} (aucune donnée personnelle). Tout nouveau</w:t>
      </w:r>
      <w:r>
        <w:t xml:space="preserve"> </w:t>
      </w:r>
      <w:r>
        <w:t xml:space="preserve">sous-traitant traitant des RP sera notifié à la Chercheure et au Mandant.</w:t>
      </w:r>
    </w:p>
    <w:bookmarkEnd w:id="32"/>
    <w:bookmarkStart w:id="33" w:name="sécurité-et-confidentialité"/>
    <w:p>
      <w:pPr>
        <w:pStyle w:val="Heading2"/>
      </w:pPr>
      <w:r>
        <w:t xml:space="preserve">4. Sécurité et confidentialité</w:t>
      </w:r>
    </w:p>
    <w:p>
      <w:pPr>
        <w:pStyle w:val="FirstParagraph"/>
      </w:pPr>
      <w:r>
        <w:t xml:space="preserve">Mesures détaillées à l’EFVP (chiffrement, base verrouillée, accès minimaux, journal,</w:t>
      </w:r>
      <w:r>
        <w:t xml:space="preserve"> </w:t>
      </w:r>
      <w:r>
        <w:t xml:space="preserve">anti-force-brute). L’accès nominatif est restreint à l’équipe du mandat.</w:t>
      </w:r>
      <w:r>
        <w:t xml:space="preserve"> </w:t>
      </w:r>
      <w:r>
        <w:rPr>
          <w:b/>
          <w:bCs/>
        </w:rPr>
        <w:t xml:space="preserve">Aucune analyse</w:t>
      </w:r>
      <w:r>
        <w:rPr>
          <w:b/>
          <w:bCs/>
        </w:rPr>
        <w:t xml:space="preserve"> </w:t>
      </w:r>
      <w:r>
        <w:rPr>
          <w:b/>
          <w:bCs/>
        </w:rPr>
        <w:t xml:space="preserve">des commentaires par un outil d’intelligence artificielle</w:t>
      </w:r>
      <w:r>
        <w:t xml:space="preserve"> </w:t>
      </w:r>
      <w:r>
        <w:t xml:space="preserve">sans décision écrite</w:t>
      </w:r>
      <w:r>
        <w:t xml:space="preserve"> </w:t>
      </w:r>
      <w:r>
        <w:t xml:space="preserve">contraire (pseudonymisation et évaluation préalables exigées).</w:t>
      </w:r>
    </w:p>
    <w:bookmarkEnd w:id="33"/>
    <w:bookmarkStart w:id="34" w:name="conservation-destruction-réversibilité"/>
    <w:p>
      <w:pPr>
        <w:pStyle w:val="Heading2"/>
      </w:pPr>
      <w:r>
        <w:t xml:space="preserve">5. Conservation, destruction, réversibilité</w:t>
      </w:r>
    </w:p>
    <w:p>
      <w:pPr>
        <w:pStyle w:val="FirstParagraph"/>
      </w:pPr>
      <w:r>
        <w:t xml:space="preserve">Conservation :</w:t>
      </w:r>
      <w:r>
        <w:t xml:space="preserve"> </w:t>
      </w:r>
      <w:r>
        <w:rPr>
          <w:b/>
          <w:bCs/>
        </w:rPr>
        <w:t xml:space="preserve">{{DUREE_CONSERVATION}}</w:t>
      </w:r>
      <w:r>
        <w:t xml:space="preserve">, puis destruction réelle (procédure</w:t>
      </w:r>
      <w:r>
        <w:t xml:space="preserve"> </w:t>
      </w:r>
      <w:r>
        <w:t xml:space="preserve">documentée ; la suppression d’un répondant détruit ses réponses immédiatement sur</w:t>
      </w:r>
      <w:r>
        <w:t xml:space="preserve"> </w:t>
      </w:r>
      <w:r>
        <w:t xml:space="preserve">demande).</w:t>
      </w:r>
      <w:r>
        <w:t xml:space="preserve"> </w:t>
      </w:r>
      <w:r>
        <w:rPr>
          <w:b/>
          <w:bCs/>
        </w:rPr>
        <w:t xml:space="preserve">Réversibilité</w:t>
      </w:r>
      <w:r>
        <w:t xml:space="preserve"> </w:t>
      </w:r>
      <w:r>
        <w:t xml:space="preserve">: sur demande du Mandant ou de la Chercheure, le Fournisseur</w:t>
      </w:r>
      <w:r>
        <w:t xml:space="preserve"> </w:t>
      </w:r>
      <w:r>
        <w:t xml:space="preserve">remet une exportation complète des données du projet dans un format ouvert (Excel/CSV),</w:t>
      </w:r>
      <w:r>
        <w:t xml:space="preserve"> </w:t>
      </w:r>
      <w:r>
        <w:t xml:space="preserve">puis procède à la destruction attestée.</w:t>
      </w:r>
    </w:p>
    <w:bookmarkEnd w:id="34"/>
    <w:bookmarkStart w:id="35" w:name="incidents"/>
    <w:p>
      <w:pPr>
        <w:pStyle w:val="Heading2"/>
      </w:pPr>
      <w:r>
        <w:t xml:space="preserve">6. Incidents</w:t>
      </w:r>
    </w:p>
    <w:p>
      <w:pPr>
        <w:pStyle w:val="FirstParagraph"/>
      </w:pPr>
      <w:r>
        <w:t xml:space="preserve">Tout incident de confidentialité est consigné au registre (document 06) ; s’il présente</w:t>
      </w:r>
      <w:r>
        <w:t xml:space="preserve"> </w:t>
      </w:r>
      <w:r>
        <w:t xml:space="preserve">un risque de préjudice sérieux, notification sans délai à la Chercheure, au Mandant, aux</w:t>
      </w:r>
      <w:r>
        <w:t xml:space="preserve"> </w:t>
      </w:r>
      <w:r>
        <w:t xml:space="preserve">personnes concernées et à la Commission d’accès à l’information.</w:t>
      </w:r>
    </w:p>
    <w:bookmarkEnd w:id="35"/>
    <w:bookmarkStart w:id="36" w:name="propriété-intellectuelle-et-marque"/>
    <w:p>
      <w:pPr>
        <w:pStyle w:val="Heading2"/>
      </w:pPr>
      <w:r>
        <w:t xml:space="preserve">7. Propriété intellectuelle et marque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grille d’analyse multicritère</w:t>
      </w:r>
      <w:r>
        <w:t xml:space="preserve"> </w:t>
      </w:r>
      <w:r>
        <w:t xml:space="preserve">(dimensions, critères, règles) demeure l’œuvre</w:t>
      </w:r>
      <w:r>
        <w:t xml:space="preserve"> </w:t>
      </w:r>
      <w:r>
        <w:t xml:space="preserve">scientifique de</w:t>
      </w:r>
      <w:r>
        <w:t xml:space="preserve"> </w:t>
      </w:r>
      <w:r>
        <w:rPr>
          <w:b/>
          <w:bCs/>
        </w:rPr>
        <w:t xml:space="preserve">Fanny Tremblay-Racicot et Jérôme Couture</w:t>
      </w:r>
      <w:r>
        <w:t xml:space="preserve">, dûment créditée dans</w:t>
      </w:r>
      <w:r>
        <w:t xml:space="preserve"> </w:t>
      </w:r>
      <w:r>
        <w:t xml:space="preserve">l’outil et ses exports.</w:t>
      </w:r>
    </w:p>
    <w:p>
      <w:pPr>
        <w:pStyle w:val="Compact"/>
        <w:numPr>
          <w:ilvl w:val="0"/>
          <w:numId w:val="1003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logiciel</w:t>
      </w:r>
      <w:r>
        <w:t xml:space="preserve"> </w:t>
      </w:r>
      <w:r>
        <w:t xml:space="preserve">{{OUTIL}} (code, interface, architecture, marque Corda) demeure la</w:t>
      </w:r>
      <w:r>
        <w:t xml:space="preserve"> </w:t>
      </w:r>
      <w:r>
        <w:rPr>
          <w:b/>
          <w:bCs/>
        </w:rPr>
        <w:t xml:space="preserve">propriété exclusive du Fournisseur</w:t>
      </w:r>
      <w:r>
        <w:t xml:space="preserve">. La présente entente ne confère au Mandant</w:t>
      </w:r>
      <w:r>
        <w:t xml:space="preserve"> </w:t>
      </w:r>
      <w:r>
        <w:t xml:space="preserve">qu’un droit d’usage pour la durée du mandat.</w:t>
      </w:r>
    </w:p>
    <w:p>
      <w:pPr>
        <w:pStyle w:val="Compact"/>
        <w:numPr>
          <w:ilvl w:val="0"/>
          <w:numId w:val="1003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données de cotation</w:t>
      </w:r>
      <w:r>
        <w:t xml:space="preserve"> </w:t>
      </w:r>
      <w:r>
        <w:t xml:space="preserve">appartiennent au mandat de recherche ; leur diffusion suit</w:t>
      </w:r>
      <w:r>
        <w:t xml:space="preserve"> </w:t>
      </w:r>
      <w:r>
        <w:t xml:space="preserve">les règles de la section 1.</w:t>
      </w:r>
    </w:p>
    <w:bookmarkEnd w:id="36"/>
    <w:bookmarkStart w:id="37" w:name="durée-et-fin"/>
    <w:p>
      <w:pPr>
        <w:pStyle w:val="Heading2"/>
      </w:pPr>
      <w:r>
        <w:t xml:space="preserve">8. Durée et fin</w:t>
      </w:r>
    </w:p>
    <w:p>
      <w:pPr>
        <w:pStyle w:val="FirstParagraph"/>
      </w:pPr>
      <w:r>
        <w:t xml:space="preserve">De la signature jusqu’à la fin du mandat + la période de conservation. À l’échéance :</w:t>
      </w:r>
      <w:r>
        <w:t xml:space="preserve"> </w:t>
      </w:r>
      <w:r>
        <w:t xml:space="preserve">destruction attestée (art. 5). Les articles 6 et 7 survivent à l’entente.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 Chercheure — {{CHERCHEURE}}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Mandant — {{MANDANT}} (représentant autorisé)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Fournisseur — {{FOURNISSEUR}}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pPr>
        <w:pStyle w:val="BodyText"/>
      </w:pPr>
      <w:r>
        <w:rPr>
          <w:i/>
          <w:iCs/>
        </w:rPr>
        <w:t xml:space="preserve">⏳ À trancher avant signature : qui signe pour le Mandant (MRC seule, ou chaque ville) ;</w:t>
      </w:r>
      <w:r>
        <w:rPr>
          <w:i/>
          <w:iCs/>
        </w:rPr>
        <w:t xml:space="preserve"> </w:t>
      </w:r>
      <w:r>
        <w:rPr>
          <w:i/>
          <w:iCs/>
        </w:rPr>
        <w:t xml:space="preserve">statut exact ENAP/CERGO dans l’entente (employeur de la Chercheure vs partie).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d76e5efb5d8e5f2f7366005552b2b68142558ca"/>
    <w:p>
      <w:pPr>
        <w:pStyle w:val="Heading1"/>
      </w:pPr>
      <w:r>
        <w:t xml:space="preserve">Procédure des droits d’accès, de rectification et de retrait — {{OUTIL}}</w:t>
      </w:r>
    </w:p>
    <w:p>
      <w:pPr>
        <w:pStyle w:val="FirstParagraph"/>
      </w:pPr>
      <w:r>
        <w:rPr>
          <w:i/>
          <w:iCs/>
        </w:rPr>
        <w:t xml:space="preserve">(Gabarit Corda — répond au constat « organismes non outillés » de la révision : une</w:t>
      </w:r>
      <w:r>
        <w:rPr>
          <w:i/>
          <w:iCs/>
        </w:rPr>
        <w:t xml:space="preserve"> </w:t>
      </w:r>
      <w:r>
        <w:rPr>
          <w:i/>
          <w:iCs/>
        </w:rPr>
        <w:t xml:space="preserve">procédure simple, documentée, affichée dans la politique. Le point d’entrée est un</w:t>
      </w:r>
      <w:r>
        <w:rPr>
          <w:i/>
          <w:iCs/>
        </w:rPr>
        <w:t xml:space="preserve"> </w:t>
      </w:r>
      <w:r>
        <w:rPr>
          <w:i/>
          <w:iCs/>
        </w:rPr>
        <w:t xml:space="preserve">courriel au responsable ; le traitement technique est déjà câblé dans l’outil.)</w:t>
      </w:r>
    </w:p>
    <w:p>
      <w:r>
        <w:pict>
          <v:rect style="width:0;height:1.5pt" o:hralign="center" o:hrstd="t" o:hr="t"/>
        </w:pict>
      </w:r>
    </w:p>
    <w:bookmarkStart w:id="39" w:name="Xb50b2a02314001bd2e1e7fc6f0f4892ceacbb1c"/>
    <w:p>
      <w:pPr>
        <w:pStyle w:val="Heading2"/>
      </w:pPr>
      <w:r>
        <w:t xml:space="preserve">Pour la personne concernée (ce que dit la politique)</w:t>
      </w:r>
    </w:p>
    <w:p>
      <w:pPr>
        <w:pStyle w:val="FirstParagraph"/>
      </w:pPr>
      <w:r>
        <w:t xml:space="preserve">Écrire à</w:t>
      </w:r>
      <w:r>
        <w:t xml:space="preserve"> </w:t>
      </w:r>
      <w:r>
        <w:rPr>
          <w:b/>
          <w:bCs/>
        </w:rPr>
        <w:t xml:space="preserve">{{COURRIEL_RP}}</w:t>
      </w:r>
      <w:r>
        <w:t xml:space="preserve"> </w:t>
      </w:r>
      <w:r>
        <w:t xml:space="preserve">en précisant votre nom et votre municipalité. Réponse dans</w:t>
      </w:r>
      <w:r>
        <w:t xml:space="preserve"> </w:t>
      </w:r>
      <w:r>
        <w:t xml:space="preserve">un délai maximal de</w:t>
      </w:r>
      <w:r>
        <w:t xml:space="preserve"> </w:t>
      </w:r>
      <w:r>
        <w:rPr>
          <w:b/>
          <w:bCs/>
        </w:rPr>
        <w:t xml:space="preserve">30 jours</w:t>
      </w:r>
      <w:r>
        <w:t xml:space="preserve">. Recours possible auprès de la Commission d’accès à</w:t>
      </w:r>
      <w:r>
        <w:t xml:space="preserve"> </w:t>
      </w:r>
      <w:r>
        <w:t xml:space="preserve">l’information (cai.gouv.qc.ca) en cas d’insatisfaction.</w:t>
      </w:r>
    </w:p>
    <w:bookmarkEnd w:id="39"/>
    <w:bookmarkStart w:id="40" w:name="X52d706a4724c61be9b70e0a64f4ed7af8efd6b1"/>
    <w:p>
      <w:pPr>
        <w:pStyle w:val="Heading2"/>
      </w:pPr>
      <w:r>
        <w:t xml:space="preserve">Pour l’équipe du mandat (traitement interne)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Quoi faire</w:t>
            </w:r>
          </w:p>
        </w:tc>
        <w:tc>
          <w:tcPr/>
          <w:p>
            <w:pPr>
              <w:pStyle w:val="Compact"/>
            </w:pPr>
            <w:r>
              <w:t xml:space="preserve">Outillage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Réception</w:t>
            </w:r>
          </w:p>
        </w:tc>
        <w:tc>
          <w:tcPr/>
          <w:p>
            <w:pPr>
              <w:pStyle w:val="Compact"/>
            </w:pPr>
            <w:r>
              <w:t xml:space="preserve">Consigner la demande (date, personne, nature) au registre ci-dessous</w:t>
            </w:r>
          </w:p>
        </w:tc>
        <w:tc>
          <w:tcPr/>
          <w:p>
            <w:pPr>
              <w:pStyle w:val="Compact"/>
            </w:pPr>
            <w:r>
              <w:t xml:space="preserve">Registre des demandes (bas de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Vérification d’identité</w:t>
            </w:r>
          </w:p>
        </w:tc>
        <w:tc>
          <w:tcPr/>
          <w:p>
            <w:pPr>
              <w:pStyle w:val="Compact"/>
            </w:pPr>
            <w:r>
              <w:t xml:space="preserve">Confirmer que le demandeur est bien le répondant : recouper prénom/nom/fonction/ville avec le code d’accès ; au besoin, valider par la direction générale de sa municipalité</w:t>
            </w:r>
          </w:p>
        </w:tc>
        <w:tc>
          <w:tcPr/>
          <w:p>
            <w:pPr>
              <w:pStyle w:val="Compact"/>
            </w:pPr>
            <w:r>
              <w:t xml:space="preserve">Écran admin « Accès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3a.</w:t>
            </w:r>
            <w:r>
              <w:t xml:space="preserve"> </w:t>
            </w:r>
            <w:r>
              <w:rPr>
                <w:b/>
                <w:bCs/>
              </w:rPr>
              <w:t xml:space="preserve">Accès</w:t>
            </w:r>
          </w:p>
        </w:tc>
        <w:tc>
          <w:tcPr/>
          <w:p>
            <w:pPr>
              <w:pStyle w:val="Compact"/>
            </w:pPr>
            <w:r>
              <w:t xml:space="preserve">Exporter ses réponses : écran « Réponses » (sélectionner le répondant) → copie PDF/impression, ou extraction Excel</w:t>
            </w:r>
          </w:p>
        </w:tc>
        <w:tc>
          <w:tcPr/>
          <w:p>
            <w:pPr>
              <w:pStyle w:val="Compact"/>
            </w:pPr>
            <w:r>
              <w:t xml:space="preserve">App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3b.</w:t>
            </w:r>
            <w:r>
              <w:t xml:space="preserve"> </w:t>
            </w:r>
            <w:r>
              <w:rPr>
                <w:b/>
                <w:bCs/>
              </w:rPr>
              <w:t xml:space="preserve">Rectification</w:t>
            </w:r>
          </w:p>
        </w:tc>
        <w:tc>
          <w:tcPr/>
          <w:p>
            <w:pPr>
              <w:pStyle w:val="Compact"/>
            </w:pPr>
            <w:r>
              <w:t xml:space="preserve">Identité (prénom/nom/fonction) : correction en base par l’admin. Cotations : la personne se reconnecte avec son code et modifie elle-même</w:t>
            </w:r>
          </w:p>
        </w:tc>
        <w:tc>
          <w:tcPr/>
          <w:p>
            <w:pPr>
              <w:pStyle w:val="Compact"/>
            </w:pPr>
            <w:r>
              <w:t xml:space="preserve">App + SQL au besoin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3c.</w:t>
            </w:r>
            <w:r>
              <w:t xml:space="preserve"> </w:t>
            </w:r>
            <w:r>
              <w:rPr>
                <w:b/>
                <w:bCs/>
              </w:rPr>
              <w:t xml:space="preserve">Retrait</w:t>
            </w:r>
          </w:p>
        </w:tc>
        <w:tc>
          <w:tcPr/>
          <w:p>
            <w:pPr>
              <w:pStyle w:val="Compact"/>
            </w:pPr>
            <w:r>
              <w:t xml:space="preserve">Écran « Accès » →</w:t>
            </w:r>
            <w:r>
              <w:t xml:space="preserve"> </w:t>
            </w:r>
            <w:r>
              <w:rPr>
                <w:b/>
                <w:bCs/>
              </w:rPr>
              <w:t xml:space="preserve">Supprimer le code</w:t>
            </w:r>
            <w:r>
              <w:t xml:space="preserve"> </w:t>
            </w:r>
            <w:r>
              <w:t xml:space="preserve">→ destruction RÉELLE et immédiate de l’identité ET de toutes ses réponses (cascade en base)</w:t>
            </w:r>
          </w:p>
        </w:tc>
        <w:tc>
          <w:tcPr/>
          <w:p>
            <w:pPr>
              <w:pStyle w:val="Compact"/>
            </w:pPr>
            <w:r>
              <w:t xml:space="preserve">App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Confirmation</w:t>
            </w:r>
          </w:p>
        </w:tc>
        <w:tc>
          <w:tcPr/>
          <w:p>
            <w:pPr>
              <w:pStyle w:val="Compact"/>
            </w:pPr>
            <w:r>
              <w:t xml:space="preserve">Répondre par écrit à la personne (dans les 30 jours) ; consigner la clôture au registre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Notes.</w:t>
      </w:r>
      <w:r>
        <w:t xml:space="preserve"> </w:t>
      </w:r>
      <w:r>
        <w:t xml:space="preserve">Le retrait est irréversible et gratuit. Si la personne souhaite ensuite</w:t>
      </w:r>
      <w:r>
        <w:t xml:space="preserve"> </w:t>
      </w:r>
      <w:r>
        <w:t xml:space="preserve">recontribuer, un nouveau code est émis. Les données déjà</w:t>
      </w:r>
      <w:r>
        <w:t xml:space="preserve"> </w:t>
      </w:r>
      <w:r>
        <w:rPr>
          <w:b/>
          <w:bCs/>
        </w:rPr>
        <w:t xml:space="preserve">agrégées et diffusées</w:t>
      </w:r>
      <w:r>
        <w:t xml:space="preserve"> </w:t>
      </w:r>
      <w:r>
        <w:t xml:space="preserve">(portraits par ville) ne sont pas rétroactivement modifiables — le mentionner dans la</w:t>
      </w:r>
      <w:r>
        <w:t xml:space="preserve"> </w:t>
      </w:r>
      <w:r>
        <w:t xml:space="preserve">réponse, conformément à la politique.</w:t>
      </w:r>
    </w:p>
    <w:bookmarkEnd w:id="40"/>
    <w:bookmarkStart w:id="41" w:name="registre-des-demandes"/>
    <w:p>
      <w:pPr>
        <w:pStyle w:val="Heading2"/>
      </w:pPr>
      <w:r>
        <w:t xml:space="preserve">Registre des demandes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Personne (ville)</w:t>
            </w:r>
          </w:p>
        </w:tc>
        <w:tc>
          <w:tcPr/>
          <w:p>
            <w:pPr>
              <w:pStyle w:val="Compact"/>
            </w:pPr>
            <w:r>
              <w:t xml:space="preserve">Nature (accès/rectif/retrait)</w:t>
            </w:r>
          </w:p>
        </w:tc>
        <w:tc>
          <w:tcPr/>
          <w:p>
            <w:pPr>
              <w:pStyle w:val="Compact"/>
            </w:pPr>
            <w:r>
              <w:t xml:space="preserve">Traitée le</w:t>
            </w:r>
          </w:p>
        </w:tc>
        <w:tc>
          <w:tcPr/>
          <w:p>
            <w:pPr>
              <w:pStyle w:val="Compact"/>
            </w:pPr>
            <w:r>
              <w:t xml:space="preserve">Par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X0069d1b0bb9b846066b4cf1c01084326c311054"/>
    <w:p>
      <w:pPr>
        <w:pStyle w:val="Heading1"/>
      </w:pPr>
      <w:r>
        <w:t xml:space="preserve">Registre des incidents de confidentialité — {{OUTIL}}</w:t>
      </w:r>
    </w:p>
    <w:p>
      <w:pPr>
        <w:pStyle w:val="FirstParagraph"/>
      </w:pPr>
      <w:r>
        <w:rPr>
          <w:i/>
          <w:iCs/>
        </w:rPr>
        <w:t xml:space="preserve">(Gabarit Corda — la Loi 25 oblige à tenir un registre de TOUT incident de</w:t>
      </w:r>
      <w:r>
        <w:rPr>
          <w:i/>
          <w:iCs/>
        </w:rPr>
        <w:t xml:space="preserve"> </w:t>
      </w:r>
      <w:r>
        <w:rPr>
          <w:i/>
          <w:iCs/>
        </w:rPr>
        <w:t xml:space="preserve">confidentialité : accès, utilisation, communication ou perte non autorisés de</w:t>
      </w:r>
      <w:r>
        <w:rPr>
          <w:i/>
          <w:iCs/>
        </w:rPr>
        <w:t xml:space="preserve"> </w:t>
      </w:r>
      <w:r>
        <w:rPr>
          <w:i/>
          <w:iCs/>
        </w:rPr>
        <w:t xml:space="preserve">renseignements personnels — même mineur, même sans préjudice. Si un incident présente</w:t>
      </w:r>
      <w:r>
        <w:rPr>
          <w:i/>
          <w:iCs/>
        </w:rPr>
        <w:t xml:space="preserve"> </w:t>
      </w:r>
      <w:r>
        <w:rPr>
          <w:i/>
          <w:iCs/>
        </w:rPr>
        <w:t xml:space="preserve">un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risque de préjudice sérieux</w:t>
      </w:r>
      <w:r>
        <w:rPr>
          <w:i/>
          <w:iCs/>
        </w:rPr>
        <w:t xml:space="preserve"> </w:t>
      </w:r>
      <w:r>
        <w:rPr>
          <w:i/>
          <w:iCs/>
        </w:rPr>
        <w:t xml:space="preserve">: aviser sans délai la Commission d’accès à</w:t>
      </w:r>
      <w:r>
        <w:rPr>
          <w:i/>
          <w:iCs/>
        </w:rPr>
        <w:t xml:space="preserve"> </w:t>
      </w:r>
      <w:r>
        <w:rPr>
          <w:i/>
          <w:iCs/>
        </w:rPr>
        <w:t xml:space="preserve">l’information ET les personnes concernées.)</w:t>
      </w:r>
    </w:p>
    <w:p>
      <w:pPr>
        <w:pStyle w:val="BodyText"/>
      </w:pPr>
      <w:r>
        <w:rPr>
          <w:b/>
          <w:bCs/>
        </w:rPr>
        <w:t xml:space="preserve">Tenu par :</w:t>
      </w:r>
      <w:r>
        <w:t xml:space="preserve"> </w:t>
      </w:r>
      <w:r>
        <w:t xml:space="preserve">{{RESPONSABLE_RP}} ({{COURRIEL_RP}}) · Conservation du registre : 5 ans</w:t>
      </w:r>
      <w:r>
        <w:t xml:space="preserve"> </w:t>
      </w:r>
      <w:r>
        <w:t xml:space="preserve">minimum après chaque incident.</w:t>
      </w:r>
    </w:p>
    <w:p>
      <w:r>
        <w:pict>
          <v:rect style="width:0;height:1.5pt" o:hralign="center" o:hrstd="t" o:hr="t"/>
        </w:pict>
      </w:r>
    </w:p>
    <w:bookmarkStart w:id="43" w:name="X291209b384b47dfb25d35ff47bd9a4bd78bb9c5"/>
    <w:p>
      <w:pPr>
        <w:pStyle w:val="Heading2"/>
      </w:pPr>
      <w:r>
        <w:t xml:space="preserve">Grille d’évaluation rapide (à chaque incident)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Quoi</w:t>
      </w:r>
      <w:r>
        <w:t xml:space="preserve"> </w:t>
      </w:r>
      <w:r>
        <w:t xml:space="preserve">: quels renseignements, combien de personnes, quelle cause (erreur, faille,</w:t>
      </w:r>
      <w:r>
        <w:t xml:space="preserve"> </w:t>
      </w:r>
      <w:r>
        <w:t xml:space="preserve">perte d’appareil, hameçonnage…) 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Risque de préjudice sérieux ?</w:t>
      </w:r>
      <w:r>
        <w:t xml:space="preserve"> </w:t>
      </w:r>
      <w:r>
        <w:t xml:space="preserve">Sensibilité des renseignements × probabilité</w:t>
      </w:r>
      <w:r>
        <w:t xml:space="preserve"> </w:t>
      </w:r>
      <w:r>
        <w:t xml:space="preserve">d’utilisation malveillante × gravité des conséquences.</w:t>
      </w:r>
      <w:r>
        <w:t xml:space="preserve"> </w:t>
      </w:r>
      <w:r>
        <w:rPr>
          <w:i/>
          <w:iCs/>
        </w:rPr>
        <w:t xml:space="preserve">(Repère pour cet outil :</w:t>
      </w:r>
      <w:r>
        <w:rPr>
          <w:i/>
          <w:iCs/>
        </w:rPr>
        <w:t xml:space="preserve"> </w:t>
      </w:r>
      <w:r>
        <w:rPr>
          <w:i/>
          <w:iCs/>
        </w:rPr>
        <w:t xml:space="preserve">identités professionnelles + cotations = risque généralement faible ; commentaires</w:t>
      </w:r>
      <w:r>
        <w:rPr>
          <w:i/>
          <w:iCs/>
        </w:rPr>
        <w:t xml:space="preserve"> </w:t>
      </w:r>
      <w:r>
        <w:rPr>
          <w:i/>
          <w:iCs/>
        </w:rPr>
        <w:t xml:space="preserve">libres = à évaluer cas par cas.)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oui</w:t>
      </w:r>
      <w:r>
        <w:t xml:space="preserve"> </w:t>
      </w:r>
      <w:r>
        <w:t xml:space="preserve">→ notification CAI + personnes concernées</w:t>
      </w:r>
      <w:r>
        <w:t xml:space="preserve"> </w:t>
      </w:r>
      <w:r>
        <w:rPr>
          <w:b/>
          <w:bCs/>
        </w:rPr>
        <w:t xml:space="preserve">sans délai</w:t>
      </w:r>
      <w:r>
        <w:t xml:space="preserve"> </w:t>
      </w:r>
      <w:r>
        <w:t xml:space="preserve">; mesures pour</w:t>
      </w:r>
      <w:r>
        <w:t xml:space="preserve"> </w:t>
      </w:r>
      <w:r>
        <w:t xml:space="preserve">réduire le risque.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Dans tous les cas</w:t>
      </w:r>
      <w:r>
        <w:t xml:space="preserve"> </w:t>
      </w:r>
      <w:r>
        <w:t xml:space="preserve">→ consigner ci-dessous + mesure corrective.</w:t>
      </w:r>
    </w:p>
    <w:bookmarkEnd w:id="43"/>
    <w:bookmarkStart w:id="44" w:name="registre"/>
    <w:p>
      <w:pPr>
        <w:pStyle w:val="Heading2"/>
      </w:pPr>
      <w:r>
        <w:t xml:space="preserve">Registre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de l’incident</w:t>
            </w:r>
          </w:p>
        </w:tc>
        <w:tc>
          <w:tcPr/>
          <w:p>
            <w:pPr>
              <w:pStyle w:val="Compact"/>
            </w:pPr>
            <w:r>
              <w:t xml:space="preserve">Découvert le</w:t>
            </w:r>
          </w:p>
        </w:tc>
        <w:tc>
          <w:tcPr/>
          <w:p>
            <w:pPr>
              <w:pStyle w:val="Compact"/>
            </w:pPr>
            <w:r>
              <w:t xml:space="preserve">Description (quoi, qui, combien)</w:t>
            </w:r>
          </w:p>
        </w:tc>
        <w:tc>
          <w:tcPr/>
          <w:p>
            <w:pPr>
              <w:pStyle w:val="Compact"/>
            </w:pPr>
            <w:r>
              <w:t xml:space="preserve">Risque sérieux ?</w:t>
            </w:r>
          </w:p>
        </w:tc>
        <w:tc>
          <w:tcPr/>
          <w:p>
            <w:pPr>
              <w:pStyle w:val="Compact"/>
            </w:pPr>
            <w:r>
              <w:t xml:space="preserve">CAI avisée</w:t>
            </w:r>
          </w:p>
        </w:tc>
        <w:tc>
          <w:tcPr/>
          <w:p>
            <w:pPr>
              <w:pStyle w:val="Compact"/>
            </w:pPr>
            <w:r>
              <w:t xml:space="preserve">Personnes avisées</w:t>
            </w:r>
          </w:p>
        </w:tc>
        <w:tc>
          <w:tcPr/>
          <w:p>
            <w:pPr>
              <w:pStyle w:val="Compact"/>
            </w:pPr>
            <w:r>
              <w:t xml:space="preserve">Mesures correctives</w:t>
            </w:r>
          </w:p>
        </w:tc>
        <w:tc>
          <w:tcPr/>
          <w:p>
            <w:pPr>
              <w:pStyle w:val="Compact"/>
            </w:pPr>
            <w:r>
              <w:t xml:space="preserve">Clos 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politiqu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politiqu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2026-07-07T00:28:44Z</dcterms:created>
  <dcterms:modified xsi:type="dcterms:W3CDTF">2026-07-07T00:28:44Z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