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Québec-Windsor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François Rebello [AUTEUR À COMPLÉTER]</w:t>
      </w:r>
    </w:p>
    <w:p>
      <w:pPr>
        <w:pStyle w:val="Date"/>
      </w:pPr>
      <w:r>
        <w:t xml:space="preserve">Brouillon, août 2026</w:t>
      </w:r>
    </w:p>
    <w:bookmarkStart w:id="9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 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se lit dans une seule table, construite en additionnant quatre choses</w:t>
      </w:r>
      <w:r>
        <w:t xml:space="preserve"> </w:t>
      </w:r>
      <w:r>
        <w:t xml:space="preserve">que l’on peut compter : le temps que les courbes permettent, le temps des zones urbaines</w:t>
      </w:r>
      <w:r>
        <w:t xml:space="preserve"> </w:t>
      </w:r>
      <w:r>
        <w:t xml:space="preserve">(figé à l’horaire actuel), le temps des arrêts, et une marge d’exploitation que l’étude</w:t>
      </w:r>
      <w:r>
        <w:t xml:space="preserve"> </w:t>
      </w:r>
      <w:r>
        <w:t xml:space="preserve">encadre entre deux bornes au lieu de la deviner.</w:t>
      </w:r>
    </w:p>
    <w:p>
      <w:pPr>
        <w:pStyle w:val="BodyText"/>
      </w:pPr>
      <w:r>
        <w:t xml:space="preserve">Trois scénarios de matériel et de voie (détail en section 3) 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 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 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 ; 250 et plus exige de les éliminer, voir sections 5 et 6).</w:t>
      </w:r>
    </w:p>
    <w:p>
      <w:pPr>
        <w:pStyle w:val="BodyText"/>
      </w:pPr>
      <w:r>
        <w:rPr>
          <w:b/>
          <w:bCs/>
        </w:rPr>
        <w:t xml:space="preserve">Temps Montréal-Toronto (539 km), en heures:minutes.</w:t>
      </w:r>
      <w:r>
        <w:t xml:space="preserve"> </w:t>
      </w:r>
      <w:r>
        <w:t xml:space="preserve">Horaire actuel : 5 h 18.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4 h 21 à 4 h 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49 à 4 h 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300 km/h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  <w:tc>
          <w:tcPr/>
          <w:p>
            <w:pPr>
              <w:pStyle w:val="Compact"/>
            </w:pPr>
            <w:r>
              <w:t xml:space="preserve">3 h 32 à 3 h 43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Montréal-Québec (270 km).</w:t>
      </w:r>
      <w:r>
        <w:t xml:space="preserve"> </w:t>
      </w:r>
      <w:r>
        <w:t xml:space="preserve">Horaire actuel : 3 h 22.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 × bande</w:t>
            </w:r>
          </w:p>
        </w:tc>
        <w:tc>
          <w:tcPr/>
          <w:p>
            <w:pPr>
              <w:pStyle w:val="Compact"/>
            </w:pPr>
            <w:r>
              <w:t xml:space="preserve">Temps de base</w:t>
            </w:r>
          </w:p>
        </w:tc>
        <w:tc>
          <w:tcPr/>
          <w:p>
            <w:pPr>
              <w:pStyle w:val="Compact"/>
            </w:pPr>
            <w:r>
              <w:t xml:space="preserve">Avec marge (fourchette)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S2, bande 200 km/h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2 h 24 à 2 h 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S3, bande 250 km/h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2 h 09 à 2 h 37</w:t>
            </w:r>
          </w:p>
        </w:tc>
      </w:tr>
    </w:tbl>
    <w:p>
      <w:pPr>
        <w:pStyle w:val="BodyText"/>
      </w:pPr>
      <w:r>
        <w:t xml:space="preserve">La fourchette de marge n’est pas une estimation : sa borne basse est la marge normative</w:t>
      </w:r>
      <w:r>
        <w:t xml:space="preserve"> </w:t>
      </w:r>
      <w:r>
        <w:t xml:space="preserve">internationale (9 pour cent du temps de parcours aux vitesses de 200 km/h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 : de 14 pour cent sur</w:t>
      </w:r>
      <w:r>
        <w:t xml:space="preserve"> </w:t>
      </w:r>
      <w:r>
        <w:t xml:space="preserve">Montréal-Toronto à 33 pour cent sur Montréal-Québec). La distance entre les deux bornes</w:t>
      </w:r>
      <w:r>
        <w:t xml:space="preserve"> </w:t>
      </w:r>
      <w:r>
        <w:t xml:space="preserve">est le coût du régime d’exploitation actuel 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 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les quelque 1 150 km de voies existantes du corridor riverain</w:t>
      </w:r>
      <w:r>
        <w:t xml:space="preserve"> </w:t>
      </w:r>
      <w:r>
        <w:t xml:space="preserve">peuvent donner, ainsi que les cinq obstacles qui les retiennent et le prix réglementaire</w:t>
      </w:r>
      <w:r>
        <w:t xml:space="preserve"> </w:t>
      </w:r>
      <w:r>
        <w:t xml:space="preserve">de chacun. Les deux exercices sont complémentaires 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Les cinq constats principaux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km/h, et plus aucun kilomètre sous 100 km/h.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 </w:t>
      </w:r>
      <w:r>
        <w:t xml:space="preserve">: 754 des 924 passages du corridor se trouvent sur des segments dont la</w:t>
      </w:r>
      <w:r>
        <w:t xml:space="preserve"> </w:t>
      </w:r>
      <w:r>
        <w:t xml:space="preserve">géométrie dépasserait ce seuil 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 </w:t>
      </w:r>
      <w:r>
        <w:t xml:space="preserve">: rien à faire jusqu’à</w:t>
      </w:r>
      <w:r>
        <w:t xml:space="preserve"> </w:t>
      </w:r>
      <w:r>
        <w:t xml:space="preserve">160 km/h,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 : une voie simple coûte 3 à 6 points de marge</w:t>
      </w:r>
      <w:r>
        <w:t xml:space="preserve"> </w:t>
      </w:r>
      <w:r>
        <w:t xml:space="preserve">quand VIA est propriétaire, 27 à 33 points quand le CN l’est. Le même instrument</w:t>
      </w:r>
      <w:r>
        <w:t xml:space="preserve"> </w:t>
      </w:r>
      <w:r>
        <w:t xml:space="preserve">montre ce que le doublement achète chez le CN 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 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9"/>
    <w:bookmarkStart w:id="13" w:name="méthode-et-périmètre"/>
    <w:p>
      <w:pPr>
        <w:pStyle w:val="Heading1"/>
      </w:pPr>
      <w:r>
        <w:t xml:space="preserve">Méthode et périmètre</w:t>
      </w:r>
    </w:p>
    <w:bookmarkStart w:id="10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tronçon, pour une bande de vitesse et un scénario donnés, est</w:t>
      </w:r>
      <w:r>
        <w:t xml:space="preserve"> </w:t>
      </w:r>
      <w:r>
        <w:t xml:space="preserve">la somme de quatre termes 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</w:t>
      </w:r>
      <w:r>
        <w:t xml:space="preserve"> </w:t>
      </w:r>
      <w:r>
        <w:t xml:space="preserve">l’interurbain.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 </w:t>
      </w:r>
      <w:r>
        <w:t xml:space="preserve">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 </w:t>
      </w:r>
      <w:r>
        <w:t xml:space="preserve">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 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(20,2 km), chacun figé à la médiane des horaires</w:t>
      </w:r>
      <w:r>
        <w:t xml:space="preserve"> </w:t>
      </w:r>
      <w:r>
        <w:t xml:space="preserve">GTFS actuels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 </w:t>
      </w:r>
      <w:r>
        <w:t xml:space="preserve">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Cinq minutes par arrêt intermédiaire hors blocs urbains. C’est une</w:t>
      </w:r>
      <w:r>
        <w:t xml:space="preserve"> </w:t>
      </w:r>
      <w:r>
        <w:t xml:space="preserve">normalisation volontairement favorable : le pilote de train sans arrêt de septembre 2025</w:t>
      </w:r>
      <w:r>
        <w:t xml:space="preserve"> </w:t>
      </w:r>
      <w:r>
        <w:t xml:space="preserve">annonçait un gain de 30 à 40 minutes pour quatre arrêts sautés, soit 7,5 à 10 minutes par</w:t>
      </w:r>
      <w:r>
        <w:t xml:space="preserve"> </w:t>
      </w:r>
      <w:r>
        <w:t xml:space="preserve">arrêt en conditions réelles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 : encadrée entre une borne normative et une borne mesurée</w:t>
      </w:r>
      <w:r>
        <w:t xml:space="preserve"> </w:t>
      </w:r>
      <w:r>
        <w:t xml:space="preserve">(section 4.3).</w:t>
      </w:r>
    </w:p>
    <w:bookmarkEnd w:id="10"/>
    <w:bookmarkStart w:id="11" w:name="les-données"/>
    <w:p>
      <w:pPr>
        <w:pStyle w:val="Heading2"/>
      </w:pPr>
      <w:r>
        <w:t xml:space="preserve">Les données</w:t>
      </w:r>
    </w:p>
    <w:p>
      <w:pPr>
        <w:pStyle w:val="FirstParagraph"/>
      </w:pPr>
      <w:r>
        <w:t xml:space="preserve">Géométrie : tracé VIA reconstruit par appariement des données d’horaire GTFS sur le</w:t>
      </w:r>
      <w:r>
        <w:t xml:space="preserve"> </w:t>
      </w:r>
      <w:r>
        <w:t xml:space="preserve">graphe ferroviaire OpenStreetMap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;</w:t>
      </w:r>
      <w:r>
        <w:t xml:space="preserve"> 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, rayon de</w:t>
      </w:r>
      <w:r>
        <w:t xml:space="preserve"> </w:t>
      </w:r>
      <w:r>
        <w:t xml:space="preserve">courbure calculé tous les 10 mètres, validé par quatre passes de contre-vérification</w:t>
      </w:r>
      <w:r>
        <w:t xml:space="preserve"> </w:t>
      </w:r>
      <w:r>
        <w:t xml:space="preserve">indépendantes lors des phases antérieures du projet. Nombre de voies : détection</w:t>
      </w:r>
      <w:r>
        <w:t xml:space="preserve"> </w:t>
      </w:r>
      <w:r>
        <w:t xml:space="preserve">géométrique des voies parallèles dans OpenStreetMap, corroborée par les rapports du</w:t>
      </w:r>
      <w:r>
        <w:t xml:space="preserve"> </w:t>
      </w:r>
      <w:r>
        <w:t xml:space="preserve">Bureau de la sécurité des transports (l’écart entre un tronçon double détecté et le même</w:t>
      </w:r>
      <w:r>
        <w:t xml:space="preserve"> </w:t>
      </w:r>
      <w:r>
        <w:t xml:space="preserve">tronçon documenté par le BST est de 0,1 km sur 25). Passages à niveau : inventaire</w:t>
      </w:r>
      <w:r>
        <w:t xml:space="preserve"> </w:t>
      </w:r>
      <w:r>
        <w:t xml:space="preserve">officiel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. Horaires : flux GTFS de VIA,</w:t>
      </w:r>
      <w:r>
        <w:t xml:space="preserve"> </w:t>
      </w:r>
      <w:r>
        <w:t xml:space="preserve">saison 2026.</w:t>
      </w:r>
    </w:p>
    <w:bookmarkEnd w:id="11"/>
    <w:bookmarkStart w:id="12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 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 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 : des comptes et des seuils (« ce qui devrait être vrai »),</w:t>
      </w:r>
      <w:r>
        <w:t xml:space="preserve"> </w:t>
      </w:r>
      <w:r>
        <w:t xml:space="preserve">jamais des estimations d’auteur. On peut contester un coût ; on ne peut pas contester un</w:t>
      </w:r>
      <w:r>
        <w:t xml:space="preserve"> </w:t>
      </w:r>
      <w:r>
        <w:t xml:space="preserve">compte.</w:t>
      </w:r>
    </w:p>
    <w:bookmarkEnd w:id="12"/>
    <w:bookmarkEnd w:id="13"/>
    <w:bookmarkStart w:id="14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 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 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100 %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 </w:t>
      </w:r>
      <w:r>
        <w:t xml:space="preserve">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1 432 km)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(rectification requise pour HSR)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(sections sévères)</w:t>
            </w:r>
          </w:p>
        </w:tc>
        <w:tc>
          <w:tcPr/>
          <w:p>
            <w:pPr>
              <w:pStyle w:val="Compact"/>
            </w:pPr>
            <w:r>
              <w:t xml:space="preserve">présentes</w:t>
            </w:r>
          </w:p>
        </w:tc>
        <w:tc>
          <w:tcPr/>
          <w:p>
            <w:pPr>
              <w:pStyle w:val="Compact"/>
            </w:pPr>
            <w:r>
              <w:t xml:space="preserve">résiduelles</w:t>
            </w:r>
          </w:p>
        </w:tc>
        <w:tc>
          <w:tcPr/>
          <w:p>
            <w:pPr>
              <w:pStyle w:val="Compact"/>
            </w:pPr>
            <w:r>
              <w:t xml:space="preserve">zéro</w:t>
            </w:r>
          </w:p>
        </w:tc>
      </w:tr>
    </w:tbl>
    <w:p>
      <w:pPr>
        <w:pStyle w:val="BodyText"/>
      </w:pPr>
      <w:r>
        <w:t xml:space="preserve">La lecture décisionnelle 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ou plus</w:t>
      </w:r>
      <w:r>
        <w:t xml:space="preserve"> </w:t>
      </w:r>
      <w:r>
        <w:t xml:space="preserve">sans toucher une seule courbe 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 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 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 : son système d’inclinaison, coûteux en entretien, a fini</w:t>
      </w:r>
      <w:r>
        <w:t xml:space="preserve"> </w:t>
      </w:r>
      <w:r>
        <w:t xml:space="preserve">désactivé puis retiré</w:t>
      </w:r>
      <w:r>
        <w:t xml:space="preserve"> </w:t>
      </w:r>
      <w:r>
        <w:t xml:space="preserve">(</w:t>
      </w:r>
      <w:hyperlink w:anchor="ref-wiki2025lrc">
        <w:r>
          <w:rPr>
            <w:rStyle w:val="Hyperlink"/>
          </w:rPr>
          <w:t xml:space="preserve">Wikipédia, 2025a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 : tout y tient dans la méthode que le CN applique déjà.</w:t>
      </w:r>
    </w:p>
    <w:bookmarkEnd w:id="14"/>
    <w:bookmarkStart w:id="18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 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15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 du GTFS) et le temps que la géométrie</w:t>
      </w:r>
      <w:r>
        <w:t xml:space="preserve"> </w:t>
      </w:r>
      <w:r>
        <w:t xml:space="preserve">permet au régime actuel (intégration à vitesse plafonnée à 160 km/h), rapporté à ce</w:t>
      </w:r>
      <w:r>
        <w:t xml:space="preserve"> </w:t>
      </w:r>
      <w:r>
        <w:t xml:space="preserve">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 permis partout)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Paires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37 %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42 %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65 %</w:t>
            </w:r>
          </w:p>
        </w:tc>
        <w:tc>
          <w:tcPr/>
          <w:p>
            <w:pPr>
              <w:pStyle w:val="Compact"/>
            </w:pPr>
            <w:r>
              <w:t xml:space="preserve">21 %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BodyText"/>
      </w:pPr>
      <w:r>
        <w:t xml:space="preserve">Trois lignes, trois faits 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 </w:t>
      </w:r>
      <w:r>
        <w:t xml:space="preserve">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(deux paires, celles du tronçon de Québec) : le chiffre se publie en fourchette,</w:t>
      </w:r>
      <w:r>
        <w:t xml:space="preserve"> </w:t>
      </w:r>
      <w:r>
        <w:t xml:space="preserve">pas au point. Il est en revanche robuste aux deux objections classiques, et cela se</w:t>
      </w:r>
      <w:r>
        <w:t xml:space="preserve"> </w:t>
      </w:r>
      <w:r>
        <w:t xml:space="preserve">vérifie dans la table 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 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 </w:t>
      </w:r>
      <w:r>
        <w:t xml:space="preserve">: sous propriétaire VIA, la voie simple ne coûte que 3 à</w:t>
      </w:r>
      <w:r>
        <w:t xml:space="preserve"> </w:t>
      </w:r>
      <w:r>
        <w:t xml:space="preserve">6 points de marge par rapport à la voie double du CN ; sous propriétaire CN, elle en</w:t>
      </w:r>
      <w:r>
        <w:t xml:space="preserve"> </w:t>
      </w:r>
      <w:r>
        <w:t xml:space="preserve">coûte 27 à 33.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 : les</w:t>
      </w:r>
      <w:r>
        <w:t xml:space="preserve"> </w:t>
      </w:r>
      <w:r>
        <w:t xml:space="preserve">lignes de VIA portent environ deux fois moins de trains que celles du CN 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 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15"/>
    <w:bookmarkStart w:id="16" w:name="contre-épreuve-le-sud-ouest-ontarien"/>
    <w:p>
      <w:pPr>
        <w:pStyle w:val="Heading2"/>
      </w:pPr>
      <w:r>
        <w:t xml:space="preserve">Contre-épreuve 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sur les lignes simples du CN : la marge y mesure d’abord l’état de la voie),</w:t>
      </w:r>
      <w:r>
        <w:t xml:space="preserve"> </w:t>
      </w:r>
      <w:r>
        <w:t xml:space="preserve">mais son contraste interne vaut la démonstration : le seul segment où le train roule à</w:t>
      </w:r>
      <w:r>
        <w:t xml:space="preserve"> </w:t>
      </w:r>
      <w:r>
        <w:t xml:space="preserve">vitesse normale (95 km/h de moyenne, voie entretenue à 100 mi/h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de moyenne sur des voies</w:t>
      </w:r>
      <w:r>
        <w:t xml:space="preserve"> </w:t>
      </w:r>
      <w:r>
        <w:t xml:space="preserve">laissées à 42-70 mi/h. Le propriétaire qui vit du service passager entretient sa voie ;</w:t>
      </w:r>
      <w:r>
        <w:t xml:space="preserve"> </w:t>
      </w:r>
      <w:r>
        <w:t xml:space="preserve">la conclusion du cœur se réplique dans une seconde région, par un autre mécanisme.</w:t>
      </w:r>
    </w:p>
    <w:bookmarkEnd w:id="16"/>
    <w:bookmarkStart w:id="17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 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 : au total environ 7 pour cent du</w:t>
      </w:r>
      <w:r>
        <w:t xml:space="preserve"> </w:t>
      </w:r>
      <w:r>
        <w:t xml:space="preserve">temps de parcours à 160 km/h et 9 pour cent à 200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 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 </w:t>
      </w:r>
      <w:r>
        <w:t xml:space="preserve">; le gestionnaire suédois publie même le différentiel qui nous</w:t>
      </w:r>
      <w:r>
        <w:t xml:space="preserve"> </w:t>
      </w:r>
      <w:r>
        <w:t xml:space="preserve">intéresse 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 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 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 : le 11 octobre 2024, le CN a imposé aux</w:t>
      </w:r>
      <w:r>
        <w:t xml:space="preserve"> </w:t>
      </w:r>
      <w:r>
        <w:t xml:space="preserve">rames neuves de VIA un ralentissement à 72 km/h aux passages munis de prédicteurs</w:t>
      </w:r>
      <w:r>
        <w:t xml:space="preserve"> </w:t>
      </w:r>
      <w:r>
        <w:t xml:space="preserve">(304 passages visés), déclenchant des retards de 30 à 45 minutes 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 </w:t>
      </w:r>
      <w:r>
        <w:t xml:space="preserve">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15 mi/h ou à</w:t>
      </w:r>
      <w:r>
        <w:t xml:space="preserve"> </w:t>
      </w:r>
      <w:r>
        <w:t xml:space="preserve">45-50 mi/h selon l’aiguillage, ce qui change tout son coût en temps)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17"/>
    <w:bookmarkEnd w:id="18"/>
    <w:bookmarkStart w:id="19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 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Jusqu’à 160 km/h : effet nul.</w:t>
      </w:r>
      <w:r>
        <w:t xml:space="preserve"> </w:t>
      </w:r>
      <w:r>
        <w:t xml:space="preserve">Le corridor s’exploite aujourd’hui en CTC à ces</w:t>
      </w:r>
      <w:r>
        <w:t xml:space="preserve"> </w:t>
      </w:r>
      <w:r>
        <w:t xml:space="preserve">vitesses ; il n’existe pas de règle canadienne imposant un plafond du type « 79 mi/h »</w:t>
      </w:r>
      <w:r>
        <w:t xml:space="preserve"> </w:t>
      </w:r>
      <w:r>
        <w:t xml:space="preserve">américain.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 161 à 200 km/h : superposition de contrôle en cabine.</w:t>
      </w:r>
      <w:r>
        <w:t xml:space="preserve"> </w:t>
      </w:r>
      <w:r>
        <w:t xml:space="preserve">Le précédent tarifé</w:t>
      </w:r>
      <w:r>
        <w:t xml:space="preserve"> </w:t>
      </w:r>
      <w:r>
        <w:t xml:space="preserve">existe : la ligne Amtrak du Michigan exploite 110 mi/h avec un système incrémental</w:t>
      </w:r>
      <w:r>
        <w:t xml:space="preserve"> </w:t>
      </w:r>
      <w:r>
        <w:t xml:space="preserve">superposé à 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Au-delà de 200 km/h : contrôle intégral</w:t>
      </w:r>
      <w:r>
        <w:t xml:space="preserve"> </w:t>
      </w:r>
      <w:r>
        <w:t xml:space="preserve">de type ETCS. C’est le devis d’Alto,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 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19"/>
    <w:bookmarkStart w:id="20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 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</w:t>
      </w:r>
      <w:r>
        <w:t xml:space="preserve"> </w:t>
      </w:r>
      <w:r>
        <w:t xml:space="preserve">: régime actuel (le précédent domestique est le Turbo, plafonné</w:t>
      </w:r>
      <w:r>
        <w:t xml:space="preserve"> </w:t>
      </w:r>
      <w:r>
        <w:t xml:space="preserve">en service à 153 km/h notamment à cause de ses passages à niveau [SOURCE tertiaire,</w:t>
      </w:r>
      <w:r>
        <w:t xml:space="preserve"> </w:t>
      </w:r>
      <w:r>
        <w:t xml:space="preserve">à consolider :</w:t>
      </w:r>
      <w:r>
        <w:t xml:space="preserve"> </w:t>
      </w:r>
      <w:r>
        <w:t xml:space="preserve">Wikipédia (</w:t>
      </w:r>
      <w:hyperlink w:anchor="ref-wiki2025turbo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])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</w:t>
      </w:r>
      <w:r>
        <w:t xml:space="preserve"> </w:t>
      </w:r>
      <w:r>
        <w:t xml:space="preserve">: corridor « scellé » 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 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 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</w:t>
      </w:r>
      <w:r>
        <w:t xml:space="preserve"> </w:t>
      </w:r>
      <w:r>
        <w:t xml:space="preserve">: système complet d’avertissement et de barrières approuvé et</w:t>
      </w:r>
      <w:r>
        <w:t xml:space="preserve"> </w:t>
      </w:r>
      <w:r>
        <w:t xml:space="preserve">fonctionnel (classe 7 américaine) 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 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 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 : 569 passages</w:t>
      </w:r>
      <w:r>
        <w:t xml:space="preserve"> </w:t>
      </w:r>
      <w:r>
        <w:t xml:space="preserve">privés ou de ferme, candidats à la fermeture [HYPOTHÈSE : l’existence d’une alternative</w:t>
      </w:r>
      <w:r>
        <w:t xml:space="preserve"> </w:t>
      </w:r>
      <w:r>
        <w:t xml:space="preserve">routière à moins de 2 km n’a pas été vérifiée] ; 233 passages municipaux simples,</w:t>
      </w:r>
      <w:r>
        <w:t xml:space="preserve"> </w:t>
      </w:r>
      <w:r>
        <w:t xml:space="preserve">traitement standard ; 122 passages urbains, multi-voies ou provinciaux, complexes.</w:t>
      </w:r>
    </w:p>
    <w:bookmarkEnd w:id="20"/>
    <w:bookmarkStart w:id="21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Table complète des temps de base par tronçon, scénario et bande (sans marge ; la marge</w:t>
      </w:r>
      <w:r>
        <w:t xml:space="preserve"> </w:t>
      </w:r>
      <w:r>
        <w:t xml:space="preserve">s’applique par la fourchette de la synthèse). Horaire actuel en regard.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S1@160</w:t>
            </w:r>
          </w:p>
        </w:tc>
        <w:tc>
          <w:tcPr/>
          <w:p>
            <w:pPr>
              <w:pStyle w:val="Compact"/>
            </w:pPr>
            <w:r>
              <w:t xml:space="preserve">S2@200</w:t>
            </w:r>
          </w:p>
        </w:tc>
        <w:tc>
          <w:tcPr/>
          <w:p>
            <w:pPr>
              <w:pStyle w:val="Compact"/>
            </w:pPr>
            <w:r>
              <w:t xml:space="preserve">S3@250</w:t>
            </w:r>
          </w:p>
        </w:tc>
        <w:tc>
          <w:tcPr/>
          <w:p>
            <w:pPr>
              <w:pStyle w:val="Compact"/>
            </w:pPr>
            <w:r>
              <w:t xml:space="preserve">S3@300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22</w:t>
            </w:r>
          </w:p>
        </w:tc>
        <w:tc>
          <w:tcPr/>
          <w:p>
            <w:pPr>
              <w:pStyle w:val="Compact"/>
            </w:pPr>
            <w:r>
              <w:t xml:space="preserve">2 h 33</w:t>
            </w:r>
          </w:p>
        </w:tc>
        <w:tc>
          <w:tcPr/>
          <w:p>
            <w:pPr>
              <w:pStyle w:val="Compact"/>
            </w:pPr>
            <w:r>
              <w:t xml:space="preserve">2 h 12</w:t>
            </w:r>
          </w:p>
        </w:tc>
        <w:tc>
          <w:tcPr/>
          <w:p>
            <w:pPr>
              <w:pStyle w:val="Compact"/>
            </w:pPr>
            <w:r>
              <w:t xml:space="preserve">1 h 58</w:t>
            </w:r>
          </w:p>
        </w:tc>
        <w:tc>
          <w:tcPr/>
          <w:p>
            <w:pPr>
              <w:pStyle w:val="Compact"/>
            </w:pPr>
            <w:r>
              <w:t xml:space="preserve">1 h 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47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24</w:t>
            </w:r>
          </w:p>
        </w:tc>
        <w:tc>
          <w:tcPr/>
          <w:p>
            <w:pPr>
              <w:pStyle w:val="Compact"/>
            </w:pPr>
            <w:r>
              <w:t xml:space="preserve">1 h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53</w:t>
            </w:r>
          </w:p>
        </w:tc>
        <w:tc>
          <w:tcPr/>
          <w:p>
            <w:pPr>
              <w:pStyle w:val="Compact"/>
            </w:pPr>
            <w:r>
              <w:t xml:space="preserve">3 h 21</w:t>
            </w:r>
          </w:p>
        </w:tc>
        <w:tc>
          <w:tcPr/>
          <w:p>
            <w:pPr>
              <w:pStyle w:val="Compact"/>
            </w:pPr>
            <w:r>
              <w:t xml:space="preserve">2 h 56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38</w:t>
            </w:r>
          </w:p>
        </w:tc>
        <w:tc>
          <w:tcPr/>
          <w:p>
            <w:pPr>
              <w:pStyle w:val="Compact"/>
            </w:pPr>
            <w:r>
              <w:t xml:space="preserve">4 h 00</w:t>
            </w:r>
          </w:p>
        </w:tc>
        <w:tc>
          <w:tcPr/>
          <w:p>
            <w:pPr>
              <w:pStyle w:val="Compact"/>
            </w:pPr>
            <w:r>
              <w:t xml:space="preserve">3 h 30</w:t>
            </w:r>
          </w:p>
        </w:tc>
        <w:tc>
          <w:tcPr/>
          <w:p>
            <w:pPr>
              <w:pStyle w:val="Compact"/>
            </w:pPr>
            <w:r>
              <w:t xml:space="preserve">3 h 15</w:t>
            </w:r>
          </w:p>
        </w:tc>
      </w:tr>
    </w:tbl>
    <w:p>
      <w:pPr>
        <w:pStyle w:val="BodyText"/>
      </w:pPr>
      <w:r>
        <w:t xml:space="preserve">Sensibilités : blocs urbains ±20 pour cent (déjà dans les fourchettes) 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 ; la pénalité d’arrêt (5 minutes par arrêt, borne basse volontaire) peut être</w:t>
      </w:r>
      <w:r>
        <w:t xml:space="preserve"> </w:t>
      </w:r>
      <w:r>
        <w:t xml:space="preserve">portée à 7,5-10 minutes sans changer l’ordre des scénarios.</w:t>
      </w:r>
    </w:p>
    <w:p>
      <w:pPr>
        <w:pStyle w:val="BodyText"/>
      </w:pPr>
      <w:r>
        <w:t xml:space="preserve">Deux garde-fous internes 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1"/>
    <w:bookmarkStart w:id="22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 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</w:t>
      </w:r>
      <w:r>
        <w:t xml:space="preserve"> </w:t>
      </w:r>
      <w:r>
        <w:t xml:space="preserve">exceptionnelles, ce qui peut gonfler les marges mesurées ; la hiérarchie entre cellules</w:t>
      </w:r>
      <w:r>
        <w:t xml:space="preserve"> </w:t>
      </w:r>
      <w:r>
        <w:t xml:space="preserve">(voie simple CN au-dessus de tout le reste) est robuste à ce biais, les niveaux absolus</w:t>
      </w:r>
      <w:r>
        <w:t xml:space="preserve"> </w:t>
      </w:r>
      <w:r>
        <w:t xml:space="preserve">moins.</w:t>
      </w:r>
    </w:p>
    <w:p>
      <w:pPr>
        <w:pStyle w:val="BodyText"/>
      </w:pPr>
      <w:r>
        <w:t xml:space="preserve">C’est précisément pourquoi sa conclusion opérationnelle est une commande d’étude 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(les kilomètres sous plafond, les</w:t>
      </w:r>
      <w:r>
        <w:t xml:space="preserve"> </w:t>
      </w:r>
      <w:r>
        <w:t xml:space="preserve">passages par bande, les points de marge par cellule) est l’intrant direct de cette étude,</w:t>
      </w:r>
      <w:r>
        <w:t xml:space="preserve"> </w:t>
      </w:r>
      <w:r>
        <w:t xml:space="preserve">et en borne le résultat : le temps de parcours final tombera dans les fourchettes de la</w:t>
      </w:r>
      <w:r>
        <w:t xml:space="preserve"> </w:t>
      </w:r>
      <w:r>
        <w:t xml:space="preserve">synthèse, la seule question ouverte étant où, entre la borne normative et la borne</w:t>
      </w:r>
      <w:r>
        <w:t xml:space="preserve"> </w:t>
      </w:r>
      <w:r>
        <w:t xml:space="preserve">mesurée, le régime de cohabitation laissera atterrir la marge.</w:t>
      </w:r>
    </w:p>
    <w:bookmarkEnd w:id="22"/>
    <w:bookmarkStart w:id="66" w:name="références"/>
    <w:p>
      <w:pPr>
        <w:pStyle w:val="Heading1"/>
      </w:pPr>
      <w:r>
        <w:t xml:space="preserve">Références</w:t>
      </w:r>
    </w:p>
    <w:bookmarkStart w:id="65" w:name="refs"/>
    <w:bookmarkStart w:id="24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3">
        <w:r>
          <w:rPr>
            <w:rStyle w:val="Hyperlink"/>
          </w:rPr>
          <w:t xml:space="preserve">https://www.altotrain.ca/en/about-alto</w:t>
        </w:r>
      </w:hyperlink>
    </w:p>
    <w:bookmarkEnd w:id="24"/>
    <w:bookmarkStart w:id="26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25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26"/>
    <w:bookmarkStart w:id="2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2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28"/>
    <w:bookmarkStart w:id="2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29"/>
    <w:bookmarkStart w:id="3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31"/>
    <w:bookmarkStart w:id="3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32">
        <w:r>
          <w:rPr>
            <w:rStyle w:val="Hyperlink"/>
          </w:rPr>
          <w:t xml:space="preserve">https://www.ecfr.gov/current/title-49/section-213.347</w:t>
        </w:r>
      </w:hyperlink>
    </w:p>
    <w:bookmarkEnd w:id="33"/>
    <w:bookmarkStart w:id="3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3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35"/>
    <w:bookmarkStart w:id="3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3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37"/>
    <w:bookmarkStart w:id="3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3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39"/>
    <w:bookmarkStart w:id="41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40">
        <w:r>
          <w:rPr>
            <w:rStyle w:val="Hyperlink"/>
          </w:rPr>
          <w:t xml:space="preserve">https://download.geofabrik.de/</w:t>
        </w:r>
      </w:hyperlink>
    </w:p>
    <w:bookmarkEnd w:id="41"/>
    <w:bookmarkStart w:id="43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https://journals.aau.dk/index.php/td/article/download/5554/4887</w:t>
        </w:r>
      </w:hyperlink>
    </w:p>
    <w:bookmarkEnd w:id="43"/>
    <w:bookmarkStart w:id="45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44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45"/>
    <w:bookmarkStart w:id="47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46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47"/>
    <w:bookmarkStart w:id="49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48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49"/>
    <w:bookmarkStart w:id="51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50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51"/>
    <w:bookmarkStart w:id="53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52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53"/>
    <w:bookmarkStart w:id="54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54"/>
    <w:bookmarkStart w:id="56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55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56"/>
    <w:bookmarkStart w:id="58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57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58"/>
    <w:bookmarkStart w:id="60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59">
        <w:r>
          <w:rPr>
            <w:rStyle w:val="Hyperlink"/>
          </w:rPr>
          <w:t xml:space="preserve">https://www.viarail.ca/fr/developpeurs</w:t>
        </w:r>
      </w:hyperlink>
    </w:p>
    <w:bookmarkEnd w:id="60"/>
    <w:bookmarkStart w:id="62" w:name="ref-wiki2025lrc"/>
    <w:p>
      <w:pPr>
        <w:pStyle w:val="Bibliography"/>
      </w:pPr>
      <w:r>
        <w:t xml:space="preserve">Wikipédia. (2025a).</w:t>
      </w:r>
      <w:r>
        <w:t xml:space="preserve"> </w:t>
      </w:r>
      <w:r>
        <w:rPr>
          <w:i/>
          <w:iCs/>
        </w:rPr>
        <w:t xml:space="preserve">LRC</w:t>
      </w:r>
      <w:r>
        <w:rPr>
          <w:i/>
          <w:iCs/>
        </w:rPr>
        <w:t xml:space="preserve"> </w:t>
      </w:r>
      <w:r>
        <w:rPr>
          <w:i/>
          <w:iCs/>
        </w:rPr>
        <w:t xml:space="preserve">(train)</w:t>
      </w:r>
      <w:r>
        <w:t xml:space="preserve">.</w:t>
      </w:r>
      <w:r>
        <w:t xml:space="preserve"> </w:t>
      </w:r>
      <w:hyperlink r:id="rId61">
        <w:r>
          <w:rPr>
            <w:rStyle w:val="Hyperlink"/>
          </w:rPr>
          <w:t xml:space="preserve">https://en.wikipedia.org/wiki/LRC_(train)</w:t>
        </w:r>
      </w:hyperlink>
    </w:p>
    <w:bookmarkEnd w:id="62"/>
    <w:bookmarkStart w:id="64" w:name="ref-wiki2025turbo"/>
    <w:p>
      <w:pPr>
        <w:pStyle w:val="Bibliography"/>
      </w:pPr>
      <w:r>
        <w:t xml:space="preserve">Wikipédia. (2025b).</w:t>
      </w:r>
      <w:r>
        <w:t xml:space="preserve"> </w:t>
      </w:r>
      <w:r>
        <w:rPr>
          <w:i/>
          <w:iCs/>
        </w:rPr>
        <w:t xml:space="preserve">UAC TurboTrain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https://en.wikipedia.org/wiki/UAC_TurboTrain</w:t>
        </w:r>
      </w:hyperlink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amtrakoig.gov/sites/default/files/reports/OIG-A-2020-001%20OTP%20mandate.pdf" TargetMode="External" /><Relationship Type="http://schemas.openxmlformats.org/officeDocument/2006/relationships/hyperlink" Id="rId46" Target="https://bransch.trafikverket.se/contentassets/6526f430ae7f489aae8e88c06f2eef6b/jnb-2027-2025-12-05.pdf" TargetMode="External" /><Relationship Type="http://schemas.openxmlformats.org/officeDocument/2006/relationships/hyperlink" Id="rId40" Target="https://download.geofabrik.de/" TargetMode="External" /><Relationship Type="http://schemas.openxmlformats.org/officeDocument/2006/relationships/hyperlink" Id="rId61" Target="https://en.wikipedia.org/wiki/LRC_(train)" TargetMode="External" /><Relationship Type="http://schemas.openxmlformats.org/officeDocument/2006/relationships/hyperlink" Id="rId63" Target="https://en.wikipedia.org/wiki/UAC_TurboTrain" TargetMode="External" /><Relationship Type="http://schemas.openxmlformats.org/officeDocument/2006/relationships/hyperlink" Id="rId38" Target="https://globalnews.ca/news/10868587/via-rail-judicial-review-cn-rail-speed-restrictions/" TargetMode="External" /><Relationship Type="http://schemas.openxmlformats.org/officeDocument/2006/relationships/hyperlink" Id="rId42" Target="https://journals.aau.dk/index.php/td/article/download/5554/4887" TargetMode="External" /><Relationship Type="http://schemas.openxmlformats.org/officeDocument/2006/relationships/hyperlink" Id="rId57" Target="https://media.viarail.ca/sites/default/files/publications/2025_VIA-Rail_First-Quarter-Report.pdf" TargetMode="External" /><Relationship Type="http://schemas.openxmlformats.org/officeDocument/2006/relationships/hyperlink" Id="rId55" Target="https://media.viarail.ca/sites/default/files/publications/VIA-Rail_Annual-Report_2024.pdf" TargetMode="External" /><Relationship Type="http://schemas.openxmlformats.org/officeDocument/2006/relationships/hyperlink" Id="rId50" Target="https://ouvert.canada.ca/data/fr/dataset/d0f54727-6c0b-4e5a-aa04-ea1463cf9f4c" TargetMode="External" /><Relationship Type="http://schemas.openxmlformats.org/officeDocument/2006/relationships/hyperlink" Id="rId36" Target="https://railroads.dot.gov/research-development/program-areas/train-control/ptc/incremental-train-control-system" TargetMode="External" /><Relationship Type="http://schemas.openxmlformats.org/officeDocument/2006/relationships/hyperlink" Id="rId34" Target="https://railroads.dot.gov/sites/fra.dot.gov/files/fra_net/19085/Superelevation.pdf" TargetMode="External" /><Relationship Type="http://schemas.openxmlformats.org/officeDocument/2006/relationships/hyperlink" Id="rId27" Target="https://railroads.dot.gov/sites/fra.dot.gov/files/fra_net/300/ord0917.pdf" TargetMode="External" /><Relationship Type="http://schemas.openxmlformats.org/officeDocument/2006/relationships/hyperlink" Id="rId52" Target="https://tc.canada.ca/en/binder/3-pic-operating-restrictions-via-rail-quebec-city-windsor-corridor" TargetMode="External" /><Relationship Type="http://schemas.openxmlformats.org/officeDocument/2006/relationships/hyperlink" Id="rId48" Target="https://tc.canada.ca/en/rail-transportation/rules/2022-2023/rules-respecting-track-safety/subpart-c" TargetMode="External" /><Relationship Type="http://schemas.openxmlformats.org/officeDocument/2006/relationships/hyperlink" Id="rId23" Target="https://www.altotrain.ca/en/about-alto" TargetMode="External" /><Relationship Type="http://schemas.openxmlformats.org/officeDocument/2006/relationships/hyperlink" Id="rId30" Target="https://www.cbc.ca/news/canada/ottawa/via-montreal-toronto-pilot-that-skipped-eastern-ontario-postponed-1.7646512" TargetMode="External" /><Relationship Type="http://schemas.openxmlformats.org/officeDocument/2006/relationships/hyperlink" Id="rId32" Target="https://www.ecfr.gov/current/title-49/section-213.347" TargetMode="External" /><Relationship Type="http://schemas.openxmlformats.org/officeDocument/2006/relationships/hyperlink" Id="rId44" Target="https://www.sncf-reseau.com/medias-publics/2023-12/DRR2025-annexe-4-1.pdf" TargetMode="External" /><Relationship Type="http://schemas.openxmlformats.org/officeDocument/2006/relationships/hyperlink" Id="rId59" Target="https://www.viarail.ca/fr/developpeu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mtrakoig.gov/sites/default/files/reports/OIG-A-2020-001%20OTP%20mandate.pdf" TargetMode="External" /><Relationship Type="http://schemas.openxmlformats.org/officeDocument/2006/relationships/hyperlink" Id="rId46" Target="https://bransch.trafikverket.se/contentassets/6526f430ae7f489aae8e88c06f2eef6b/jnb-2027-2025-12-05.pdf" TargetMode="External" /><Relationship Type="http://schemas.openxmlformats.org/officeDocument/2006/relationships/hyperlink" Id="rId40" Target="https://download.geofabrik.de/" TargetMode="External" /><Relationship Type="http://schemas.openxmlformats.org/officeDocument/2006/relationships/hyperlink" Id="rId61" Target="https://en.wikipedia.org/wiki/LRC_(train)" TargetMode="External" /><Relationship Type="http://schemas.openxmlformats.org/officeDocument/2006/relationships/hyperlink" Id="rId63" Target="https://en.wikipedia.org/wiki/UAC_TurboTrain" TargetMode="External" /><Relationship Type="http://schemas.openxmlformats.org/officeDocument/2006/relationships/hyperlink" Id="rId38" Target="https://globalnews.ca/news/10868587/via-rail-judicial-review-cn-rail-speed-restrictions/" TargetMode="External" /><Relationship Type="http://schemas.openxmlformats.org/officeDocument/2006/relationships/hyperlink" Id="rId42" Target="https://journals.aau.dk/index.php/td/article/download/5554/4887" TargetMode="External" /><Relationship Type="http://schemas.openxmlformats.org/officeDocument/2006/relationships/hyperlink" Id="rId57" Target="https://media.viarail.ca/sites/default/files/publications/2025_VIA-Rail_First-Quarter-Report.pdf" TargetMode="External" /><Relationship Type="http://schemas.openxmlformats.org/officeDocument/2006/relationships/hyperlink" Id="rId55" Target="https://media.viarail.ca/sites/default/files/publications/VIA-Rail_Annual-Report_2024.pdf" TargetMode="External" /><Relationship Type="http://schemas.openxmlformats.org/officeDocument/2006/relationships/hyperlink" Id="rId50" Target="https://ouvert.canada.ca/data/fr/dataset/d0f54727-6c0b-4e5a-aa04-ea1463cf9f4c" TargetMode="External" /><Relationship Type="http://schemas.openxmlformats.org/officeDocument/2006/relationships/hyperlink" Id="rId36" Target="https://railroads.dot.gov/research-development/program-areas/train-control/ptc/incremental-train-control-system" TargetMode="External" /><Relationship Type="http://schemas.openxmlformats.org/officeDocument/2006/relationships/hyperlink" Id="rId34" Target="https://railroads.dot.gov/sites/fra.dot.gov/files/fra_net/19085/Superelevation.pdf" TargetMode="External" /><Relationship Type="http://schemas.openxmlformats.org/officeDocument/2006/relationships/hyperlink" Id="rId27" Target="https://railroads.dot.gov/sites/fra.dot.gov/files/fra_net/300/ord0917.pdf" TargetMode="External" /><Relationship Type="http://schemas.openxmlformats.org/officeDocument/2006/relationships/hyperlink" Id="rId52" Target="https://tc.canada.ca/en/binder/3-pic-operating-restrictions-via-rail-quebec-city-windsor-corridor" TargetMode="External" /><Relationship Type="http://schemas.openxmlformats.org/officeDocument/2006/relationships/hyperlink" Id="rId48" Target="https://tc.canada.ca/en/rail-transportation/rules/2022-2023/rules-respecting-track-safety/subpart-c" TargetMode="External" /><Relationship Type="http://schemas.openxmlformats.org/officeDocument/2006/relationships/hyperlink" Id="rId23" Target="https://www.altotrain.ca/en/about-alto" TargetMode="External" /><Relationship Type="http://schemas.openxmlformats.org/officeDocument/2006/relationships/hyperlink" Id="rId30" Target="https://www.cbc.ca/news/canada/ottawa/via-montreal-toronto-pilot-that-skipped-eastern-ontario-postponed-1.7646512" TargetMode="External" /><Relationship Type="http://schemas.openxmlformats.org/officeDocument/2006/relationships/hyperlink" Id="rId32" Target="https://www.ecfr.gov/current/title-49/section-213.347" TargetMode="External" /><Relationship Type="http://schemas.openxmlformats.org/officeDocument/2006/relationships/hyperlink" Id="rId44" Target="https://www.sncf-reseau.com/medias-publics/2023-12/DRR2025-annexe-4-1.pdf" TargetMode="External" /><Relationship Type="http://schemas.openxmlformats.org/officeDocument/2006/relationships/hyperlink" Id="rId59" Target="https://www.viarail.ca/fr/developpeu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Québec-Windsor : ce que la voie existante permet</dc:title>
  <dc:creator>Étude préparée pour François Rebello [AUTEUR À COMPLÉTER]</dc:creator>
  <dc:language>fr-CA</dc:language>
  <cp:keywords/>
  <dcterms:created xsi:type="dcterms:W3CDTF">2026-08-06T08:53:06Z</dcterms:created>
  <dcterms:modified xsi:type="dcterms:W3CDTF">2026-08-06T08:53:06Z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Brouillon, 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