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2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La figure ci-dessous en donne la lecture d’ensemble, contre</w:t>
      </w:r>
      <w:r>
        <w:t xml:space="preserve"> </w:t>
      </w:r>
      <w:r>
        <w:t xml:space="preserve">le repère que tout décideur a en tête : l’auto ; la table complète des temps, par tronçon,</w:t>
      </w:r>
      <w:r>
        <w:t xml:space="preserve"> </w:t>
      </w:r>
      <w:r>
        <w:t xml:space="preserve">scénario et bande de vitesse, est en section 7.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 Les</w:t>
      </w:r>
      <w:r>
        <w:t xml:space="preserve"> </w:t>
      </w:r>
      <w:r>
        <w:t xml:space="preserve">vitesses de ce document sont en km/h, suivies au besoin de l’équivalent en mi/h,</w:t>
      </w:r>
      <w:r>
        <w:t xml:space="preserve"> </w:t>
      </w:r>
      <w:r>
        <w:t xml:space="preserve">l’unité d’usage des chemins de fer nord-américains ; les bandes sont nommées par leur</w:t>
      </w:r>
      <w:r>
        <w:t xml:space="preserve"> </w:t>
      </w:r>
      <w:r>
        <w:t xml:space="preserve">valeur ronde en km/h (200 km/h = 124 mi/h ; 250 = 155 ; 300 = 186 ; 160 = 99).</w:t>
      </w:r>
    </w:p>
    <w:p>
      <w:pPr>
        <w:pStyle w:val="CaptionedFigure"/>
      </w:pPr>
      <w:r>
        <w:drawing>
          <wp:inline>
            <wp:extent cx="5334000" cy="1631101"/>
            <wp:effectExtent b="0" l="0" r="0" t="0"/>
            <wp:docPr descr="Le train contre l’auto : chaque barre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(539 km : 5 h 18 à l’horaire) et la perd nettement sur</w:t>
      </w:r>
      <w:r>
        <w:t xml:space="preserve"> </w:t>
      </w:r>
      <w:r>
        <w:t xml:space="preserve">Montréal-Québec (270 km : 3 h 22). Chaque barre de scénario est un temps « avec marge » :</w:t>
      </w:r>
      <w:r>
        <w:t xml:space="preserve"> </w:t>
      </w:r>
      <w:r>
        <w:t xml:space="preserve">le temps de base (courbes + zones urbaines figées + arrêts) majoré de la marge</w:t>
      </w:r>
      <w:r>
        <w:t xml:space="preserve"> </w:t>
      </w:r>
      <w:r>
        <w:t xml:space="preserve">d’exploitation, de la borne normative (9 pour cent) à la marge actuelle du tronçon ; les</w:t>
      </w:r>
      <w:r>
        <w:t xml:space="preserve"> </w:t>
      </w:r>
      <w:r>
        <w:t xml:space="preserve">pourcentages face à l’auto sont donc des bornes, pas des points. Dès S2 à la bande 200,</w:t>
      </w:r>
      <w:r>
        <w:t xml:space="preserve"> </w:t>
      </w:r>
      <w:r>
        <w:t xml:space="preserve">le train bat l’auto sur Montréal-Toronto (77 à 83 pour cent de son temps) et fait au</w:t>
      </w:r>
      <w:r>
        <w:t xml:space="preserve"> </w:t>
      </w:r>
      <w:r>
        <w:t xml:space="preserve">moins jeu égal sur Montréal-Québec (86 à 104 pour cent) ; en S3 à la bande 300, il tombe</w:t>
      </w:r>
      <w:r>
        <w:t xml:space="preserve"> </w:t>
      </w:r>
      <w:r>
        <w:t xml:space="preserve">à 65 à 70 pour cent du temps de l’auto sur Montréal-Toronto et à 75 à 91 pour cent sur</w:t>
      </w:r>
      <w:r>
        <w:t xml:space="preserve"> </w:t>
      </w:r>
      <w:r>
        <w:t xml:space="preserve">Montréal-Québec.</w:t>
      </w:r>
    </w:p>
    <w:p>
      <w:pPr>
        <w:pStyle w:val="BodyText"/>
      </w:pPr>
      <w:r>
        <w:t xml:space="preserve">La solution première est</w:t>
      </w:r>
      <w:r>
        <w:t xml:space="preserve"> </w:t>
      </w:r>
      <w:r>
        <w:rPr>
          <w:b/>
          <w:bCs/>
        </w:rPr>
        <w:t xml:space="preserve">S2 à la bande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 (124 mi/h)</w:t>
      </w:r>
      <w:r>
        <w:t xml:space="preserve"> : un train pendulaire exploité</w:t>
      </w:r>
      <w:r>
        <w:t xml:space="preserve"> </w:t>
      </w:r>
      <w:r>
        <w:t xml:space="preserve">exactement selon la méthode que le CN applique déjà, sans dérogation, sans franchir le</w:t>
      </w:r>
      <w:r>
        <w:t xml:space="preserve"> </w:t>
      </w:r>
      <w:r>
        <w:t xml:space="preserve">mur des passages à niveau ni changer la signalisation au-delà du contrôle en cabine</w:t>
      </w:r>
      <w:r>
        <w:t xml:space="preserve"> </w:t>
      </w:r>
      <w:r>
        <w:t xml:space="preserve">(sections 5 et 6). Si la marge est gérée de façon excellente (la borne basse normative,</w:t>
      </w:r>
      <w:r>
        <w:t xml:space="preserve"> </w:t>
      </w:r>
      <w:r>
        <w:t xml:space="preserve">9 pour cent), elle donne 4 h 12 sur Montréal-Toronto, soit 76 pour cent du temps de l’auto, et 2 h 25 sur Montréal-Québec, soit 85 pour cent. Où le résultat tombe dans la</w:t>
      </w:r>
      <w:r>
        <w:t xml:space="preserve"> </w:t>
      </w:r>
      <w:r>
        <w:t xml:space="preserve">fourchette dépend surtout du régime de cohabitation, bien plus que du train ou de la</w:t>
      </w:r>
      <w:r>
        <w:t xml:space="preserve"> </w:t>
      </w:r>
      <w:r>
        <w:t xml:space="preserve">voie : c’est l’objet de la section 4. S3 (le même dévers, une insuffisance portée à</w:t>
      </w:r>
      <w:r>
        <w:t xml:space="preserve"> </w:t>
      </w:r>
      <w:r>
        <w:t xml:space="preserve">270 mm) et les bandes 250 et 300 sont des références : elles chiffrent ce que</w:t>
      </w:r>
      <w:r>
        <w:t xml:space="preserve"> </w:t>
      </w:r>
      <w:r>
        <w:t xml:space="preserve">l’approbation d’un matériel plus performant, l’élimination des passages et le contrôle</w:t>
      </w:r>
      <w:r>
        <w:t xml:space="preserve"> </w:t>
      </w:r>
      <w:r>
        <w:t xml:space="preserve">intégral achèteraient en plus.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(124 mi/h)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 : de 11 pour cent sur Montréal-Ottawa à 32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1 433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45 à 66 minutes calculées sur Montréal-Toronto en S2 à la</w:t>
      </w:r>
      <w:r>
        <w:t xml:space="preserve"> </w:t>
      </w:r>
      <w:r>
        <w:t xml:space="preserve">bande 200.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199 km (14 pour cent du réseau parcouru) dont les courbes interdisent</w:t>
      </w:r>
      <w:r>
        <w:t xml:space="preserve"> </w:t>
      </w:r>
      <w:r>
        <w:t xml:space="preserve">200 km/h (124 mi/h), et plus aucun kilomètre sous 100 km/h (62 mi/h). Même en restant dans le strict</w:t>
      </w:r>
      <w:r>
        <w:t xml:space="preserve"> </w:t>
      </w:r>
      <w:r>
        <w:t xml:space="preserve">précédent CN (S2), le résidu sous 200 km/h est de 301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ne coûte rien quand VIA est propriétaire, et 31 points quand le CN l’est. Sous VIA, elle porte même 3 points de marge de moins que la voie double du CN, et l’écart reste en sa faveur, de 3 à 7 points, quelle que soit la pénalité d’arrêt testée ; sous le CN, le coût de la voie simple tient dans 30 à 33 points sur la même plage. Le même instrument montre ce que le doublement achète chez le CN : 31 points, soit environ 24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34 à 68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2"/>
    <w:bookmarkStart w:id="16" w:name="méthode-et-périmètre"/>
    <w:p>
      <w:pPr>
        <w:pStyle w:val="Heading1"/>
      </w:pPr>
      <w:r>
        <w:t xml:space="preserve">Méthode et périmètre</w:t>
      </w:r>
    </w:p>
    <w:bookmarkStart w:id="13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une</w:t>
      </w:r>
      <w:r>
        <w:t xml:space="preserve"> </w:t>
      </w:r>
      <w:r>
        <w:t xml:space="preserve">bande de vitesse et un scénario de matériel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est borné par la plus basse de deux vitesses, celle que la courbe locale</w:t>
      </w:r>
      <w:r>
        <w:t xml:space="preserve"> </w:t>
      </w:r>
      <w:r>
        <w:t xml:space="preserve">permet (selon le scénario) et le plafond qu’on s’autorise (la « bande ») ; entre</w:t>
      </w:r>
      <w:r>
        <w:t xml:space="preserve"> </w:t>
      </w:r>
      <w:r>
        <w:t xml:space="preserve">ces bornes, son profil réel d’accélération et de freinage est simulé (voir plus</w:t>
      </w:r>
      <w:r>
        <w:t xml:space="preserve"> </w:t>
      </w:r>
      <w:r>
        <w:t xml:space="preserve">bas)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deux minutes d’immobilisation par arrêt intermédiaire, les phases</w:t>
      </w:r>
      <w:r>
        <w:t xml:space="preserve"> </w:t>
      </w:r>
      <w:r>
        <w:t xml:space="preserve">d’accélération et de freinage étant déjà dans le profil simulé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 profil de vitesse simulé, borné par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 l’interurbain. Le</w:t>
      </w:r>
      <w:r>
        <w:t xml:space="preserve"> </w:t>
      </w:r>
      <w:r>
        <w:t xml:space="preserve">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 tracé est parcouru à</w:t>
      </w:r>
      <w:r>
        <w:t xml:space="preserve"> </w:t>
      </w:r>
      <w:r>
        <w:t xml:space="preserve">la vitesse que le train y atteint réellement, et on additionne ».</w:t>
      </w:r>
    </w:p>
    <w:p>
      <w:pPr>
        <w:pStyle w:val="BodyText"/>
      </w:pPr>
      <w:r>
        <w:rPr>
          <w:b/>
          <w:bCs/>
        </w:rPr>
        <w:t xml:space="preserve">Le profil d’accélération et de freinage est simulé, à paramètres déclarés.</w:t>
      </w:r>
      <w:r>
        <w:t xml:space="preserve"> </w:t>
      </w:r>
      <w:r>
        <w:t xml:space="preserve">Le</w:t>
      </w:r>
      <w:r>
        <w:t xml:space="preserve"> </w:t>
      </w:r>
      <w:r>
        <w:t xml:space="preserve">train de cette étude ne saute pas d’une vitesse à l’autre : sur l’interurbain, son</w:t>
      </w:r>
      <w:r>
        <w:t xml:space="preserve"> </w:t>
      </w:r>
      <w:r>
        <w:t xml:space="preserve">profil est calculé en deux passes (accélération plafonnée par la motorisation, qui</w:t>
      </w:r>
      <w:r>
        <w:t xml:space="preserve"> </w:t>
      </w:r>
      <w:r>
        <w:t xml:space="preserve">décroît avec la vitesse ; freinage de service constant), avec arrêt complet à chaque</w:t>
      </w:r>
      <w:r>
        <w:t xml:space="preserve"> </w:t>
      </w:r>
      <w:r>
        <w:t xml:space="preserve">gare intermédiaire et aux frontières des blocs urbains. Les paramètres de rame sont</w:t>
      </w:r>
      <w:r>
        <w:t xml:space="preserve"> </w:t>
      </w:r>
      <w:r>
        <w:t xml:space="preserve">des ordres de grandeur déclarés, pas des fiches constructeur : S1 reçoit une rame</w:t>
      </w:r>
      <w:r>
        <w:t xml:space="preserve"> </w:t>
      </w:r>
      <w:r>
        <w:t xml:space="preserve">tractée comme la flotte actuelle (8 W/kg au rail, 0,5 m/s²) ; S2 et S3 reçoivent la</w:t>
      </w:r>
      <w:r>
        <w:t xml:space="preserve"> </w:t>
      </w:r>
      <w:r>
        <w:t xml:space="preserve">même rame de référence, dimensionnée pour sa bande (12 W/kg aux bandes 160 et 200,</w:t>
      </w:r>
      <w:r>
        <w:t xml:space="preserve"> </w:t>
      </w:r>
      <w:r>
        <w:t xml:space="preserve">type pendulaire moderne ; 18 à la bande 250 ; 22 à la bande 300, type rame à grande</w:t>
      </w:r>
      <w:r>
        <w:t xml:space="preserve"> </w:t>
      </w:r>
      <w:r>
        <w:t xml:space="preserve">vitesse ; 0,6 m/s²). S2 et S3 partagent la même rame parce que ces scénarios se</w:t>
      </w:r>
      <w:r>
        <w:t xml:space="preserve"> </w:t>
      </w:r>
      <w:r>
        <w:t xml:space="preserve">définissent par l’insuffisance de dévers admise, pas par la motorisation : une rame</w:t>
      </w:r>
      <w:r>
        <w:t xml:space="preserve"> </w:t>
      </w:r>
      <w:r>
        <w:t xml:space="preserve">commune isole l’effet de la géométrie. Pentes et résistance à l’avancement ne sont</w:t>
      </w:r>
      <w:r>
        <w:t xml:space="preserve"> </w:t>
      </w:r>
      <w:r>
        <w:t xml:space="preserve">pas modélisées. Contre-vérification : l’ancien forfait de cinq minutes par arrêt sur</w:t>
      </w:r>
      <w:r>
        <w:t xml:space="preserve"> </w:t>
      </w:r>
      <w:r>
        <w:t xml:space="preserve">intégrale fluide retombe à une à huit minutes près sur les mêmes totaux par tronçon ;</w:t>
      </w:r>
      <w:r>
        <w:t xml:space="preserve"> </w:t>
      </w:r>
      <w:r>
        <w:t xml:space="preserve">la borne du pilote de 2025 (7,5 à 10 minutes par arrêt évité, effets de sillon</w:t>
      </w:r>
      <w:r>
        <w:t xml:space="preserve"> </w:t>
      </w:r>
      <w:r>
        <w:t xml:space="preserve">compris) encadre le tout par le haut, l’excédent au-delà de la dynamique pure</w:t>
      </w:r>
      <w:r>
        <w:t xml:space="preserve"> </w:t>
      </w:r>
      <w:r>
        <w:t xml:space="preserve">relevant du régime de cohabitation, donc de la marge.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Deux minutes d’immobilisation par arrêt intermédiaire hors blocs</w:t>
      </w:r>
      <w:r>
        <w:t xml:space="preserve"> </w:t>
      </w:r>
      <w:r>
        <w:t xml:space="preserve">urbains ; les phases d’accélération et de freinage sont simulées dans le profil</w:t>
      </w:r>
      <w:r>
        <w:t xml:space="preserve"> </w:t>
      </w:r>
      <w:r>
        <w:t xml:space="preserve">(l’ensemble revient à environ quatre à cinq minutes par arrêt à la bande 200). Repère</w:t>
      </w:r>
      <w:r>
        <w:t xml:space="preserve"> </w:t>
      </w:r>
      <w:r>
        <w:t xml:space="preserve">mesuré : le pilote de train sans arrêt de septembre 2025 annonçait un gain de 30 à</w:t>
      </w:r>
      <w:r>
        <w:t xml:space="preserve"> </w:t>
      </w:r>
      <w:r>
        <w:t xml:space="preserve">40 minutes pour quatre arrêts sautés, soit 7,5 à 10 minutes par arrêt en conditions</w:t>
      </w:r>
      <w:r>
        <w:t xml:space="preserve"> </w:t>
      </w:r>
      <w:r>
        <w:t xml:space="preserve">réelles de cohabitation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 ; l’écart entre ce chiffre et la dynamique</w:t>
      </w:r>
      <w:r>
        <w:t xml:space="preserve"> </w:t>
      </w:r>
      <w:r>
        <w:t xml:space="preserve">pure est un effet de sillon, qui vit dans la marge.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3"/>
    <w:bookmarkStart w:id="14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80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les rapports du Bureau de la sécurité des transports</w:t>
      </w:r>
      <w:r>
        <w:t xml:space="preserve"> </w:t>
      </w:r>
      <w:r>
        <w:t xml:space="preserve">(l’écart entre un tronçon double détecté et le même tronçon documenté par le BST est de</w:t>
      </w:r>
      <w:r>
        <w:t xml:space="preserve"> </w:t>
      </w:r>
      <w:r>
        <w:t xml:space="preserve">0,1 km sur 25)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4"/>
    <w:bookmarkStart w:id="15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de traction constructeur</w:t>
      </w:r>
      <w:r>
        <w:t xml:space="preserve"> </w:t>
      </w:r>
      <w:r>
        <w:t xml:space="preserve">exacts, les pentes et la résistance à l’avancement (le profil d’accélération et de</w:t>
      </w:r>
      <w:r>
        <w:t xml:space="preserve"> </w:t>
      </w:r>
      <w:r>
        <w:t xml:space="preserve">freinage est simulé avec des paramètres génériques déclarés en section 2.1), le</w:t>
      </w:r>
      <w:r>
        <w:t xml:space="preserve"> </w:t>
      </w:r>
      <w:r>
        <w:t xml:space="preserve">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5"/>
    <w:bookmarkEnd w:id="16"/>
    <w:bookmarkStart w:id="17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1 433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/ 124 mi/h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690 km</w:t>
            </w:r>
          </w:p>
        </w:tc>
        <w:tc>
          <w:tcPr/>
          <w:p>
            <w:pPr>
              <w:pStyle w:val="Compact"/>
            </w:pPr>
            <w:r>
              <w:t xml:space="preserve">301 km</w:t>
            </w:r>
          </w:p>
        </w:tc>
        <w:tc>
          <w:tcPr/>
          <w:p>
            <w:pPr>
              <w:pStyle w:val="Compact"/>
            </w:pPr>
            <w:r>
              <w:t xml:space="preserve">199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358 km</w:t>
            </w:r>
          </w:p>
        </w:tc>
        <w:tc>
          <w:tcPr/>
          <w:p>
            <w:pPr>
              <w:pStyle w:val="Compact"/>
            </w:pPr>
            <w:r>
              <w:t xml:space="preserve">94 km</w:t>
            </w:r>
          </w:p>
        </w:tc>
        <w:tc>
          <w:tcPr/>
          <w:p>
            <w:pPr>
              <w:pStyle w:val="Compact"/>
            </w:pPr>
            <w:r>
              <w:t xml:space="preserve">45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28 km</w:t>
            </w:r>
          </w:p>
        </w:tc>
        <w:tc>
          <w:tcPr/>
          <w:p>
            <w:pPr>
              <w:pStyle w:val="Compact"/>
            </w:pPr>
            <w:r>
              <w:t xml:space="preserve">7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86 pour cent du tracé atteint 200 km/h (124 mi/h) ou plus</w:t>
      </w:r>
      <w:r>
        <w:t xml:space="preserve"> </w:t>
      </w:r>
      <w:r>
        <w:t xml:space="preserve">sans toucher une seule courbe ; le résidu de 199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p>
      <w:pPr>
        <w:pStyle w:val="BodyText"/>
      </w:pPr>
      <w:r>
        <w:rPr>
          <w:b/>
          <w:bCs/>
        </w:rPr>
        <w:t xml:space="preserve">Pourquoi 102 kilomètres d’écart ne font que deux à cinq minutes.</w:t>
      </w:r>
      <w:r>
        <w:t xml:space="preserve"> </w:t>
      </w:r>
      <w:r>
        <w:t xml:space="preserve">La table</w:t>
      </w:r>
      <w:r>
        <w:t xml:space="preserve"> </w:t>
      </w:r>
      <w:r>
        <w:t xml:space="preserve">ci-dessus et celle de la section 7 semblent se contredire : S3 réduit le résidu sous 200 km/h de 301 à 199 km, un écart de 102 km, mais il ne gagne que 2 minutes sur S2 sur Montréal-Toronto (5 sur Montréal-Québec). La réconciliation tient à l’endroit où ces</w:t>
      </w:r>
      <w:r>
        <w:t xml:space="preserve"> </w:t>
      </w:r>
      <w:r>
        <w:t xml:space="preserve">kilomètres se trouvent sur l’échelle des vitesses. Les kilomètres que S3 fait passer</w:t>
      </w:r>
      <w:r>
        <w:t xml:space="preserve"> </w:t>
      </w:r>
      <w:r>
        <w:t xml:space="preserve">au-dessus de 200 km/h sont précisément ceux où S2 permet déjà 160 à 199 km/h (99 à 124 mi/h) : des</w:t>
      </w:r>
      <w:r>
        <w:t xml:space="preserve"> </w:t>
      </w:r>
      <w:r>
        <w:t xml:space="preserve">courbes amples, où le train ne perd presque rien. Rouler 102 km à 180 km/h (112 mi/h) plutôt qu’à 200 coûte environ 3 minutes ; c’est tout l’écart. Le temps, lui, se perd dans les</w:t>
      </w:r>
      <w:r>
        <w:t xml:space="preserve"> </w:t>
      </w:r>
      <w:r>
        <w:t xml:space="preserve">courbes serrées et dans les zones lentes, et là-dessus les deux scénarios font</w:t>
      </w:r>
      <w:r>
        <w:t xml:space="preserve"> </w:t>
      </w:r>
      <w:r>
        <w:t xml:space="preserve">pratiquement le même travail, puisque tous deux sont plafonnés par la même bande de</w:t>
      </w:r>
      <w:r>
        <w:t xml:space="preserve"> </w:t>
      </w:r>
      <w:r>
        <w:t xml:space="preserve">200 km/h sur l’essentiel du tracé. Autrement dit, à la bande 200, S3 achète des</w:t>
      </w:r>
      <w:r>
        <w:t xml:space="preserve"> </w:t>
      </w:r>
      <w:r>
        <w:t xml:space="preserve">kilomètres conformes, pas des minutes. Sa valeur en temps n’apparaît qu’aux bandes</w:t>
      </w:r>
      <w:r>
        <w:t xml:space="preserve"> </w:t>
      </w:r>
      <w:r>
        <w:t xml:space="preserve">supérieures, où son plafond géométrique cesse d’être bridé par la bande (7 minutes</w:t>
      </w:r>
      <w:r>
        <w:t xml:space="preserve"> </w:t>
      </w:r>
      <w:r>
        <w:t xml:space="preserve">d’avance sur S2 à la bande 250 sur Montréal-Toronto, 10 à la bande 300) ; à la bande</w:t>
      </w:r>
      <w:r>
        <w:t xml:space="preserve"> </w:t>
      </w:r>
      <w:r>
        <w:t xml:space="preserve">200, S2 fait déjà l’essentiel du travail.</w:t>
      </w:r>
    </w:p>
    <w:bookmarkEnd w:id="17"/>
    <w:bookmarkStart w:id="24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1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mi/h, en</w:t>
      </w:r>
      <w:r>
        <w:t xml:space="preserve"> </w:t>
      </w:r>
      <w:r>
        <w:t xml:space="preserve">profil fluide : ce choix est le même pour toutes les cellules et n’affecte pas leur</w:t>
      </w:r>
      <w:r>
        <w:t xml:space="preserve"> </w:t>
      </w:r>
      <w:r>
        <w:t xml:space="preserve">comparaison), rapporté à ce 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34 %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68 %</w:t>
            </w:r>
          </w:p>
        </w:tc>
        <w:tc>
          <w:tcPr/>
          <w:p>
            <w:pPr>
              <w:pStyle w:val="Compact"/>
            </w:pPr>
            <w:r>
              <w:t xml:space="preserve">21 %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118082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9" name="Picture"/>
            <a:graphic>
              <a:graphicData uri="http://schemas.openxmlformats.org/drawingml/2006/picture">
                <pic:pic>
                  <pic:nvPicPr>
                    <pic:cNvPr descr="livrables/figure_cellu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 </w:t>
      </w:r>
      <w:r>
        <w:t xml:space="preserve">: environ 31 points de marge (68 contre 37), soit environ 24 minutes sur Montréal-Québec.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 </w:t>
      </w:r>
      <w:r>
        <w:t xml:space="preserve">: sous propriétaire VIA, la voie simple ne coûte rien. Elle porte 3 points de marge de MOINS que la voie double du CN, et l’écart reste en sa faveur, de 3 à 7 points, sur toute la plage de pénalités d’arrêt testée (0 à 3 minutes par paire). Sous propriétaire CN, la même voie simple coûte 31 points, et de 30 à 33 sur la même plage. Le prix de la voie manquante n’est donc pas un prix de voie : il est nul chez l’un et de trente points chez l’autre.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1"/>
    <w:bookmarkStart w:id="22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2"/>
    <w:bookmarkStart w:id="23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34 à 68 pour cent de marge 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 soit 24 vs 72-80 km/h,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3"/>
    <w:bookmarkEnd w:id="24"/>
    <w:bookmarkStart w:id="25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 (111-125 mi/h)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 (&gt; 125 mi/h)</w:t>
            </w:r>
          </w:p>
        </w:tc>
        <w:tc>
          <w:tcPr/>
          <w:p>
            <w:pPr>
              <w:pStyle w:val="Compact"/>
            </w:pPr>
            <w:r>
              <w:t xml:space="preserve">753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753 passages 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5"/>
    <w:bookmarkStart w:id="26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200 km/h (100 à 124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retenu (bande 200),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6"/>
    <w:bookmarkStart w:id="27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tronçon, scénario et bande :</w:t>
      </w:r>
      <w:r>
        <w:t xml:space="preserve"> </w:t>
      </w:r>
      <w:r>
        <w:t xml:space="preserve">courbes, blocs urbains figés et arrêts, sans marge. La seconde applique la marge en</w:t>
      </w:r>
      <w:r>
        <w:t xml:space="preserve"> </w:t>
      </w:r>
      <w:r>
        <w:t xml:space="preserve">fourchette : c’est elle 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13</w:t>
            </w:r>
          </w:p>
        </w:tc>
        <w:tc>
          <w:tcPr/>
          <w:p>
            <w:pPr>
              <w:pStyle w:val="Compact"/>
            </w:pPr>
            <w:r>
              <w:t xml:space="preserve">2 h 08</w:t>
            </w:r>
          </w:p>
        </w:tc>
        <w:tc>
          <w:tcPr/>
          <w:p>
            <w:pPr>
              <w:pStyle w:val="Compact"/>
            </w:pPr>
            <w:r>
              <w:t xml:space="preserve">2 h 00</w:t>
            </w:r>
          </w:p>
        </w:tc>
        <w:tc>
          <w:tcPr/>
          <w:p>
            <w:pPr>
              <w:pStyle w:val="Compact"/>
            </w:pPr>
            <w:r>
              <w:t xml:space="preserve">1 h 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50</w:t>
            </w:r>
          </w:p>
        </w:tc>
        <w:tc>
          <w:tcPr/>
          <w:p>
            <w:pPr>
              <w:pStyle w:val="Compact"/>
            </w:pPr>
            <w:r>
              <w:t xml:space="preserve">1 h 36</w:t>
            </w:r>
          </w:p>
        </w:tc>
        <w:tc>
          <w:tcPr/>
          <w:p>
            <w:pPr>
              <w:pStyle w:val="Compact"/>
            </w:pPr>
            <w:r>
              <w:t xml:space="preserve">1 h 31</w:t>
            </w:r>
          </w:p>
        </w:tc>
        <w:tc>
          <w:tcPr/>
          <w:p>
            <w:pPr>
              <w:pStyle w:val="Compact"/>
            </w:pPr>
            <w:r>
              <w:t xml:space="preserve">1 h 28</w:t>
            </w:r>
          </w:p>
        </w:tc>
        <w:tc>
          <w:tcPr/>
          <w:p>
            <w:pPr>
              <w:pStyle w:val="Compact"/>
            </w:pPr>
            <w:r>
              <w:t xml:space="preserve">1 h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42</w:t>
            </w:r>
          </w:p>
        </w:tc>
        <w:tc>
          <w:tcPr/>
          <w:p>
            <w:pPr>
              <w:pStyle w:val="Compact"/>
            </w:pPr>
            <w:r>
              <w:t xml:space="preserve">3 h 10</w:t>
            </w:r>
          </w:p>
        </w:tc>
        <w:tc>
          <w:tcPr/>
          <w:p>
            <w:pPr>
              <w:pStyle w:val="Compact"/>
            </w:pPr>
            <w:r>
              <w:t xml:space="preserve">3 h 08</w:t>
            </w:r>
          </w:p>
        </w:tc>
        <w:tc>
          <w:tcPr/>
          <w:p>
            <w:pPr>
              <w:pStyle w:val="Compact"/>
            </w:pPr>
            <w:r>
              <w:t xml:space="preserve">2 h 50</w:t>
            </w:r>
          </w:p>
        </w:tc>
        <w:tc>
          <w:tcPr/>
          <w:p>
            <w:pPr>
              <w:pStyle w:val="Compact"/>
            </w:pPr>
            <w:r>
              <w:t xml:space="preserve">2 h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29</w:t>
            </w:r>
          </w:p>
        </w:tc>
        <w:tc>
          <w:tcPr/>
          <w:p>
            <w:pPr>
              <w:pStyle w:val="Compact"/>
            </w:pPr>
            <w:r>
              <w:t xml:space="preserve">3 h 51</w:t>
            </w:r>
          </w:p>
        </w:tc>
        <w:tc>
          <w:tcPr/>
          <w:p>
            <w:pPr>
              <w:pStyle w:val="Compact"/>
            </w:pPr>
            <w:r>
              <w:t xml:space="preserve">3 h 50</w:t>
            </w:r>
          </w:p>
        </w:tc>
        <w:tc>
          <w:tcPr/>
          <w:p>
            <w:pPr>
              <w:pStyle w:val="Compact"/>
            </w:pPr>
            <w:r>
              <w:t xml:space="preserve">3 h 25</w:t>
            </w:r>
          </w:p>
        </w:tc>
        <w:tc>
          <w:tcPr/>
          <w:p>
            <w:pPr>
              <w:pStyle w:val="Compact"/>
            </w:pPr>
            <w:r>
              <w:t xml:space="preserve">3 h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(7 pour cent du</w:t>
      </w:r>
      <w:r>
        <w:t xml:space="preserve"> </w:t>
      </w:r>
      <w:r>
        <w:t xml:space="preserve">temps de base à la bande 160, 9 pour cent aux bandes 200 et plus</w:t>
      </w:r>
      <w:r>
        <w:t xml:space="preserve"> </w:t>
      </w:r>
      <w:r>
        <w:t xml:space="preserve">(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,  ;</w:t>
      </w:r>
      <w:r>
        <w:t xml:space="preserve"> 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)</w:t>
      </w:r>
      <w:r>
        <w:t xml:space="preserve">). Borne haute : la marge que l’horaire actuel du tronçon porte</w:t>
      </w:r>
      <w:r>
        <w:t xml:space="preserve"> </w:t>
      </w:r>
      <w:r>
        <w:t xml:space="preserve">aujourd’hui, mesurée dans cette étude (11 pour cent sur Montréal-Ottawa, 18 sur Montréal-Toronto, 24 sur Ottawa-Toronto, 32 sur Montréal-Québec).</w:t>
      </w:r>
      <w:r>
        <w:t xml:space="preserve"> </w:t>
      </w:r>
      <w:r>
        <w:t xml:space="preserve">Par construction, la borne haute de la colonne « S1, 160 » retombe sur l’horaire</w:t>
      </w:r>
      <w:r>
        <w:t xml:space="preserve"> </w:t>
      </w:r>
      <w:r>
        <w:t xml:space="preserve">actuel : c’est un contrôle interne de la méthode, pas une coïncidence.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S1,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22)</w:t>
            </w:r>
          </w:p>
        </w:tc>
        <w:tc>
          <w:tcPr/>
          <w:p>
            <w:pPr>
              <w:pStyle w:val="Compact"/>
            </w:pPr>
            <w:r>
              <w:t xml:space="preserve">2 h 44 à 3 h 22</w:t>
            </w:r>
          </w:p>
        </w:tc>
        <w:tc>
          <w:tcPr/>
          <w:p>
            <w:pPr>
              <w:pStyle w:val="Compact"/>
            </w:pPr>
            <w:r>
              <w:t xml:space="preserve">2 h 25 à 2 h 56</w:t>
            </w:r>
          </w:p>
        </w:tc>
        <w:tc>
          <w:tcPr/>
          <w:p>
            <w:pPr>
              <w:pStyle w:val="Compact"/>
            </w:pPr>
            <w:r>
              <w:t xml:space="preserve">2 h 20 à 2 h 50</w:t>
            </w:r>
          </w:p>
        </w:tc>
        <w:tc>
          <w:tcPr/>
          <w:p>
            <w:pPr>
              <w:pStyle w:val="Compact"/>
            </w:pPr>
            <w:r>
              <w:t xml:space="preserve">2 h 11 à 2 h 39</w:t>
            </w:r>
          </w:p>
        </w:tc>
        <w:tc>
          <w:tcPr/>
          <w:p>
            <w:pPr>
              <w:pStyle w:val="Compact"/>
            </w:pPr>
            <w:r>
              <w:t xml:space="preserve">2 h 08 à 2 h 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58 à 2 h 02</w:t>
            </w:r>
          </w:p>
        </w:tc>
        <w:tc>
          <w:tcPr/>
          <w:p>
            <w:pPr>
              <w:pStyle w:val="Compact"/>
            </w:pPr>
            <w:r>
              <w:t xml:space="preserve">1 h 45 à 1 h 47</w:t>
            </w:r>
          </w:p>
        </w:tc>
        <w:tc>
          <w:tcPr/>
          <w:p>
            <w:pPr>
              <w:pStyle w:val="Compact"/>
            </w:pPr>
            <w:r>
              <w:t xml:space="preserve">1 h 39 à 1 h 41</w:t>
            </w:r>
          </w:p>
        </w:tc>
        <w:tc>
          <w:tcPr/>
          <w:p>
            <w:pPr>
              <w:pStyle w:val="Compact"/>
            </w:pPr>
            <w:r>
              <w:t xml:space="preserve">1 h 35 à 1 h 37</w:t>
            </w:r>
          </w:p>
        </w:tc>
        <w:tc>
          <w:tcPr/>
          <w:p>
            <w:pPr>
              <w:pStyle w:val="Compact"/>
            </w:pPr>
            <w:r>
              <w:t xml:space="preserve">1 h 34 à 1 h 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3 h 58 à 4 h 35</w:t>
            </w:r>
          </w:p>
        </w:tc>
        <w:tc>
          <w:tcPr/>
          <w:p>
            <w:pPr>
              <w:pStyle w:val="Compact"/>
            </w:pPr>
            <w:r>
              <w:t xml:space="preserve">3 h 28 à 3 h 56</w:t>
            </w:r>
          </w:p>
        </w:tc>
        <w:tc>
          <w:tcPr/>
          <w:p>
            <w:pPr>
              <w:pStyle w:val="Compact"/>
            </w:pPr>
            <w:r>
              <w:t xml:space="preserve">3 h 25 à 3 h 53</w:t>
            </w:r>
          </w:p>
        </w:tc>
        <w:tc>
          <w:tcPr/>
          <w:p>
            <w:pPr>
              <w:pStyle w:val="Compact"/>
            </w:pPr>
            <w:r>
              <w:t xml:space="preserve">3 h 05 à 3 h 30</w:t>
            </w:r>
          </w:p>
        </w:tc>
        <w:tc>
          <w:tcPr/>
          <w:p>
            <w:pPr>
              <w:pStyle w:val="Compact"/>
            </w:pPr>
            <w:r>
              <w:t xml:space="preserve">2 h 57 à 3 h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48 à 5 h 18</w:t>
            </w:r>
          </w:p>
        </w:tc>
        <w:tc>
          <w:tcPr/>
          <w:p>
            <w:pPr>
              <w:pStyle w:val="Compact"/>
            </w:pPr>
            <w:r>
              <w:t xml:space="preserve">4 h 12 à 4 h 33</w:t>
            </w:r>
          </w:p>
        </w:tc>
        <w:tc>
          <w:tcPr/>
          <w:p>
            <w:pPr>
              <w:pStyle w:val="Compact"/>
            </w:pPr>
            <w:r>
              <w:t xml:space="preserve">4 h 10 à 4 h 31</w:t>
            </w:r>
          </w:p>
        </w:tc>
        <w:tc>
          <w:tcPr/>
          <w:p>
            <w:pPr>
              <w:pStyle w:val="Compact"/>
            </w:pPr>
            <w:r>
              <w:t xml:space="preserve">3 h 44 à 4 h 02</w:t>
            </w:r>
          </w:p>
        </w:tc>
        <w:tc>
          <w:tcPr/>
          <w:p>
            <w:pPr>
              <w:pStyle w:val="Compact"/>
            </w:pPr>
            <w:r>
              <w:t xml:space="preserve">3 h 32 à 3 h 50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l’immobilisation en gare (2 minutes par arrêt) peut être doublée sans changer</w:t>
      </w:r>
      <w:r>
        <w:t xml:space="preserve"> </w:t>
      </w:r>
      <w:r>
        <w:t xml:space="preserve">l’ordre des scénarios (chaque minute ajoutée coûte de 3 à 10 minutes par tronçon selon</w:t>
      </w:r>
      <w:r>
        <w:t xml:space="preserve"> </w:t>
      </w:r>
      <w:r>
        <w:t xml:space="preserve">son nombre d’arrêts) ; la borne du pilote de 2025 (7,5 à 10 minutes par arrêt évité)</w:t>
      </w:r>
      <w:r>
        <w:t xml:space="preserve"> </w:t>
      </w:r>
      <w:r>
        <w:t xml:space="preserve">inclut des effets de sillon qui relèvent de la marge, pas du temps de base.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7"/>
    <w:bookmarkStart w:id="28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8"/>
    <w:bookmarkStart w:id="78" w:name="références"/>
    <w:p>
      <w:pPr>
        <w:pStyle w:val="Heading1"/>
      </w:pPr>
      <w:r>
        <w:t xml:space="preserve">Références</w:t>
      </w:r>
    </w:p>
    <w:bookmarkStart w:id="77" w:name="refs"/>
    <w:bookmarkStart w:id="30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https://www.altotrain.ca/en/about-alto</w:t>
        </w:r>
      </w:hyperlink>
    </w:p>
    <w:bookmarkEnd w:id="30"/>
    <w:bookmarkStart w:id="32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1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2"/>
    <w:bookmarkStart w:id="34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3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4"/>
    <w:bookmarkStart w:id="36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5">
        <w:r>
          <w:rPr>
            <w:rStyle w:val="Hyperlink"/>
          </w:rPr>
          <w:t xml:space="preserve">https://spacing.ca/toronto/2015/12/09/53711/</w:t>
        </w:r>
      </w:hyperlink>
    </w:p>
    <w:bookmarkEnd w:id="36"/>
    <w:bookmarkStart w:id="38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7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8"/>
    <w:bookmarkStart w:id="39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39"/>
    <w:bookmarkStart w:id="41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1"/>
    <w:bookmarkStart w:id="43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2">
        <w:r>
          <w:rPr>
            <w:rStyle w:val="Hyperlink"/>
          </w:rPr>
          <w:t xml:space="preserve">https://www.ecfr.gov/current/title-49/section-213.347</w:t>
        </w:r>
      </w:hyperlink>
    </w:p>
    <w:bookmarkEnd w:id="43"/>
    <w:bookmarkStart w:id="45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4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5"/>
    <w:bookmarkStart w:id="47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6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7"/>
    <w:bookmarkStart w:id="4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49"/>
    <w:bookmarkStart w:id="51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50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51"/>
    <w:bookmarkStart w:id="53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52">
        <w:r>
          <w:rPr>
            <w:rStyle w:val="Hyperlink"/>
          </w:rPr>
          <w:t xml:space="preserve">https://download.geofabrik.de/</w:t>
        </w:r>
      </w:hyperlink>
    </w:p>
    <w:bookmarkEnd w:id="53"/>
    <w:bookmarkStart w:id="55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https://journals.aau.dk/index.php/td/article/download/5554/4887</w:t>
        </w:r>
      </w:hyperlink>
    </w:p>
    <w:bookmarkEnd w:id="55"/>
    <w:bookmarkStart w:id="57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6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7"/>
    <w:bookmarkStart w:id="59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8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59"/>
    <w:bookmarkStart w:id="61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60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61"/>
    <w:bookmarkStart w:id="63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62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63"/>
    <w:bookmarkStart w:id="65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64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5"/>
    <w:bookmarkStart w:id="66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6"/>
    <w:bookmarkStart w:id="68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7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8"/>
    <w:bookmarkStart w:id="70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70"/>
    <w:bookmarkStart w:id="72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72"/>
    <w:bookmarkStart w:id="74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73">
        <w:r>
          <w:rPr>
            <w:rStyle w:val="Hyperlink"/>
          </w:rPr>
          <w:t xml:space="preserve">https://www.viarail.ca/fr/developpeurs</w:t>
        </w:r>
      </w:hyperlink>
    </w:p>
    <w:bookmarkEnd w:id="74"/>
    <w:bookmarkStart w:id="76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2026-08-16T00:42:20Z</dcterms:created>
  <dcterms:modified xsi:type="dcterms:W3CDTF">2026-08-16T00:42:20Z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