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Corridor Québec-Toronto : ce que la voie existante permet</w:t>
      </w:r>
    </w:p>
    <w:p>
      <w:pPr>
        <w:pStyle w:val="Subtitle"/>
      </w:pPr>
      <w:r>
        <w:t xml:space="preserve">Temps de parcours du scénario recommandé, et ce qui les retient : géométrie, passages à niveau, signalisation, doublement et régime de cohabitation</w:t>
      </w:r>
    </w:p>
    <w:p>
      <w:pPr>
        <w:pStyle w:val="Author"/>
      </w:pPr>
      <w:r>
        <w:t xml:space="preserve">Étude préparée pour Vision Transport (François Rebello) par Vincent Duguay</w:t>
      </w:r>
    </w:p>
    <w:p>
      <w:pPr>
        <w:pStyle w:val="Date"/>
      </w:pPr>
      <w:r>
        <w:t xml:space="preserve">Août 2026</w:t>
      </w:r>
    </w:p>
    <w:bookmarkStart w:id="15" w:name="synthèse"/>
    <w:p>
      <w:pPr>
        <w:pStyle w:val="Heading1"/>
      </w:pPr>
      <w:r>
        <w:t xml:space="preserve">Synthèse</w:t>
      </w:r>
    </w:p>
    <w:p>
      <w:pPr>
        <w:pStyle w:val="FirstParagraph"/>
      </w:pPr>
      <w:r>
        <w:t xml:space="preserve">Cette étude répond à une question simple : combien de temps le train peut-il prendre entre</w:t>
      </w:r>
      <w:r>
        <w:t xml:space="preserve"> </w:t>
      </w:r>
      <w:r>
        <w:t xml:space="preserve">les grandes villes du corridor, sur la voie qui existe déjà, selon ce qu’on accepte d’y</w:t>
      </w:r>
      <w:r>
        <w:t xml:space="preserve"> </w:t>
      </w:r>
      <w:r>
        <w:t xml:space="preserve">investir? La réponse est construite en additionnant quatre choses que l’on peut compter :</w:t>
      </w:r>
      <w:r>
        <w:t xml:space="preserve"> </w:t>
      </w:r>
      <w:r>
        <w:t xml:space="preserve">le temps que les courbes permettent, le temps des zones urbaines (figé à l’horaire</w:t>
      </w:r>
      <w:r>
        <w:t xml:space="preserve"> </w:t>
      </w:r>
      <w:r>
        <w:t xml:space="preserve">actuel), le temps des arrêts, et une marge d’exploitation que l’étude encadre entre deux</w:t>
      </w:r>
      <w:r>
        <w:t xml:space="preserve"> </w:t>
      </w:r>
      <w:r>
        <w:t xml:space="preserve">bornes au lieu de la deviner. Les figures ci-dessous en donnent la lecture d’ensemble,</w:t>
      </w:r>
      <w:r>
        <w:t xml:space="preserve"> </w:t>
      </w:r>
      <w:r>
        <w:t xml:space="preserve">contre le repère que tout décideur a en tête : l’auto ; la table complète des temps, par</w:t>
      </w:r>
      <w:r>
        <w:t xml:space="preserve"> </w:t>
      </w:r>
      <w:r>
        <w:t xml:space="preserve">tronçon, est en section 7.</w:t>
      </w:r>
    </w:p>
    <w:p>
      <w:pPr>
        <w:pStyle w:val="BodyText"/>
      </w:pPr>
      <w:r>
        <w:t xml:space="preserve">Deux scénarios, et seulement deux (détail en section 3) : le</w:t>
      </w:r>
      <w:r>
        <w:t xml:space="preserve"> </w:t>
      </w:r>
      <w:r>
        <w:rPr>
          <w:b/>
          <w:bCs/>
        </w:rPr>
        <w:t xml:space="preserve">scénario de base</w:t>
      </w:r>
      <w:r>
        <w:t xml:space="preserve"> </w:t>
      </w:r>
      <w:r>
        <w:t xml:space="preserve">est le</w:t>
      </w:r>
      <w:r>
        <w:t xml:space="preserve"> </w:t>
      </w:r>
      <w:r>
        <w:t xml:space="preserve">train et l’horaire d’aujourd’hui ; le</w:t>
      </w:r>
      <w:r>
        <w:t xml:space="preserve"> </w:t>
      </w:r>
      <w:r>
        <w:rPr>
          <w:b/>
          <w:bCs/>
        </w:rPr>
        <w:t xml:space="preserve">scénario recommandé</w:t>
      </w:r>
      <w:r>
        <w:t xml:space="preserve"> </w:t>
      </w:r>
      <w:r>
        <w:t xml:space="preserve">est un train pendulaire</w:t>
      </w:r>
      <w:r>
        <w:t xml:space="preserve"> </w:t>
      </w:r>
      <w:r>
        <w:t xml:space="preserve">exploité selon la méthode que le CN applique déjà à ce type de train, avec le dévers</w:t>
      </w:r>
      <w:r>
        <w:t xml:space="preserve"> </w:t>
      </w:r>
      <w:r>
        <w:t xml:space="preserve">maximal standard du CN (aucune dérogation nécessaire), et plafonné à</w:t>
      </w:r>
      <w:r>
        <w:t xml:space="preserve"> </w:t>
      </w:r>
      <w:r>
        <w:rPr>
          <w:b/>
          <w:bCs/>
        </w:rPr>
        <w:t xml:space="preserve">177 km/h (110 mi/h)</w:t>
      </w:r>
      <w:r>
        <w:t xml:space="preserve">. Ce plafond n’est pas choisi par prudence : c’est la limite du</w:t>
      </w:r>
      <w:r>
        <w:t xml:space="preserve"> </w:t>
      </w:r>
      <w:r>
        <w:t xml:space="preserve">système de signalisation qui le permet, la superposition de contrôle en cabine dont le</w:t>
      </w:r>
      <w:r>
        <w:t xml:space="preserve"> </w:t>
      </w:r>
      <w:r>
        <w:t xml:space="preserve">précédent américain opère exactement à cette vitesse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, et c’est aussi le</w:t>
      </w:r>
      <w:r>
        <w:t xml:space="preserve"> </w:t>
      </w:r>
      <w:r>
        <w:t xml:space="preserve">seuil au-delà duquel le régime des passages à niveau change de nature (sections 5 et 6).</w:t>
      </w:r>
      <w:r>
        <w:t xml:space="preserve"> </w:t>
      </w:r>
      <w:r>
        <w:t xml:space="preserve">Les vitesses de ce document sont en km/h, suivies au besoin de l’équivalent en mi/h,</w:t>
      </w:r>
      <w:r>
        <w:t xml:space="preserve"> </w:t>
      </w:r>
      <w:r>
        <w:t xml:space="preserve">l’unité d’usage des chemins de fer nord-américains (177 km/h = 110 mi/h ;</w:t>
      </w:r>
      <w:r>
        <w:t xml:space="preserve"> </w:t>
      </w:r>
      <w:r>
        <w:t xml:space="preserve">160 = 99 ; 200 = 124).</w:t>
      </w:r>
    </w:p>
    <w:p>
      <w:pPr>
        <w:pStyle w:val="CaptionedFigure"/>
      </w:pPr>
      <w:r>
        <w:drawing>
          <wp:inline>
            <wp:extent cx="5334000" cy="2693759"/>
            <wp:effectExtent b="0" l="0" r="0" t="0"/>
            <wp:docPr descr="Le train contre l’auto : chaque barre du scénario recommandé est un temps avec marge, présenté en fourchette, et les pourcentages face à l’auto sont donc eux aussi des bornes. Temps auto : approximation de connaissance générale, en repère." title="" id="10" name="Picture"/>
            <a:graphic>
              <a:graphicData uri="http://schemas.openxmlformats.org/drawingml/2006/picture">
                <pic:pic>
                  <pic:nvPicPr>
                    <pic:cNvPr descr="livrables/figure_vs_aut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3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train contre l’auto : chaque barre du scénario recommandé est un temps avec marge, présenté en fourchette, et les pourcentages face à l’auto sont donc eux aussi des bornes. Temps auto : approximation de connaissance générale, en repère.</w:t>
      </w:r>
    </w:p>
    <w:p>
      <w:pPr>
        <w:pStyle w:val="BodyText"/>
      </w:pPr>
      <w:r>
        <w:rPr>
          <w:b/>
          <w:bCs/>
        </w:rPr>
        <w:t xml:space="preserve">La lecture de la figure.</w:t>
      </w:r>
      <w:r>
        <w:t xml:space="preserve"> </w:t>
      </w:r>
      <w:r>
        <w:t xml:space="preserve">Aujourd’hui, le train fait à peu près jeu égal avec l’auto</w:t>
      </w:r>
      <w:r>
        <w:t xml:space="preserve"> </w:t>
      </w:r>
      <w:r>
        <w:t xml:space="preserve">sur Montréal-Toronto (539 km : 5 h 18 à l’horaire) et la perd nettement sur</w:t>
      </w:r>
      <w:r>
        <w:t xml:space="preserve"> </w:t>
      </w:r>
      <w:r>
        <w:t xml:space="preserve">Montréal-Québec (270 km : 3 h 22). Chaque barre du scénario recommandé est un temps</w:t>
      </w:r>
      <w:r>
        <w:t xml:space="preserve"> </w:t>
      </w:r>
      <w:r>
        <w:t xml:space="preserve">« avec marge » : le temps de base (courbes + zones urbaines figées + arrêts) majoré de</w:t>
      </w:r>
      <w:r>
        <w:t xml:space="preserve"> </w:t>
      </w:r>
      <w:r>
        <w:t xml:space="preserve">la marge d’exploitation, de la borne normative (8 pour cent au plafond retenu) à la</w:t>
      </w:r>
      <w:r>
        <w:t xml:space="preserve"> </w:t>
      </w:r>
      <w:r>
        <w:t xml:space="preserve">marge actuelle du tronçon ; les pourcentages face à l’auto sont donc des bornes, pas des</w:t>
      </w:r>
      <w:r>
        <w:t xml:space="preserve"> </w:t>
      </w:r>
      <w:r>
        <w:t xml:space="preserve">points. Le scénario recommandé bat l’auto sur Montréal-Toronto (4 h 27 à 4 h 52, soit</w:t>
      </w:r>
      <w:r>
        <w:t xml:space="preserve"> </w:t>
      </w:r>
      <w:r>
        <w:t xml:space="preserve">81 à 89 pour cent de son temps), sur Montréal-Ottawa (1 h 46 à 1 h 49, soit 76 à</w:t>
      </w:r>
      <w:r>
        <w:t xml:space="preserve"> </w:t>
      </w:r>
      <w:r>
        <w:t xml:space="preserve">78 pour cent) et sur Ottawa-Toronto (3 h 39 à 4 h 11, soit 84 à 96 pour cent), et fait</w:t>
      </w:r>
      <w:r>
        <w:t xml:space="preserve"> </w:t>
      </w:r>
      <w:r>
        <w:t xml:space="preserve">au moins jeu égal sur Montréal-Québec (2 h 30 à 3 h 03, soit 88 à 108 pour cent).</w:t>
      </w:r>
    </w:p>
    <w:p>
      <w:pPr>
        <w:pStyle w:val="CaptionedFigure"/>
      </w:pPr>
      <w:r>
        <w:drawing>
          <wp:inline>
            <wp:extent cx="5334000" cy="2006235"/>
            <wp:effectExtent b="0" l="0" r="0" t="0"/>
            <wp:docPr descr="D’où viennent les minutes : chaque barre est l’horaire actuel du trajet ; le segment évidé est le temps du scénario recommandé avec sa marge normative, et les tranches attribuent le gain à ses trois leviers. Les parts sont des attributions qui somment exactement au gain (méthode en section 7), pas des mesures indépendantes." title="" id="13" name="Picture"/>
            <a:graphic>
              <a:graphicData uri="http://schemas.openxmlformats.org/drawingml/2006/picture">
                <pic:pic>
                  <pic:nvPicPr>
                    <pic:cNvPr descr="livrables/figure_gain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D’où viennent les minutes : chaque barre est l’horaire actuel du trajet ; le segment évidé est le temps du scénario recommandé avec sa marge normative, et les tranches attribuent le gain à ses trois leviers. Les parts sont des attributions qui somment exactement au gain (méthode en section 7), pas des mesures indépendantes.</w:t>
      </w:r>
    </w:p>
    <w:p>
      <w:pPr>
        <w:pStyle w:val="BodyText"/>
      </w:pPr>
      <w:r>
        <w:t xml:space="preserve">Le scénario recommandé tient en une phrase :</w:t>
      </w:r>
      <w:r>
        <w:t xml:space="preserve"> </w:t>
      </w:r>
      <w:r>
        <w:rPr>
          <w:b/>
          <w:bCs/>
        </w:rPr>
        <w:t xml:space="preserve">le train pendulaire suffit</w:t>
      </w:r>
      <w:r>
        <w:t xml:space="preserve">. Il atteint</w:t>
      </w:r>
      <w:r>
        <w:t xml:space="preserve"> </w:t>
      </w:r>
      <w:r>
        <w:t xml:space="preserve">la borne haute des vitesses que les améliorations réalisables du corridor</w:t>
      </w:r>
      <w:r>
        <w:t xml:space="preserve"> </w:t>
      </w:r>
      <w:r>
        <w:t xml:space="preserve">(superposition de contrôle en cabine, traitement des passages à niveau) permettent</w:t>
      </w:r>
      <w:r>
        <w:t xml:space="preserve"> </w:t>
      </w:r>
      <w:r>
        <w:t xml:space="preserve">d’exploiter sur une partie suffisante du tracé, tout en restant entièrement dans le</w:t>
      </w:r>
      <w:r>
        <w:t xml:space="preserve"> </w:t>
      </w:r>
      <w:r>
        <w:t xml:space="preserve">précédent canadien : la méthode que le CN applique déjà aux trains pendulaires, sans</w:t>
      </w:r>
      <w:r>
        <w:t xml:space="preserve"> </w:t>
      </w:r>
      <w:r>
        <w:t xml:space="preserve">dérogation, sans technologie externe à approuver. Le plafond du scénario n’est pas fixé</w:t>
      </w:r>
      <w:r>
        <w:t xml:space="preserve"> </w:t>
      </w:r>
      <w:r>
        <w:t xml:space="preserve">par le train, qui pourrait aller plus vite, mais par le système de contrôle disponible</w:t>
      </w:r>
      <w:r>
        <w:t xml:space="preserve"> </w:t>
      </w:r>
      <w:r>
        <w:t xml:space="preserve">et par le mur réglementaire des passages à niveau au-delà. Ses conditions sont au nombre</w:t>
      </w:r>
      <w:r>
        <w:t xml:space="preserve"> </w:t>
      </w:r>
      <w:r>
        <w:t xml:space="preserve">de deux, et elles sont affichées sous la figure : la superposition de contrôle en cabine</w:t>
      </w:r>
      <w:r>
        <w:t xml:space="preserve"> </w:t>
      </w:r>
      <w:r>
        <w:t xml:space="preserve">(section 6), et le corridor scellé, c’est-à-dire le traitement de chacun des 891</w:t>
      </w:r>
      <w:r>
        <w:t xml:space="preserve"> </w:t>
      </w:r>
      <w:r>
        <w:t xml:space="preserve">passages à niveau de la zone rapide, dont 563 restent à équiper d’un système complet de</w:t>
      </w:r>
      <w:r>
        <w:t xml:space="preserve"> </w:t>
      </w:r>
      <w:r>
        <w:t xml:space="preserve">feux, cloches et barrières (section 5). Où le résultat tombe dans la fourchette dépend</w:t>
      </w:r>
      <w:r>
        <w:t xml:space="preserve"> </w:t>
      </w:r>
      <w:r>
        <w:t xml:space="preserve">surtout du régime de cohabitation, bien plus que du train ou de la voie : c’est l’objet</w:t>
      </w:r>
      <w:r>
        <w:t xml:space="preserve"> </w:t>
      </w:r>
      <w:r>
        <w:t xml:space="preserve">de la section 4.</w:t>
      </w:r>
    </w:p>
    <w:p>
      <w:pPr>
        <w:pStyle w:val="BodyText"/>
      </w:pPr>
      <w:r>
        <w:t xml:space="preserve">La fourchette de marge n’est pas une estimation : sa borne basse est la marge normative</w:t>
      </w:r>
      <w:r>
        <w:t xml:space="preserve"> </w:t>
      </w:r>
      <w:r>
        <w:t xml:space="preserve">internationale, interpolée à 8 pour cent du temps de parcours au plafond retenu</w:t>
      </w:r>
      <w:r>
        <w:t xml:space="preserve"> </w:t>
      </w:r>
      <w:r>
        <w:t xml:space="preserve">(7 pour cent à 160 km/h, 9 pour cent à 200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), sa</w:t>
      </w:r>
      <w:r>
        <w:t xml:space="preserve"> </w:t>
      </w:r>
      <w:r>
        <w:t xml:space="preserve">borne haute est la marge que l’horaire actuel de VIA porte aujourd’hui sur le tronçon</w:t>
      </w:r>
      <w:r>
        <w:t xml:space="preserve"> </w:t>
      </w:r>
      <w:r>
        <w:t xml:space="preserve">concerné (mesurée dans cette étude : de 11 pour cent sur Montréal-Ottawa à 32 pour cent</w:t>
      </w:r>
      <w:r>
        <w:t xml:space="preserve"> </w:t>
      </w:r>
      <w:r>
        <w:t xml:space="preserve">sur Montréal-Québec). La distance entre les deux bornes est le coût du régime</w:t>
      </w:r>
      <w:r>
        <w:t xml:space="preserve"> </w:t>
      </w:r>
      <w:r>
        <w:t xml:space="preserve">d’exploitation actuel ; la trancher est l’objet de l’étude de circulation recommandée</w:t>
      </w:r>
      <w:r>
        <w:t xml:space="preserve"> </w:t>
      </w:r>
      <w:r>
        <w:t xml:space="preserve">en conclusion.</w:t>
      </w:r>
    </w:p>
    <w:p>
      <w:pPr>
        <w:pStyle w:val="BodyText"/>
      </w:pPr>
      <w:r>
        <w:t xml:space="preserve">Mise en regard : le projet Alto propose environ 1 000 km de voies neuves dédiées pour</w:t>
      </w:r>
      <w:r>
        <w:t xml:space="preserve"> </w:t>
      </w:r>
      <w:r>
        <w:t xml:space="preserve">relier Québec à Toronto par un tracé nord à 300 km/h ou plus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. La présente</w:t>
      </w:r>
      <w:r>
        <w:t xml:space="preserve"> </w:t>
      </w:r>
      <w:r>
        <w:t xml:space="preserve">étude documente ce que le réseau existant du corridor riverain (environ 1 090 km de</w:t>
      </w:r>
      <w:r>
        <w:t xml:space="preserve"> </w:t>
      </w:r>
      <w:r>
        <w:t xml:space="preserve">voies physiques, parcourues en 1 433 km de trajets) peut donner, ainsi que les cinq</w:t>
      </w:r>
      <w:r>
        <w:t xml:space="preserve"> </w:t>
      </w:r>
      <w:r>
        <w:t xml:space="preserve">obstacles qui les retiennent et le prix réglementaire de chacun. Les deux exercices</w:t>
      </w:r>
      <w:r>
        <w:t xml:space="preserve"> </w:t>
      </w:r>
      <w:r>
        <w:t xml:space="preserve">sont complémentaires : on ne peut comparer les options qu’en connaissant les deux.</w:t>
      </w:r>
    </w:p>
    <w:p>
      <w:pPr>
        <w:pStyle w:val="BodyText"/>
      </w:pPr>
      <w:r>
        <w:t xml:space="preserve">Le précédent qui valide l’ordre de grandeur est britannique. La West Coast Main Line</w:t>
      </w:r>
      <w:r>
        <w:t xml:space="preserve"> </w:t>
      </w:r>
      <w:r>
        <w:t xml:space="preserve">(Londres-Manchester-Glasgow), une ligne victorienne partagée avec le fret, a été</w:t>
      </w:r>
      <w:r>
        <w:t xml:space="preserve"> </w:t>
      </w:r>
      <w:r>
        <w:t xml:space="preserve">modernisée de 1998 à 2008 plutôt que remplacée par une ligne neuve : des trains</w:t>
      </w:r>
      <w:r>
        <w:t xml:space="preserve"> </w:t>
      </w:r>
      <w:r>
        <w:t xml:space="preserve">pendulaires à 125 mi/h (201 km/h) sur la voie existante et une signalisation relevée,</w:t>
      </w:r>
      <w:r>
        <w:t xml:space="preserve"> </w:t>
      </w:r>
      <w:r>
        <w:t xml:space="preserve">pour un coût d’environ 8,6 milliards de livres selon l’audit national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gains mesurés sont de la même famille que ceux calculés ici : 36 minutes de moins</w:t>
      </w:r>
      <w:r>
        <w:t xml:space="preserve"> </w:t>
      </w:r>
      <w:r>
        <w:t xml:space="preserve">sur Londres-Manchester (296 km) et 42 sur Londres-Glasgow (environ 645 km)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, contre 26 à 51 minutes calculées sur Montréal-Toronto au scénario</w:t>
      </w:r>
      <w:r>
        <w:t xml:space="preserve"> </w:t>
      </w:r>
      <w:r>
        <w:t xml:space="preserve">recommandé. Le marché a suivi : sur Londres-Manchester, l’achalandage ferroviaire a crû</w:t>
      </w:r>
      <w:r>
        <w:t xml:space="preserve"> </w:t>
      </w:r>
      <w:r>
        <w:t xml:space="preserve">de 77 pour cent entre 2009 et 2017 pendant que le trafic aérien du même axe reculait de</w:t>
      </w:r>
      <w:r>
        <w:t xml:space="preserve"> </w:t>
      </w:r>
      <w:r>
        <w:t xml:space="preserve">27 pour cent</w:t>
      </w:r>
      <w:r>
        <w:t xml:space="preserve"> </w:t>
      </w:r>
      <w:r>
        <w:t xml:space="preserve">(</w:t>
      </w:r>
      <w:hyperlink w:anchor="ref-wcml2026wiki">
        <w:r>
          <w:rPr>
            <w:rStyle w:val="Hyperlink"/>
          </w:rPr>
          <w:t xml:space="preserve">Wikipédia, 2026</w:t>
        </w:r>
      </w:hyperlink>
      <w:r>
        <w:t xml:space="preserve">)</w:t>
      </w:r>
      <w:r>
        <w:t xml:space="preserve">. La mise en garde symétrique vaut aussi : le budget</w:t>
      </w:r>
      <w:r>
        <w:t xml:space="preserve"> </w:t>
      </w:r>
      <w:r>
        <w:t xml:space="preserve">britannique a plus que triplé en cours de programme, faute d’une portée verrouillée au</w:t>
      </w:r>
      <w:r>
        <w:t xml:space="preserve"> </w:t>
      </w:r>
      <w:r>
        <w:t xml:space="preserve">départ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 ; c’est précisément le rôle de l’étude de circulation recommandée</w:t>
      </w:r>
      <w:r>
        <w:t xml:space="preserve"> </w:t>
      </w:r>
      <w:r>
        <w:t xml:space="preserve">en conclusion. Le précédent britannique porte enfin sur une troisième chose, le régime</w:t>
      </w:r>
      <w:r>
        <w:t xml:space="preserve"> </w:t>
      </w:r>
      <w:r>
        <w:t xml:space="preserve">d’accès à la voie partagée, dont la section 4 tire la leçon.</w:t>
      </w:r>
    </w:p>
    <w:p>
      <w:pPr>
        <w:pStyle w:val="BodyText"/>
      </w:pPr>
      <w:r>
        <w:t xml:space="preserve">Les cinq constats principaux 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géométrie n’est pas le problème principal.</w:t>
      </w:r>
      <w:r>
        <w:t xml:space="preserve"> </w:t>
      </w:r>
      <w:r>
        <w:t xml:space="preserve">Avec le train pendulaire du</w:t>
      </w:r>
      <w:r>
        <w:t xml:space="preserve"> </w:t>
      </w:r>
      <w:r>
        <w:t xml:space="preserve">scénario recommandé, il ne reste que 234 km (16 pour cent du réseau parcouru ;</w:t>
      </w:r>
      <w:r>
        <w:t xml:space="preserve"> </w:t>
      </w:r>
      <w:r>
        <w:t xml:space="preserve">environ 265 km si l’on corrige le biais de mesure chiffré en section 7) dont les</w:t>
      </w:r>
      <w:r>
        <w:t xml:space="preserve"> </w:t>
      </w:r>
      <w:r>
        <w:t xml:space="preserve">courbes restent sous le plafond de 177 km/h (110 mi/h), et 7 km sous</w:t>
      </w:r>
      <w:r>
        <w:t xml:space="preserve"> </w:t>
      </w:r>
      <w:r>
        <w:t xml:space="preserve">100 km/h (62 mi/h). Le train d’aujourd’hui en laisse 494 km.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passages à niveau sont la condition dominante du scénario, pas son mur.</w:t>
      </w:r>
      <w:r>
        <w:t xml:space="preserve"> </w:t>
      </w:r>
      <w:r>
        <w:t xml:space="preserve">Au</w:t>
      </w:r>
      <w:r>
        <w:t xml:space="preserve"> </w:t>
      </w:r>
      <w:r>
        <w:t xml:space="preserve">plafond retenu, 891 des 924 passages du corridor se trouvent dans la zone rapide et</w:t>
      </w:r>
      <w:r>
        <w:t xml:space="preserve"> </w:t>
      </w:r>
      <w:r>
        <w:t xml:space="preserve">relèvent du régime du corridor scellé : traiter chaque passage (barrières</w:t>
      </w:r>
      <w:r>
        <w:t xml:space="preserve"> </w:t>
      </w:r>
      <w:r>
        <w:t xml:space="preserve">quatre-quadrants, terre-pleins, détection) ; 563 d’entre eux restent à équiper d’un</w:t>
      </w:r>
      <w:r>
        <w:t xml:space="preserve"> </w:t>
      </w:r>
      <w:r>
        <w:t xml:space="preserve">système complet de feux, cloches et barrières. Le mur, lui, est au-delà : le</w:t>
      </w:r>
      <w:r>
        <w:t xml:space="preserve"> </w:t>
      </w:r>
      <w:r>
        <w:t xml:space="preserve">précédent américain exige zéro passage au-dessus de 201 km/h (125 mi/h)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et c’est une des raisons pour lesquelles le scénario s’arrête avant.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signalisation est une ligne de devis, pas un mur</w:t>
      </w:r>
      <w:r>
        <w:t xml:space="preserve"> : rien à faire jusqu’à</w:t>
      </w:r>
      <w:r>
        <w:t xml:space="preserve"> </w:t>
      </w:r>
      <w:r>
        <w:t xml:space="preserve">160 km/h (99 mi/h), une superposition de contrôle en cabine de 161 à 177, dont le</w:t>
      </w:r>
      <w:r>
        <w:t xml:space="preserve"> </w:t>
      </w:r>
      <w:r>
        <w:t xml:space="preserve">précédent américain est tarifé et opère exactement au plafond retenu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 ; le contrôle intégral n’est requis qu’au-delà de 200 (c’est le devis</w:t>
      </w:r>
      <w:r>
        <w:t xml:space="preserve"> </w:t>
      </w:r>
      <w:r>
        <w:t xml:space="preserve">d’Alto, hors du scénario recommandé).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régime de cohabitation pèse plus que le nombre de voies.</w:t>
      </w:r>
      <w:r>
        <w:t xml:space="preserve"> </w:t>
      </w:r>
      <w:r>
        <w:t xml:space="preserve">Mesuré sur les</w:t>
      </w:r>
      <w:r>
        <w:t xml:space="preserve"> </w:t>
      </w:r>
      <w:r>
        <w:t xml:space="preserve">horaires de VIA à géométrie neutralisée : une voie simple ne coûte rien quand VIA est propriétaire, et 31 points quand le CN l’est. Sous VIA, elle porte même 3 points de marge de moins que la voie double du CN, et l’écart reste en sa faveur, de 3 à 7 points (3 à 6 minutes sur Montréal-Ottawa et Ottawa-Toronto), quelle que soit la pénalité d’arrêt testée ; sous le CN, le coût de la voie simple tient dans 30 à 33 points sur la même plage, soit de 23 à 26 minutes. Le même instrument montre ce que le doublement procure chez le CN : 31 points, soit 24 minutes sur Montréal-Québec et rien sur Montréal-Toronto, déjà doublé.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marge d’horaire est la grandeur que cette étude ne peut pas trancher.</w:t>
      </w:r>
      <w:r>
        <w:t xml:space="preserve"> </w:t>
      </w:r>
      <w:r>
        <w:t xml:space="preserve">Elle est</w:t>
      </w:r>
      <w:r>
        <w:t xml:space="preserve"> </w:t>
      </w:r>
      <w:r>
        <w:t xml:space="preserve">encadrée (7 à 9 pour cent en régime normatif, 34 à 68 pour cent mesurés aujourd’hui</w:t>
      </w:r>
      <w:r>
        <w:t xml:space="preserve"> </w:t>
      </w:r>
      <w:r>
        <w:t xml:space="preserve">selon la cellule) ; l’écart entre les deux est précisément ce qu’une étude de</w:t>
      </w:r>
      <w:r>
        <w:t xml:space="preserve"> </w:t>
      </w:r>
      <w:r>
        <w:t xml:space="preserve">circulation avec le propriétaire de la voie devra allouer.</w:t>
      </w:r>
    </w:p>
    <w:bookmarkEnd w:id="15"/>
    <w:bookmarkStart w:id="19" w:name="méthode-et-périmètre"/>
    <w:p>
      <w:pPr>
        <w:pStyle w:val="Heading1"/>
      </w:pPr>
      <w:r>
        <w:t xml:space="preserve">Méthode et périmètre</w:t>
      </w:r>
    </w:p>
    <w:bookmarkStart w:id="16" w:name="le-modèle"/>
    <w:p>
      <w:pPr>
        <w:pStyle w:val="Heading2"/>
      </w:pPr>
      <w:r>
        <w:t xml:space="preserve">Le modèle</w:t>
      </w:r>
    </w:p>
    <w:p>
      <w:pPr>
        <w:pStyle w:val="FirstParagraph"/>
      </w:pPr>
      <w:r>
        <w:t xml:space="preserve">Le temps de parcours d’un tronçon se calcule comme on planifie un long trajet en auto :</w:t>
      </w:r>
      <w:r>
        <w:t xml:space="preserve"> </w:t>
      </w:r>
      <w:r>
        <w:t xml:space="preserve">en additionnant des morceaux que l’on peut vérifier un à un. Quatre morceaux, pour un</w:t>
      </w:r>
      <w:r>
        <w:t xml:space="preserve"> </w:t>
      </w:r>
      <w:r>
        <w:t xml:space="preserve">scénario et un plafond d’exploitation donnés 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zones urbaines</w:t>
      </w:r>
      <w:r>
        <w:t xml:space="preserve">, où l’étude ne promet aucun gain : leur temps est figé à</w:t>
      </w:r>
      <w:r>
        <w:t xml:space="preserve"> </w:t>
      </w:r>
      <w:r>
        <w:t xml:space="preserve">l’horaire actuel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l’interurbain</w:t>
      </w:r>
      <w:r>
        <w:t xml:space="preserve">, calculé mètre par mètre le long du tracé : en chaque point, le</w:t>
      </w:r>
      <w:r>
        <w:t xml:space="preserve"> </w:t>
      </w:r>
      <w:r>
        <w:t xml:space="preserve">train est borné par la plus basse de deux vitesses, celle que la courbe locale</w:t>
      </w:r>
      <w:r>
        <w:t xml:space="preserve"> </w:t>
      </w:r>
      <w:r>
        <w:t xml:space="preserve">permet (selon le scénario) et le plafond qu’on s’autorise (177 km/h pour le</w:t>
      </w:r>
      <w:r>
        <w:t xml:space="preserve"> </w:t>
      </w:r>
      <w:r>
        <w:t xml:space="preserve">scénario recommandé) ; entre ces bornes, son profil réel d’accélération et de</w:t>
      </w:r>
      <w:r>
        <w:t xml:space="preserve"> </w:t>
      </w:r>
      <w:r>
        <w:t xml:space="preserve">freinage est simulé (voir plus bas)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arrêts</w:t>
      </w:r>
      <w:r>
        <w:t xml:space="preserve"> : deux minutes d’immobilisation par arrêt intermédiaire, les phases</w:t>
      </w:r>
      <w:r>
        <w:t xml:space="preserve"> </w:t>
      </w:r>
      <w:r>
        <w:t xml:space="preserve">d’accélération et de freinage étant déjà dans le profil simulé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marge d’exploitation</w:t>
      </w:r>
      <w:r>
        <w:t xml:space="preserve">, jamais estimée : encadrée entre deux bornes.</w:t>
      </w:r>
    </w:p>
    <w:p>
      <w:pPr>
        <w:pStyle w:val="FirstParagraph"/>
      </w:pPr>
      <w:r>
        <w:t xml:space="preserve">En notation compacte 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nor/>
              <m:sty m:val="p"/>
            </m:rPr>
            <m:t>blocs urbains figés</m:t>
          </m:r>
          <m:r>
            <m:rPr>
              <m:sty m:val="p"/>
            </m:rPr>
            <m:t>+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rPr>
              <m:nor/>
              <m:sty m:val="p"/>
            </m:rPr>
            <m:t>arrêts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marge</m:t>
          </m:r>
        </m:oMath>
      </m:oMathPara>
    </w:p>
    <w:p>
      <w:pPr>
        <w:pStyle w:val="FirstParagraph"/>
      </w:pPr>
      <w:r>
        <w:t xml:space="preserve">avec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le profil de vitesse simulé, borné par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nor/>
            <m:sty m:val="p"/>
          </m:rPr>
          <m:t>vitesse géométrique du scénario</m:t>
        </m:r>
        <m:r>
          <m:rPr>
            <m:sty m:val="p"/>
          </m:rPr>
          <m:t>,</m:t>
        </m:r>
        <m:r>
          <m:rPr>
            <m:nor/>
            <m:sty m:val="p"/>
          </m:rPr>
          <m:t>plafond</m:t>
        </m:r>
        <m:r>
          <m:rPr>
            <m:sty m:val="p"/>
          </m:rPr>
          <m:t>)</m:t>
        </m:r>
      </m:oMath>
      <w:r>
        <w:t xml:space="preserve"> </w:t>
      </w:r>
      <w:r>
        <w:t xml:space="preserve">sur l’interurbain. Le</w:t>
      </w:r>
      <w:r>
        <w:t xml:space="preserve"> </w:t>
      </w:r>
      <w:r>
        <w:t xml:space="preserve">symbole</w:t>
      </w:r>
      <w:r>
        <w:t xml:space="preserve"> </w:t>
      </w:r>
      <m:oMath>
        <m:r>
          <m:rPr>
            <m:sty m:val="p"/>
          </m:rPr>
          <m:t>∫</m:t>
        </m:r>
        <m:r>
          <m:t>d</m:t>
        </m:r>
        <m:r>
          <m:t>x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ne dit rien d’autre que « chaque mètre du tracé est parcouru à</w:t>
      </w:r>
      <w:r>
        <w:t xml:space="preserve"> </w:t>
      </w:r>
      <w:r>
        <w:t xml:space="preserve">la vitesse que le train y atteint réellement, et on additionne ».</w:t>
      </w:r>
    </w:p>
    <w:p>
      <w:pPr>
        <w:pStyle w:val="BodyText"/>
      </w:pPr>
      <w:r>
        <w:rPr>
          <w:b/>
          <w:bCs/>
        </w:rPr>
        <w:t xml:space="preserve">Le profil d’accélération et de freinage est simulé, à paramètres déclarés.</w:t>
      </w:r>
      <w:r>
        <w:t xml:space="preserve"> </w:t>
      </w:r>
      <w:r>
        <w:t xml:space="preserve">Le</w:t>
      </w:r>
      <w:r>
        <w:t xml:space="preserve"> </w:t>
      </w:r>
      <w:r>
        <w:t xml:space="preserve">train de cette étude ne saute pas d’une vitesse à l’autre : sur l’interurbain, son</w:t>
      </w:r>
      <w:r>
        <w:t xml:space="preserve"> </w:t>
      </w:r>
      <w:r>
        <w:t xml:space="preserve">profil est calculé en deux passes (accélération plafonnée par la motorisation, qui</w:t>
      </w:r>
      <w:r>
        <w:t xml:space="preserve"> </w:t>
      </w:r>
      <w:r>
        <w:t xml:space="preserve">décroît avec la vitesse ; freinage de service constant), avec arrêt complet à chaque</w:t>
      </w:r>
      <w:r>
        <w:t xml:space="preserve"> </w:t>
      </w:r>
      <w:r>
        <w:t xml:space="preserve">gare intermédiaire et aux frontières des blocs urbains. Les paramètres de rame sont</w:t>
      </w:r>
      <w:r>
        <w:t xml:space="preserve"> </w:t>
      </w:r>
      <w:r>
        <w:t xml:space="preserve">des ordres de grandeur déclarés, pas des fiches constructeur : le scénario de base</w:t>
      </w:r>
      <w:r>
        <w:t xml:space="preserve"> </w:t>
      </w:r>
      <w:r>
        <w:t xml:space="preserve">reçoit une rame tractée comme la flotte actuelle (8 W/kg au rail, 0,5 m/s²) ; le</w:t>
      </w:r>
      <w:r>
        <w:t xml:space="preserve"> </w:t>
      </w:r>
      <w:r>
        <w:t xml:space="preserve">scénario recommandé reçoit une rame pendulaire de référence dimensionnée pour son</w:t>
      </w:r>
      <w:r>
        <w:t xml:space="preserve"> </w:t>
      </w:r>
      <w:r>
        <w:t xml:space="preserve">plafond (12 W/kg, 0,6 m/s²). Pentes et résistance à l’avancement ne sont pas</w:t>
      </w:r>
      <w:r>
        <w:t xml:space="preserve"> </w:t>
      </w:r>
      <w:r>
        <w:t xml:space="preserve">modélisées. Contre-vérification : l’ancien forfait de cinq minutes par arrêt sur</w:t>
      </w:r>
      <w:r>
        <w:t xml:space="preserve"> </w:t>
      </w:r>
      <w:r>
        <w:t xml:space="preserve">intégrale fluide retombe à une à huit minutes près sur les mêmes totaux par tronçon ;</w:t>
      </w:r>
      <w:r>
        <w:t xml:space="preserve"> </w:t>
      </w:r>
      <w:r>
        <w:t xml:space="preserve">la borne du pilote de 2025 (7,5 à 10 minutes par arrêt évité, effets de sillon</w:t>
      </w:r>
      <w:r>
        <w:t xml:space="preserve"> </w:t>
      </w:r>
      <w:r>
        <w:t xml:space="preserve">compris) encadre le tout par le haut, l’excédent au-delà de la dynamique pure</w:t>
      </w:r>
      <w:r>
        <w:t xml:space="preserve"> </w:t>
      </w:r>
      <w:r>
        <w:t xml:space="preserve">relevant du régime de cohabitation, donc de la marge.</w:t>
      </w:r>
    </w:p>
    <w:p>
      <w:pPr>
        <w:pStyle w:val="BodyText"/>
      </w:pPr>
      <w:r>
        <w:rPr>
          <w:b/>
          <w:bCs/>
        </w:rPr>
        <w:t xml:space="preserve">Vitesse géométrique</w:t>
      </w:r>
      <w:r>
        <w:t xml:space="preserve"> : le plafond que les courbes permettent. Une courbe de rayon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(en mètres) limite la vitesse à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, où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dépend du dévers (l’inclinaison</w:t>
      </w:r>
      <w:r>
        <w:t xml:space="preserve"> </w:t>
      </w:r>
      <w:r>
        <w:t xml:space="preserve">de la voie dans la courbe) et de l’insuffisance de dévers admise (l’inclinaison</w:t>
      </w:r>
      <w:r>
        <w:t xml:space="preserve"> </w:t>
      </w:r>
      <w:r>
        <w:t xml:space="preserve">« manquante » que le train et ses passagers acceptent de subir, ou que la caisse</w:t>
      </w:r>
      <w:r>
        <w:t xml:space="preserve"> </w:t>
      </w:r>
      <w:r>
        <w:t xml:space="preserve">pendulaire compense). C’est une borne physique, jamais une promesse d’horaire. La</w:t>
      </w:r>
      <w:r>
        <w:t xml:space="preserve"> </w:t>
      </w:r>
      <w:r>
        <w:t xml:space="preserve">formule utilise un écartement effectif de 1 524 mm (60 pouces, l’entraxe des rails,</w:t>
      </w:r>
      <w:r>
        <w:t xml:space="preserve"> </w:t>
      </w:r>
      <w:r>
        <w:t xml:space="preserve">à ne pas confondre avec l’écartement nominal de 1 435 mm mesuré entre faces</w:t>
      </w:r>
      <w:r>
        <w:t xml:space="preserve"> </w:t>
      </w:r>
      <w:r>
        <w:t xml:space="preserve">intérieures) : avec cette valeur, elle reproduit exactement la méthode officielle</w:t>
      </w:r>
      <w:r>
        <w:t xml:space="preserve"> </w:t>
      </w:r>
      <w:r>
        <w:t xml:space="preserve">du CN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Vitesse commerciale</w:t>
      </w:r>
      <w:r>
        <w:t xml:space="preserve"> : la vitesse résultante à l’horaire, une fois appliqués les</w:t>
      </w:r>
      <w:r>
        <w:t xml:space="preserve"> </w:t>
      </w:r>
      <w:r>
        <w:t xml:space="preserve">plafonds réglementaires (passages à niveau, signalisation), les blocs urbains, les arrêts</w:t>
      </w:r>
      <w:r>
        <w:t xml:space="preserve"> </w:t>
      </w:r>
      <w:r>
        <w:t xml:space="preserve">et la marge. Elle est calculée par l’intégration ci-dessus, jamais par un facteur</w:t>
      </w:r>
      <w:r>
        <w:t xml:space="preserve"> </w:t>
      </w:r>
      <w:r>
        <w:t xml:space="preserve">multiplicatif.</w:t>
      </w:r>
    </w:p>
    <w:p>
      <w:pPr>
        <w:pStyle w:val="BodyText"/>
      </w:pPr>
      <w:r>
        <w:rPr>
          <w:b/>
          <w:bCs/>
        </w:rPr>
        <w:t xml:space="preserve">Blocs urbains figés.</w:t>
      </w:r>
      <w:r>
        <w:t xml:space="preserve"> </w:t>
      </w:r>
      <w:r>
        <w:t xml:space="preserve">Aucun gain n’est compté dans les approches urbaines, quel que</w:t>
      </w:r>
      <w:r>
        <w:t xml:space="preserve"> </w:t>
      </w:r>
      <w:r>
        <w:t xml:space="preserve">soit le scénario : Montréal Central à Dorval (17,8 km), Montréal à Saint-Lambert par le</w:t>
      </w:r>
      <w:r>
        <w:t xml:space="preserve"> </w:t>
      </w:r>
      <w:r>
        <w:t xml:space="preserve">pont Victoria (6,1 km, tronçon de Québec), Sainte-Foy à Québec avec le pont de Québec</w:t>
      </w:r>
      <w:r>
        <w:t xml:space="preserve"> </w:t>
      </w:r>
      <w:r>
        <w:t xml:space="preserve">(19,9 km), Guildwood à Toronto Union (20,1 km), chacun figé à la médiane des horaires publiés</w:t>
      </w:r>
      <w:r>
        <w:t xml:space="preserve"> </w:t>
      </w:r>
      <w:r>
        <w:t xml:space="preserve">actuels (données ouvertes GTFS)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 ; Ottawa, sans gare d’approche proche, est traité par une</w:t>
      </w:r>
      <w:r>
        <w:t xml:space="preserve"> </w:t>
      </w:r>
      <w:r>
        <w:t xml:space="preserve">fenêtre de 10 km de part et d’autre [HYPOTHÈSE, couverte par la sensibilité de ±20 pour</w:t>
      </w:r>
      <w:r>
        <w:t xml:space="preserve"> </w:t>
      </w:r>
      <w:r>
        <w:t xml:space="preserve">cent sur l’ensemble des blocs urbains]. Une sensibilité où ces blocs sont réintégrés</w:t>
      </w:r>
      <w:r>
        <w:t xml:space="preserve"> </w:t>
      </w:r>
      <w:r>
        <w:t xml:space="preserve">au calcul est chiffrée en section 7.</w:t>
      </w:r>
    </w:p>
    <w:p>
      <w:pPr>
        <w:pStyle w:val="BodyText"/>
      </w:pPr>
      <w:r>
        <w:rPr>
          <w:b/>
          <w:bCs/>
        </w:rPr>
        <w:t xml:space="preserve">Arrêts.</w:t>
      </w:r>
      <w:r>
        <w:t xml:space="preserve"> </w:t>
      </w:r>
      <w:r>
        <w:t xml:space="preserve">Deux minutes d’immobilisation par arrêt intermédiaire hors blocs</w:t>
      </w:r>
      <w:r>
        <w:t xml:space="preserve"> </w:t>
      </w:r>
      <w:r>
        <w:t xml:space="preserve">urbains ; les phases d’accélération et de freinage sont simulées dans le profil</w:t>
      </w:r>
      <w:r>
        <w:t xml:space="preserve"> </w:t>
      </w:r>
      <w:r>
        <w:t xml:space="preserve">(l’ensemble revient à environ quatre à cinq minutes par arrêt au plafond retenu). Repère</w:t>
      </w:r>
      <w:r>
        <w:t xml:space="preserve"> </w:t>
      </w:r>
      <w:r>
        <w:t xml:space="preserve">mesuré : le pilote de train sans arrêt de septembre 2025 annonçait un gain de 30 à</w:t>
      </w:r>
      <w:r>
        <w:t xml:space="preserve"> </w:t>
      </w:r>
      <w:r>
        <w:t xml:space="preserve">40 minutes pour quatre arrêts sautés, soit 7,5 à 10 minutes par arrêt en conditions</w:t>
      </w:r>
      <w:r>
        <w:t xml:space="preserve"> </w:t>
      </w:r>
      <w:r>
        <w:t xml:space="preserve">réelles de cohabitation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 ; l’écart entre ce chiffre et la dynamique</w:t>
      </w:r>
      <w:r>
        <w:t xml:space="preserve"> </w:t>
      </w:r>
      <w:r>
        <w:t xml:space="preserve">pure est un effet de sillon, qui vit dans la marge.</w:t>
      </w:r>
    </w:p>
    <w:p>
      <w:pPr>
        <w:pStyle w:val="BodyText"/>
      </w:pPr>
      <w:r>
        <w:rPr>
          <w:b/>
          <w:bCs/>
        </w:rPr>
        <w:t xml:space="preserve">Marge.</w:t>
      </w:r>
      <w:r>
        <w:t xml:space="preserve"> </w:t>
      </w:r>
      <w:r>
        <w:t xml:space="preserve">Jamais estimée : encadrée entre une borne normative et une borne mesurée</w:t>
      </w:r>
      <w:r>
        <w:t xml:space="preserve"> </w:t>
      </w:r>
      <w:r>
        <w:t xml:space="preserve">(section 4.3).</w:t>
      </w:r>
    </w:p>
    <w:bookmarkEnd w:id="16"/>
    <w:bookmarkStart w:id="17" w:name="X1a1c4a7d8a19cc0ff7b825fa1ef270c3558115a"/>
    <w:p>
      <w:pPr>
        <w:pStyle w:val="Heading2"/>
      </w:pPr>
      <w:r>
        <w:t xml:space="preserve">Les données, et comment la géométrie a été mesurée</w:t>
      </w:r>
    </w:p>
    <w:p>
      <w:pPr>
        <w:pStyle w:val="FirstParagraph"/>
      </w:pPr>
      <w:r>
        <w:t xml:space="preserve">Deux sources publiques se complètent. Les données d’horaires ouvertes de VIA (le format</w:t>
      </w:r>
      <w:r>
        <w:t xml:space="preserve"> </w:t>
      </w:r>
      <w:r>
        <w:t xml:space="preserve">GTFS, celui qu’utilisent les applications de transport) disent quelles lignes le train</w:t>
      </w:r>
      <w:r>
        <w:t xml:space="preserve"> </w:t>
      </w:r>
      <w:r>
        <w:t xml:space="preserve">emprunte, dans quel ordre et avec quelles gares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 La carte</w:t>
      </w:r>
      <w:r>
        <w:t xml:space="preserve"> </w:t>
      </w:r>
      <w:r>
        <w:t xml:space="preserve">collaborative OpenStreetMap dit où les rails passent physiquement, à quelques mètres</w:t>
      </w:r>
      <w:r>
        <w:t xml:space="preserve"> </w:t>
      </w:r>
      <w:r>
        <w:t xml:space="preserve">près</w:t>
      </w:r>
      <w:r>
        <w:t xml:space="preserve"> </w:t>
      </w:r>
      <w:r>
        <w:t xml:space="preserve">(</w:t>
      </w:r>
      <w:hyperlink w:anchor="ref-osm2026geofabrik">
        <w:r>
          <w:rPr>
            <w:rStyle w:val="Hyperlink"/>
          </w:rPr>
          <w:t xml:space="preserve">OpenStreetMap contributors, 2026</w:t>
        </w:r>
      </w:hyperlink>
      <w:r>
        <w:t xml:space="preserve">)</w:t>
      </w:r>
      <w:r>
        <w:t xml:space="preserve">. L’étude recolle la première sur la seconde : le tracé</w:t>
      </w:r>
      <w:r>
        <w:t xml:space="preserve"> </w:t>
      </w:r>
      <w:r>
        <w:t xml:space="preserve">schématique de VIA est verrouillé sur la voie réelle, et l’analyse suit cette voie comme</w:t>
      </w:r>
      <w:r>
        <w:t xml:space="preserve"> </w:t>
      </w:r>
      <w:r>
        <w:t xml:space="preserve">un train le ferait, sans en changer sauf à un aiguillage. Ce verrouillage est ce qui</w:t>
      </w:r>
      <w:r>
        <w:t xml:space="preserve"> </w:t>
      </w:r>
      <w:r>
        <w:t xml:space="preserve">évite les « courbes fantômes » qu’un appariement naïf fabrique en sautant entre deux</w:t>
      </w:r>
      <w:r>
        <w:t xml:space="preserve"> </w:t>
      </w:r>
      <w:r>
        <w:t xml:space="preserve">voies parallèles.</w:t>
      </w:r>
    </w:p>
    <w:p>
      <w:pPr>
        <w:pStyle w:val="BodyText"/>
      </w:pPr>
      <w:r>
        <w:t xml:space="preserve">Sur le tracé ainsi reconstruit, un point tous les 10 mètres. Le rayon de courbure en</w:t>
      </w:r>
      <w:r>
        <w:t xml:space="preserve"> </w:t>
      </w:r>
      <w:r>
        <w:t xml:space="preserve">chaque point est estimé en faisant passer au mieux un cercle à travers les quelque</w:t>
      </w:r>
      <w:r>
        <w:t xml:space="preserve"> </w:t>
      </w:r>
      <w:r>
        <w:t xml:space="preserve">80 points d’une fenêtre glissante de 900 mètres : moyenner autant de points efface le</w:t>
      </w:r>
      <w:r>
        <w:t xml:space="preserve"> </w:t>
      </w:r>
      <w:r>
        <w:t xml:space="preserve">bruit de la carte sans aplatir les vraies courbes. L’estimateur a été calibré sur des</w:t>
      </w:r>
      <w:r>
        <w:t xml:space="preserve"> </w:t>
      </w:r>
      <w:r>
        <w:t xml:space="preserve">cercles synthétiques de rayon connu, puis validé sur des zones-témoins du corridor</w:t>
      </w:r>
      <w:r>
        <w:t xml:space="preserve"> </w:t>
      </w:r>
      <w:r>
        <w:t xml:space="preserve">(vraies courbes serrées des approches d’Ottawa et de Montréal, longues lignes droites de</w:t>
      </w:r>
      <w:r>
        <w:t xml:space="preserve"> </w:t>
      </w:r>
      <w:r>
        <w:t xml:space="preserve">la ligne de Kingston), qui doivent ressortir correctement à chaque régénération. Chaque</w:t>
      </w:r>
      <w:r>
        <w:t xml:space="preserve"> </w:t>
      </w:r>
      <w:r>
        <w:t xml:space="preserve">courbe devient ensuite une vitesse par la formule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de la section 3, et</w:t>
      </w:r>
      <w:r>
        <w:t xml:space="preserve"> </w:t>
      </w:r>
      <w:r>
        <w:t xml:space="preserve">chaque segment est classé de façon volontairement conservatrice : sa vitesse est fixée</w:t>
      </w:r>
      <w:r>
        <w:t xml:space="preserve"> </w:t>
      </w:r>
      <w:r>
        <w:t xml:space="preserve">par sa courbe la plus serrée qui se maintient sur la longueur d’un train (environ</w:t>
      </w:r>
      <w:r>
        <w:t xml:space="preserve"> </w:t>
      </w:r>
      <w:r>
        <w:t xml:space="preserve">150 mètres), pas par une moyenne ni par un point isolé possiblement bruité. C’est la</w:t>
      </w:r>
      <w:r>
        <w:t xml:space="preserve"> </w:t>
      </w:r>
      <w:r>
        <w:t xml:space="preserve">logique d’une vraie limite de vitesse ferroviaire. L’ensemble a été validé par quatre</w:t>
      </w:r>
      <w:r>
        <w:t xml:space="preserve"> </w:t>
      </w:r>
      <w:r>
        <w:t xml:space="preserve">passes de contre-vérification indépendantes lors des phases antérieures du projet.</w:t>
      </w:r>
    </w:p>
    <w:p>
      <w:pPr>
        <w:pStyle w:val="BodyText"/>
      </w:pPr>
      <w:r>
        <w:t xml:space="preserve">Le reste des données : nombre de voies par détection géométrique des voies parallèles</w:t>
      </w:r>
      <w:r>
        <w:t xml:space="preserve"> </w:t>
      </w:r>
      <w:r>
        <w:t xml:space="preserve">dans OpenStreetMap, corroborée par les rapports du Bureau de la sécurité des transports</w:t>
      </w:r>
      <w:r>
        <w:t xml:space="preserve"> </w:t>
      </w:r>
      <w:r>
        <w:t xml:space="preserve">(l’écart entre un tronçon double détecté et le même tronçon documenté par le BST est de</w:t>
      </w:r>
      <w:r>
        <w:t xml:space="preserve"> </w:t>
      </w:r>
      <w:r>
        <w:t xml:space="preserve">0,1 km sur 25) ; passages à niveau par l’inventaire officiel ouvert de Transports</w:t>
      </w:r>
      <w:r>
        <w:t xml:space="preserve"> </w:t>
      </w:r>
      <w:r>
        <w:t xml:space="preserve">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 ; horaires par le flux GTFS de VIA, saison 2026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</w:t>
      </w:r>
    </w:p>
    <w:bookmarkEnd w:id="17"/>
    <w:bookmarkStart w:id="18" w:name="hors-périmètre-déclaré"/>
    <w:p>
      <w:pPr>
        <w:pStyle w:val="Heading2"/>
      </w:pPr>
      <w:r>
        <w:t xml:space="preserve">Hors périmètre, déclaré</w:t>
      </w:r>
    </w:p>
    <w:p>
      <w:pPr>
        <w:pStyle w:val="FirstParagraph"/>
      </w:pPr>
      <w:r>
        <w:t xml:space="preserve">La conception par site (clothoïdes, raccordements), les profils de traction constructeur</w:t>
      </w:r>
      <w:r>
        <w:t xml:space="preserve"> </w:t>
      </w:r>
      <w:r>
        <w:t xml:space="preserve">exacts, les pentes et la résistance à l’avancement (le profil d’accélération et de</w:t>
      </w:r>
      <w:r>
        <w:t xml:space="preserve"> </w:t>
      </w:r>
      <w:r>
        <w:t xml:space="preserve">freinage est simulé avec des paramètres génériques déclarés en section 2.1), le</w:t>
      </w:r>
      <w:r>
        <w:t xml:space="preserve"> </w:t>
      </w:r>
      <w:r>
        <w:t xml:space="preserve">cantonnement fin, la simulation de</w:t>
      </w:r>
      <w:r>
        <w:t xml:space="preserve"> </w:t>
      </w:r>
      <w:r>
        <w:t xml:space="preserve">circulation (c’est l’étude à commander), les ponts, tunnels et l’état détaillé de la</w:t>
      </w:r>
      <w:r>
        <w:t xml:space="preserve"> </w:t>
      </w:r>
      <w:r>
        <w:t xml:space="preserve">voie, ainsi que les zones urbaines au-delà de leurs blocs figés. Les horaires mesurés</w:t>
      </w:r>
      <w:r>
        <w:t xml:space="preserve"> </w:t>
      </w:r>
      <w:r>
        <w:t xml:space="preserve">datent de la saison 2026, une période de restrictions exceptionnelles liées aux passages</w:t>
      </w:r>
      <w:r>
        <w:t xml:space="preserve"> </w:t>
      </w:r>
      <w:r>
        <w:t xml:space="preserve">à niveau (section 6) : les marges mesurées sont donc possiblement gonflées, ce qui est</w:t>
      </w:r>
      <w:r>
        <w:t xml:space="preserve"> </w:t>
      </w:r>
      <w:r>
        <w:t xml:space="preserve">signalé partout où cela joue.</w:t>
      </w:r>
    </w:p>
    <w:p>
      <w:pPr>
        <w:pStyle w:val="BodyText"/>
      </w:pPr>
      <w:r>
        <w:t xml:space="preserve">Règle d’écriture du document : des comptes et des seuils (« ce qui devrait être vrai »),</w:t>
      </w:r>
      <w:r>
        <w:t xml:space="preserve"> </w:t>
      </w:r>
      <w:r>
        <w:t xml:space="preserve">jamais des estimations d’auteur. On peut contester un coût ; on ne peut pas contester un</w:t>
      </w:r>
      <w:r>
        <w:t xml:space="preserve"> </w:t>
      </w:r>
      <w:r>
        <w:t xml:space="preserve">compte.</w:t>
      </w:r>
    </w:p>
    <w:bookmarkEnd w:id="18"/>
    <w:bookmarkEnd w:id="19"/>
    <w:bookmarkStart w:id="20" w:name="le-train-pendulaire-et-le-dévers"/>
    <w:p>
      <w:pPr>
        <w:pStyle w:val="Heading1"/>
      </w:pPr>
      <w:r>
        <w:t xml:space="preserve">Le train pendulaire et le dévers</w:t>
      </w:r>
    </w:p>
    <w:p>
      <w:pPr>
        <w:pStyle w:val="FirstParagraph"/>
      </w:pPr>
      <w:r>
        <w:t xml:space="preserve">Un train pendulaire incline sa caisse dans les courbes, ce qui permet de les franchir</w:t>
      </w:r>
      <w:r>
        <w:t xml:space="preserve"> </w:t>
      </w:r>
      <w:r>
        <w:t xml:space="preserve">plus vite sans inconfort pour les passagers. Le Canada en a déjà exploité un : le LRC,</w:t>
      </w:r>
      <w:r>
        <w:t xml:space="preserve"> </w:t>
      </w:r>
      <w:r>
        <w:t xml:space="preserve">auquel la méthode du CN accorde une insuffisance de dévers de 6 pouces (152 mm), contre</w:t>
      </w:r>
      <w:r>
        <w:t xml:space="preserve"> </w:t>
      </w:r>
      <w:r>
        <w:t xml:space="preserve">3 pouces pour un train ordinaire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;</w:t>
      </w:r>
      <w:r>
        <w:t xml:space="preserve"> </w:t>
      </w:r>
      <w:hyperlink w:anchor="ref-fra-lrc-152">
        <w:r>
          <w:rPr>
            <w:rStyle w:val="Hyperlink"/>
          </w:rPr>
          <w:t xml:space="preserve">Federal Railroad Administration, s. d.-b</w:t>
        </w:r>
      </w:hyperlink>
      <w:r>
        <w:t xml:space="preserve">)</w:t>
      </w:r>
      <w:r>
        <w:t xml:space="preserve">. C’est un précédent</w:t>
      </w:r>
      <w:r>
        <w:t xml:space="preserve"> </w:t>
      </w:r>
      <w:r>
        <w:t xml:space="preserve">domestique, pas une hypothèse.</w:t>
      </w:r>
    </w:p>
    <w:p>
      <w:pPr>
        <w:pStyle w:val="BodyText"/>
      </w:pPr>
      <w:r>
        <w:t xml:space="preserve">Les deux scénarios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Dévers</w:t>
            </w:r>
          </w:p>
        </w:tc>
        <w:tc>
          <w:tcPr/>
          <w:p>
            <w:pPr>
              <w:pStyle w:val="Compact"/>
            </w:pPr>
            <w:r>
              <w:t xml:space="preserve">Insuffisance</w:t>
            </w:r>
          </w:p>
        </w:tc>
        <w:tc>
          <w:tcPr/>
          <w:p>
            <w:pPr>
              <w:pStyle w:val="Compact"/>
            </w:pPr>
            <w:r>
              <w:t xml:space="preserve">k (v = k·√R)</w:t>
            </w:r>
          </w:p>
        </w:tc>
        <w:tc>
          <w:tcPr/>
          <w:p>
            <w:pPr>
              <w:pStyle w:val="Compact"/>
            </w:pPr>
            <w:r>
              <w:t xml:space="preserve">Statut réglementaire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Scénario de base : voie et train actuels</w:t>
            </w:r>
          </w:p>
        </w:tc>
        <w:tc>
          <w:tcPr/>
          <w:p>
            <w:pPr>
              <w:pStyle w:val="Compact"/>
            </w:pPr>
            <w:r>
              <w:t xml:space="preserve">100 mm (supposé)</w:t>
            </w:r>
          </w:p>
        </w:tc>
        <w:tc>
          <w:tcPr/>
          <w:p>
            <w:pPr>
              <w:pStyle w:val="Compact"/>
            </w:pPr>
            <w:r>
              <w:t xml:space="preserve">76 mm</w:t>
            </w:r>
          </w:p>
        </w:tc>
        <w:tc>
          <w:tcPr/>
          <w:p>
            <w:pPr>
              <w:pStyle w:val="Compact"/>
            </w:pPr>
            <w:r>
              <w:t xml:space="preserve">3,83</w:t>
            </w:r>
          </w:p>
        </w:tc>
        <w:tc>
          <w:tcPr/>
          <w:p>
            <w:pPr>
              <w:pStyle w:val="Compact"/>
            </w:pPr>
            <w:r>
              <w:t xml:space="preserve">régime courant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Scénario recommandé : pendulaire type LRC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152 mm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100 % précédent CN</w:t>
            </w:r>
          </w:p>
        </w:tc>
      </w:tr>
    </w:tbl>
    <w:p>
      <w:pPr>
        <w:pStyle w:val="BodyText"/>
      </w:pPr>
      <w:r>
        <w:t xml:space="preserve">Le dévers du scénario recommandé (127 mm, soit 5 pouces) est le maximum standard du CN</w:t>
      </w:r>
      <w:r>
        <w:t xml:space="preserve"> </w:t>
      </w:r>
      <w:r>
        <w:t xml:space="preserve">pour trafic mixte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 : il ne demande aucune dérogation et n’exclut pas le</w:t>
      </w:r>
      <w:r>
        <w:t xml:space="preserve"> </w:t>
      </w:r>
      <w:r>
        <w:t xml:space="preserve">fret. Le scénario de base porte un dévers supposé (le réseau réel n’a pas été relevé),</w:t>
      </w:r>
      <w:r>
        <w:t xml:space="preserve"> </w:t>
      </w:r>
      <w:r>
        <w:t xml:space="preserve">signalé comme tel partout.</w:t>
      </w:r>
    </w:p>
    <w:p>
      <w:pPr>
        <w:pStyle w:val="BodyText"/>
      </w:pPr>
      <w:r>
        <w:rPr>
          <w:b/>
          <w:bCs/>
        </w:rPr>
        <w:t xml:space="preserve">Ce que le train pendulaire libère</w:t>
      </w:r>
      <w:r>
        <w:t xml:space="preserve">, en kilomètres de tracé dont le plafond</w:t>
      </w:r>
      <w:r>
        <w:t xml:space="preserve"> </w:t>
      </w:r>
      <w:r>
        <w:t xml:space="preserve">géométrique reste sous la cible (somme des quatre trajets analysés, 1 433 km)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Scénario de base</w:t>
            </w:r>
          </w:p>
        </w:tc>
        <w:tc>
          <w:tcPr/>
          <w:p>
            <w:pPr>
              <w:pStyle w:val="Compact"/>
            </w:pPr>
            <w:r>
              <w:t xml:space="preserve">Scénario recommandé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177 km/h / 110 mi/h (restants sous le plafond retenu)</w:t>
            </w:r>
          </w:p>
        </w:tc>
        <w:tc>
          <w:tcPr/>
          <w:p>
            <w:pPr>
              <w:pStyle w:val="Compact"/>
            </w:pPr>
            <w:r>
              <w:t xml:space="preserve">494 km</w:t>
            </w:r>
          </w:p>
        </w:tc>
        <w:tc>
          <w:tcPr/>
          <w:p>
            <w:pPr>
              <w:pStyle w:val="Compact"/>
            </w:pPr>
            <w:r>
              <w:t xml:space="preserve">234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160 km/h / 99 mi/h</w:t>
            </w:r>
          </w:p>
        </w:tc>
        <w:tc>
          <w:tcPr/>
          <w:p>
            <w:pPr>
              <w:pStyle w:val="Compact"/>
            </w:pPr>
            <w:r>
              <w:t xml:space="preserve">358 km</w:t>
            </w:r>
          </w:p>
        </w:tc>
        <w:tc>
          <w:tcPr/>
          <w:p>
            <w:pPr>
              <w:pStyle w:val="Compact"/>
            </w:pPr>
            <w:r>
              <w:t xml:space="preserve">94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100 km/h / 62 mi/h (sections sévères)</w:t>
            </w:r>
          </w:p>
        </w:tc>
        <w:tc>
          <w:tcPr/>
          <w:p>
            <w:pPr>
              <w:pStyle w:val="Compact"/>
            </w:pPr>
            <w:r>
              <w:t xml:space="preserve">28 km</w:t>
            </w:r>
          </w:p>
        </w:tc>
        <w:tc>
          <w:tcPr/>
          <w:p>
            <w:pPr>
              <w:pStyle w:val="Compact"/>
            </w:pPr>
            <w:r>
              <w:t xml:space="preserve">7 km</w:t>
            </w:r>
          </w:p>
        </w:tc>
      </w:tr>
    </w:tbl>
    <w:p>
      <w:pPr>
        <w:pStyle w:val="BodyText"/>
      </w:pPr>
      <w:r>
        <w:t xml:space="preserve">La lecture décisionnelle : la géométrie du corridor n’a pas besoin d’être reconstruite,</w:t>
      </w:r>
      <w:r>
        <w:t xml:space="preserve"> </w:t>
      </w:r>
      <w:r>
        <w:t xml:space="preserve">elle a besoin d’un meilleur train. Avec le pendulaire, 84 pour cent du tracé atteint</w:t>
      </w:r>
      <w:r>
        <w:t xml:space="preserve"> </w:t>
      </w:r>
      <w:r>
        <w:t xml:space="preserve">177 km/h (110 mi/h) ou plus sans toucher une seule courbe ; le résidu de 234 km est</w:t>
      </w:r>
      <w:r>
        <w:t xml:space="preserve"> </w:t>
      </w:r>
      <w:r>
        <w:t xml:space="preserve">listé section par section dans les annexes numériques du projet, avec le rayon à ouvrir</w:t>
      </w:r>
      <w:r>
        <w:t xml:space="preserve"> </w:t>
      </w:r>
      <w:r>
        <w:t xml:space="preserve">pour chaque site.</w:t>
      </w:r>
    </w:p>
    <w:p>
      <w:pPr>
        <w:pStyle w:val="BodyText"/>
      </w:pPr>
      <w:r>
        <w:rPr>
          <w:b/>
          <w:bCs/>
        </w:rPr>
        <w:t xml:space="preserve">Pourquoi s’arrêter là.</w:t>
      </w:r>
      <w:r>
        <w:t xml:space="preserve"> </w:t>
      </w:r>
      <w:r>
        <w:t xml:space="preserve">Le LRC suffit : il atteint la borne haute des vitesses que</w:t>
      </w:r>
      <w:r>
        <w:t xml:space="preserve"> </w:t>
      </w:r>
      <w:r>
        <w:t xml:space="preserve">les améliorations réalisables du corridor permettent d’exploiter. Au-dessus de</w:t>
      </w:r>
      <w:r>
        <w:t xml:space="preserve"> </w:t>
      </w:r>
      <w:r>
        <w:t xml:space="preserve">177 km/h (110 mi/h), le plafond n’est plus fixé par le train mais par le système :</w:t>
      </w:r>
      <w:r>
        <w:t xml:space="preserve"> </w:t>
      </w:r>
      <w:r>
        <w:t xml:space="preserve">la superposition de contrôle en cabine dont le précédent américain est tarifé opère</w:t>
      </w:r>
      <w:r>
        <w:t xml:space="preserve"> </w:t>
      </w:r>
      <w:r>
        <w:t xml:space="preserve">exactement à cette vitesse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, et le régime des passages à niveau se durcit</w:t>
      </w:r>
      <w:r>
        <w:t xml:space="preserve"> </w:t>
      </w:r>
      <w:r>
        <w:t xml:space="preserve">jusqu’à exiger zéro passage au-delà de 201 km/h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. Un matériel pendulaire</w:t>
      </w:r>
      <w:r>
        <w:t xml:space="preserve"> </w:t>
      </w:r>
      <w:r>
        <w:t xml:space="preserve">plus performant existe (des insuffisances de dévers de 225 à 270 mm se conçoivent en</w:t>
      </w:r>
      <w:r>
        <w:t xml:space="preserve"> </w:t>
      </w:r>
      <w:r>
        <w:t xml:space="preserve">référence européenne</w:t>
      </w:r>
      <w:r>
        <w:t xml:space="preserve"> </w:t>
      </w:r>
      <w:r>
        <w:t xml:space="preserve">(</w:t>
      </w:r>
      <w:hyperlink w:anchor="ref-tc2022rrts">
        <w:r>
          <w:rPr>
            <w:rStyle w:val="Hyperlink"/>
          </w:rPr>
          <w:t xml:space="preserve">Transports Canada, 2022</w:t>
        </w:r>
      </w:hyperlink>
      <w:r>
        <w:t xml:space="preserve">)</w:t>
      </w:r>
      <w:r>
        <w:t xml:space="preserve">), mais il sort du précédent nord-américain, demande</w:t>
      </w:r>
      <w:r>
        <w:t xml:space="preserve"> </w:t>
      </w:r>
      <w:r>
        <w:t xml:space="preserve">une approbation par équipement, et n’achèterait au plafond retenu que des kilomètres</w:t>
      </w:r>
      <w:r>
        <w:t xml:space="preserve"> </w:t>
      </w:r>
      <w:r>
        <w:t xml:space="preserve">conformes, pas des minutes : les courbes qu’il libère en plus sont précisément celles</w:t>
      </w:r>
      <w:r>
        <w:t xml:space="preserve"> </w:t>
      </w:r>
      <w:r>
        <w:t xml:space="preserve">où le LRC permet déjà 160 à 177 km/h. Rester au LRC, c’est rester dans une méthode que</w:t>
      </w:r>
      <w:r>
        <w:t xml:space="preserve"> </w:t>
      </w:r>
      <w:r>
        <w:t xml:space="preserve">le propriétaire de la voie applique déjà, en opposition à des technologies externes qui</w:t>
      </w:r>
      <w:r>
        <w:t xml:space="preserve"> </w:t>
      </w:r>
      <w:r>
        <w:t xml:space="preserve">ouvriraient un front d’approbation nouveau. L’histoire du LRC commande une réserve, et</w:t>
      </w:r>
      <w:r>
        <w:t xml:space="preserve"> </w:t>
      </w:r>
      <w:r>
        <w:t xml:space="preserve">elle est comptée : son système d’inclinaison, coûteux en entretien, a été retiré lors</w:t>
      </w:r>
      <w:r>
        <w:t xml:space="preserve"> </w:t>
      </w:r>
      <w:r>
        <w:t xml:space="preserve">de la remise à neuf de la flotte engagée à partir de 2007-2009, VIA justifiant ce</w:t>
      </w:r>
      <w:r>
        <w:t xml:space="preserve"> </w:t>
      </w:r>
      <w:r>
        <w:t xml:space="preserve">retrait par la réduction des coûts d’entretien et un allègement de deux tonnes par</w:t>
      </w:r>
      <w:r>
        <w:t xml:space="preserve"> </w:t>
      </w:r>
      <w:r>
        <w:t xml:space="preserve">voiture</w:t>
      </w:r>
      <w:r>
        <w:t xml:space="preserve"> </w:t>
      </w:r>
      <w:r>
        <w:t xml:space="preserve">(</w:t>
      </w:r>
      <w:hyperlink w:anchor="ref-via2009lrc">
        <w:r>
          <w:rPr>
            <w:rStyle w:val="Hyperlink"/>
          </w:rPr>
          <w:t xml:space="preserve">VIA Rail Canada, 2009</w:t>
        </w:r>
      </w:hyperlink>
      <w:r>
        <w:t xml:space="preserve">)</w:t>
      </w:r>
      <w:r>
        <w:t xml:space="preserve">. Le scénario recommandé suppose donc un pendulaire entretenu</w:t>
      </w:r>
      <w:r>
        <w:t xml:space="preserve"> </w:t>
      </w:r>
      <w:r>
        <w:t xml:space="preserve">comme tel, et la caisse pendulaire protège le passager, pas le rail : les efforts en</w:t>
      </w:r>
      <w:r>
        <w:t xml:space="preserve"> </w:t>
      </w:r>
      <w:r>
        <w:t xml:space="preserve">voie croissent avec la vitesse en courbe, ce qui implique un standard d’entretien</w:t>
      </w:r>
      <w:r>
        <w:t xml:space="preserve"> </w:t>
      </w:r>
      <w:r>
        <w:t xml:space="preserve">renforcé (un point de veto potentiel du propriétaire, et un coût récurrent).</w:t>
      </w:r>
    </w:p>
    <w:bookmarkEnd w:id="20"/>
    <w:bookmarkStart w:id="27" w:name="X42a82ebb192afdbd87b7e7f59c353876bbe630b"/>
    <w:p>
      <w:pPr>
        <w:pStyle w:val="Heading1"/>
      </w:pPr>
      <w:r>
        <w:t xml:space="preserve">Doublement des voies et régime de cohabitation</w:t>
      </w:r>
    </w:p>
    <w:p>
      <w:pPr>
        <w:pStyle w:val="FirstParagraph"/>
      </w:pPr>
      <w:r>
        <w:t xml:space="preserve">Ces deux questions se mesurent avec le même instrument, lu dans deux directions. Le</w:t>
      </w:r>
      <w:r>
        <w:t xml:space="preserve"> </w:t>
      </w:r>
      <w:r>
        <w:t xml:space="preserve">corridor offre une expérience naturelle : des tronçons en voie simple appartenant à VIA</w:t>
      </w:r>
      <w:r>
        <w:t xml:space="preserve"> </w:t>
      </w:r>
      <w:r>
        <w:t xml:space="preserve">(croisements planifiés entre trains VIA), des tronçons en voie simple appartenant au CN</w:t>
      </w:r>
      <w:r>
        <w:t xml:space="preserve"> </w:t>
      </w:r>
      <w:r>
        <w:t xml:space="preserve">(croisements subis, le fret étant prioritaire chez lui), et des tronçons en voie double</w:t>
      </w:r>
      <w:r>
        <w:t xml:space="preserve"> </w:t>
      </w:r>
      <w:r>
        <w:t xml:space="preserve">du CN (croisements éliminés, dépassements subis). En comparant la marge d’horaire de ces</w:t>
      </w:r>
      <w:r>
        <w:t xml:space="preserve"> </w:t>
      </w:r>
      <w:r>
        <w:t xml:space="preserve">trois familles, à géométrie neutralisée, on lit séparément le prix de la voie manquante</w:t>
      </w:r>
      <w:r>
        <w:t xml:space="preserve"> </w:t>
      </w:r>
      <w:r>
        <w:t xml:space="preserve">et le prix du régime.</w:t>
      </w:r>
    </w:p>
    <w:bookmarkStart w:id="24" w:name="la-mesure"/>
    <w:p>
      <w:pPr>
        <w:pStyle w:val="Heading2"/>
      </w:pPr>
      <w:r>
        <w:t xml:space="preserve">La mesure</w:t>
      </w:r>
    </w:p>
    <w:p>
      <w:pPr>
        <w:pStyle w:val="FirstParagraph"/>
      </w:pPr>
      <w:r>
        <w:t xml:space="preserve">Pour chacune des paires de gares adjacentes du corridor, la marge est l’écart entre le</w:t>
      </w:r>
      <w:r>
        <w:t xml:space="preserve"> </w:t>
      </w:r>
      <w:r>
        <w:t xml:space="preserve">temps à l’horaire (médiane de tous les sillons, un sillon étant le créneau horaire d’un train donné) et le temps que la géométrie</w:t>
      </w:r>
      <w:r>
        <w:t xml:space="preserve"> </w:t>
      </w:r>
      <w:r>
        <w:t xml:space="preserve">permet au régime actuel (intégration à vitesse plafonnée à 160 km/h, soit 99 mi/h, en</w:t>
      </w:r>
      <w:r>
        <w:t xml:space="preserve"> </w:t>
      </w:r>
      <w:r>
        <w:t xml:space="preserve">profil fluide : ce choix est le même pour toutes les cellules et n’affecte pas leur</w:t>
      </w:r>
      <w:r>
        <w:t xml:space="preserve"> </w:t>
      </w:r>
      <w:r>
        <w:t xml:space="preserve">comparaison), rapporté à ce dernier. Les paires contaminées par un nœud (blocs urbains, ponts Victoria et de Québec,</w:t>
      </w:r>
      <w:r>
        <w:t xml:space="preserve"> </w:t>
      </w:r>
      <w:r>
        <w:t xml:space="preserve">approches d’Ottawa, chevauchements de frontière de propriétaire) sont exclues, chacune</w:t>
      </w:r>
      <w:r>
        <w:t xml:space="preserve"> </w:t>
      </w:r>
      <w:r>
        <w:t xml:space="preserve">avec son motif documenté. Résultat, sur le cœur du corridor (classe de voie homogène,</w:t>
      </w:r>
      <w:r>
        <w:t xml:space="preserve"> </w:t>
      </w:r>
      <w:r>
        <w:t xml:space="preserve">95 à 100 mi/h, soit 153 à 161 km/h, permis sur les lignes du CN et 80 à 95 mi/h, soit 129 à 153 km/h, sur celles de VIA)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Cellule</w:t>
            </w:r>
          </w:p>
        </w:tc>
        <w:tc>
          <w:tcPr/>
          <w:p>
            <w:pPr>
              <w:pStyle w:val="Compact"/>
            </w:pPr>
            <w:r>
              <w:t xml:space="preserve">Longueur mesurée</w:t>
            </w:r>
          </w:p>
        </w:tc>
        <w:tc>
          <w:tcPr/>
          <w:p>
            <w:pPr>
              <w:pStyle w:val="Compact"/>
            </w:pPr>
            <w:r>
              <w:t xml:space="preserve">Marge médiane</w:t>
            </w:r>
          </w:p>
        </w:tc>
        <w:tc>
          <w:tcPr/>
          <w:p>
            <w:pPr>
              <w:pStyle w:val="Compact"/>
            </w:pPr>
            <w:r>
              <w:t xml:space="preserve">Dispersion entre sillons</w:t>
            </w:r>
          </w:p>
        </w:tc>
        <w:tc>
          <w:tcPr/>
          <w:p>
            <w:pPr>
              <w:pStyle w:val="Compact"/>
            </w:pPr>
            <w:r>
              <w:t xml:space="preserve">Trafic (trains/jour)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double, CN</w:t>
            </w:r>
          </w:p>
        </w:tc>
        <w:tc>
          <w:tcPr/>
          <w:p>
            <w:pPr>
              <w:pStyle w:val="Compact"/>
            </w:pPr>
            <w:r>
              <w:t xml:space="preserve">515 km (11 paires)</w:t>
            </w:r>
          </w:p>
        </w:tc>
        <w:tc>
          <w:tcPr/>
          <w:p>
            <w:pPr>
              <w:pStyle w:val="Compact"/>
            </w:pPr>
            <w:r>
              <w:t xml:space="preserve">37 %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VIA</w:t>
            </w:r>
          </w:p>
        </w:tc>
        <w:tc>
          <w:tcPr/>
          <w:p>
            <w:pPr>
              <w:pStyle w:val="Compact"/>
            </w:pPr>
            <w:r>
              <w:t xml:space="preserve">218 km (5 paires)</w:t>
            </w:r>
          </w:p>
        </w:tc>
        <w:tc>
          <w:tcPr/>
          <w:p>
            <w:pPr>
              <w:pStyle w:val="Compact"/>
            </w:pPr>
            <w:r>
              <w:t xml:space="preserve">34 %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12 à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CN</w:t>
            </w:r>
          </w:p>
        </w:tc>
        <w:tc>
          <w:tcPr/>
          <w:p>
            <w:pPr>
              <w:pStyle w:val="Compact"/>
            </w:pPr>
            <w:r>
              <w:t xml:space="preserve">192 km (2 paires)</w:t>
            </w:r>
          </w:p>
        </w:tc>
        <w:tc>
          <w:tcPr/>
          <w:p>
            <w:pPr>
              <w:pStyle w:val="Compact"/>
            </w:pPr>
            <w:r>
              <w:t xml:space="preserve">68 %</w:t>
            </w:r>
          </w:p>
        </w:tc>
        <w:tc>
          <w:tcPr/>
          <w:p>
            <w:pPr>
              <w:pStyle w:val="Compact"/>
            </w:pPr>
            <w:r>
              <w:t xml:space="preserve">21 %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118082"/>
            <wp:effectExtent b="0" l="0" r="0" t="0"/>
            <wp:docPr descr="Le 2×2 du corridor : chaque inter-gare colorée selon sa cellule voie × propriétaire, avec la marge médiane mesurée par cellule. En gris, les paires exclues de la mesure (blocs urbains, ponts, frontières de propriétaire)." title="" id="22" name="Picture"/>
            <a:graphic>
              <a:graphicData uri="http://schemas.openxmlformats.org/drawingml/2006/picture">
                <pic:pic>
                  <pic:nvPicPr>
                    <pic:cNvPr descr="livrables/figure_cellu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8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2×2 du corridor : chaque inter-gare colorée selon sa cellule voie × propriétaire, avec la marge médiane mesurée par cellule. En gris, les paires exclues de la mesure (blocs urbains, ponts, frontières de propriétaire).</w:t>
      </w:r>
    </w:p>
    <w:p>
      <w:pPr>
        <w:pStyle w:val="BodyText"/>
      </w:pPr>
      <w:r>
        <w:rPr>
          <w:b/>
          <w:bCs/>
        </w:rPr>
        <w:t xml:space="preserve">Ce que vaut un point de marge.</w:t>
      </w:r>
      <w:r>
        <w:t xml:space="preserve"> </w:t>
      </w:r>
      <w:r>
        <w:t xml:space="preserve">Un point vaut 1 pour cent du temps que la géométrie</w:t>
      </w:r>
      <w:r>
        <w:t xml:space="preserve"> </w:t>
      </w:r>
      <w:r>
        <w:t xml:space="preserve">permet sur les kilomètres concernés, et ces kilomètres ne sont pas au même endroit selon</w:t>
      </w:r>
      <w:r>
        <w:t xml:space="preserve"> </w:t>
      </w:r>
      <w:r>
        <w:t xml:space="preserve">la cellule. La voie simple du CN est entièrement sur Montréal-Québec (77 minutes de temps</w:t>
      </w:r>
      <w:r>
        <w:t xml:space="preserve"> </w:t>
      </w:r>
      <w:r>
        <w:t xml:space="preserve">de base) ; les voies simples de VIA sont sur Montréal-Ottawa et Ottawa-Toronto (92 minutes</w:t>
      </w:r>
      <w:r>
        <w:t xml:space="preserve"> </w:t>
      </w:r>
      <w:r>
        <w:t xml:space="preserve">ensemble). Montréal-Toronto est en voie double sur toute la longueur retenue : aucun point</w:t>
      </w:r>
      <w:r>
        <w:t xml:space="preserve"> </w:t>
      </w:r>
      <w:r>
        <w:t xml:space="preserve">de doublement n’y est à gagner, et c’est pourquoi les minutes citées plus bas n’y</w:t>
      </w:r>
      <w:r>
        <w:t xml:space="preserve"> </w:t>
      </w:r>
      <w:r>
        <w:t xml:space="preserve">apparaissent pas.</w:t>
      </w:r>
    </w:p>
    <w:p>
      <w:pPr>
        <w:pStyle w:val="BodyText"/>
      </w:pPr>
      <w:r>
        <w:t xml:space="preserve">Trois lignes, trois faits :</w:t>
      </w:r>
    </w:p>
    <w:p>
      <w:pPr>
        <w:pStyle w:val="BodyText"/>
      </w:pPr>
      <w:r>
        <w:rPr>
          <w:b/>
          <w:bCs/>
        </w:rPr>
        <w:t xml:space="preserve">Ce que le doublement procure, chez le CN</w:t>
      </w:r>
      <w:r>
        <w:t xml:space="preserve"> : environ 31 points de marge (68 contre 37), soit 24 minutes sur Montréal-Québec et rien sur Montréal-Toronto, déjà doublé. L’échantillon de voie simple CN est</w:t>
      </w:r>
      <w:r>
        <w:t xml:space="preserve"> </w:t>
      </w:r>
      <w:r>
        <w:t xml:space="preserve">mince (192 km, mais en deux paires seulement, celles du tronçon de Québec) : le chiffre</w:t>
      </w:r>
      <w:r>
        <w:t xml:space="preserve"> </w:t>
      </w:r>
      <w:r>
        <w:t xml:space="preserve">se publie en fourchette, pas au point. Il est en revanche robuste aux deux objections classiques, et cela se</w:t>
      </w:r>
      <w:r>
        <w:t xml:space="preserve"> </w:t>
      </w:r>
      <w:r>
        <w:t xml:space="preserve">vérifie dans la table : la classe de voie est la même que sur la ligne double (95 contre</w:t>
      </w:r>
      <w:r>
        <w:t xml:space="preserve"> </w:t>
      </w:r>
      <w:r>
        <w:t xml:space="preserve">95 à 100 mi/h permis), et la ligne double porte davantage de trafic (40 trains par jour</w:t>
      </w:r>
      <w:r>
        <w:t xml:space="preserve"> </w:t>
      </w:r>
      <w:r>
        <w:t xml:space="preserve">contre 27) tout en affichant moins de marge. Ni l’état de la voie ni le volume</w:t>
      </w:r>
      <w:r>
        <w:t xml:space="preserve"> </w:t>
      </w:r>
      <w:r>
        <w:t xml:space="preserve">n’expliquent l’écart ; les croisements l’expliquent. C’est la part « doublement » de la</w:t>
      </w:r>
      <w:r>
        <w:t xml:space="preserve"> </w:t>
      </w:r>
      <w:r>
        <w:t xml:space="preserve">figure des gains de la synthèse.</w:t>
      </w:r>
    </w:p>
    <w:p>
      <w:pPr>
        <w:pStyle w:val="BodyText"/>
      </w:pPr>
      <w:r>
        <w:rPr>
          <w:b/>
          <w:bCs/>
        </w:rPr>
        <w:t xml:space="preserve">Ce que le régime pèse</w:t>
      </w:r>
      <w:r>
        <w:t xml:space="preserve"> : sous propriétaire VIA, la voie simple ne coûte rien. Elle porte 3 points de marge de MOINS que la voie double du CN, et l’écart reste en sa faveur, de 3 à 7 points (soit de 3 à 6 minutes sur Montréal-Ottawa et Ottawa-Toronto réunis), sur toute la plage de pénalités d’arrêt testée (0 à 3 minutes par paire). Sous propriétaire CN, la même voie simple coûte 31 points, et de 30 à 33 sur la même plage, soit de 23 à 26 minutes sur Montréal-Québec. Le prix de la voie manquante n’est donc pas un prix de voie : il est nul chez l’un et de trente points chez l’autre. Une réserve honnête : les</w:t>
      </w:r>
      <w:r>
        <w:t xml:space="preserve"> </w:t>
      </w:r>
      <w:r>
        <w:t xml:space="preserve">lignes de VIA portent environ deux fois moins de trains que celles du CN ; ce qu’on</w:t>
      </w:r>
      <w:r>
        <w:t xml:space="preserve"> </w:t>
      </w:r>
      <w:r>
        <w:t xml:space="preserve">mesure est donc l’effet du régime au sens large, densité de fret comprise. C’est</w:t>
      </w:r>
      <w:r>
        <w:t xml:space="preserve"> </w:t>
      </w:r>
      <w:r>
        <w:t xml:space="preserve">précisément ce que le doublement seul ne change pas.</w:t>
      </w:r>
    </w:p>
    <w:p>
      <w:pPr>
        <w:pStyle w:val="BodyText"/>
      </w:pPr>
      <w:r>
        <w:rPr>
          <w:b/>
          <w:bCs/>
        </w:rPr>
        <w:t xml:space="preserve">La dispersion raconte la même histoire.</w:t>
      </w:r>
      <w:r>
        <w:t xml:space="preserve"> </w:t>
      </w:r>
      <w:r>
        <w:t xml:space="preserve">Sur voie double, tous les trains d’une même</w:t>
      </w:r>
      <w:r>
        <w:t xml:space="preserve"> </w:t>
      </w:r>
      <w:r>
        <w:t xml:space="preserve">paire font le même temps (écart interquartile de 5 pour cent). Sur la voie simple du CN,</w:t>
      </w:r>
      <w:r>
        <w:t xml:space="preserve"> </w:t>
      </w:r>
      <w:r>
        <w:t xml:space="preserve">l’horaire d’une même paire varie de 8 à 16 minutes selon le sillon : les croisements avec</w:t>
      </w:r>
      <w:r>
        <w:t xml:space="preserve"> </w:t>
      </w:r>
      <w:r>
        <w:t xml:space="preserve">le fret sont écrits dans la grille de VIA elle-même. Le passager de Montréal-Québec paie</w:t>
      </w:r>
      <w:r>
        <w:t xml:space="preserve"> </w:t>
      </w:r>
      <w:r>
        <w:t xml:space="preserve">jusqu’à 24 minutes selon l’heure de son départ.</w:t>
      </w:r>
    </w:p>
    <w:bookmarkEnd w:id="24"/>
    <w:bookmarkStart w:id="25" w:name="contre-épreuve-le-sud-ouest-ontarien"/>
    <w:p>
      <w:pPr>
        <w:pStyle w:val="Heading2"/>
      </w:pPr>
      <w:r>
        <w:t xml:space="preserve">Contre-épreuve : le sud-ouest ontarien</w:t>
      </w:r>
    </w:p>
    <w:p>
      <w:pPr>
        <w:pStyle w:val="FirstParagraph"/>
      </w:pPr>
      <w:r>
        <w:t xml:space="preserve">L’étude a étendu la mesure aux lignes Toronto-Windsor et Toronto-Sarnia. Cette région ne</w:t>
      </w:r>
      <w:r>
        <w:t xml:space="preserve"> </w:t>
      </w:r>
      <w:r>
        <w:t xml:space="preserve">se compare pas au cœur (la voie y est de classe inférieure, avec des vitesses permises de</w:t>
      </w:r>
      <w:r>
        <w:t xml:space="preserve"> </w:t>
      </w:r>
      <w:r>
        <w:t xml:space="preserve">42 à 70 mi/h (68 à 113 km/h) sur les lignes simples du CN : la marge y mesure d’abord l’état de la voie),</w:t>
      </w:r>
      <w:r>
        <w:t xml:space="preserve"> </w:t>
      </w:r>
      <w:r>
        <w:t xml:space="preserve">mais son contraste interne vaut la démonstration : le seul segment où le train roule à</w:t>
      </w:r>
      <w:r>
        <w:t xml:space="preserve"> </w:t>
      </w:r>
      <w:r>
        <w:t xml:space="preserve">vitesse normale (moyenne de 95 km/h ou 59 mi/h, sur une voie entretenue à 100 mi/h ou</w:t>
      </w:r>
      <w:r>
        <w:t xml:space="preserve"> </w:t>
      </w:r>
      <w:r>
        <w:t xml:space="preserve">161 km/h permis) est le segment</w:t>
      </w:r>
      <w:r>
        <w:t xml:space="preserve"> </w:t>
      </w:r>
      <w:r>
        <w:t xml:space="preserve">Chatham-Windsor, précisément celui que VIA possède. Les lignes simples voisines du CN,</w:t>
      </w:r>
      <w:r>
        <w:t xml:space="preserve"> </w:t>
      </w:r>
      <w:r>
        <w:t xml:space="preserve">presque vides (8 trains par jour), roulent à 40-60 km/h (25 à 37 mi/h) de moyenne sur des voies</w:t>
      </w:r>
      <w:r>
        <w:t xml:space="preserve"> </w:t>
      </w:r>
      <w:r>
        <w:t xml:space="preserve">laissées à 42-70 mi/h. Le propriétaire qui vit du service passager entretient sa voie ;</w:t>
      </w:r>
      <w:r>
        <w:t xml:space="preserve"> </w:t>
      </w:r>
      <w:r>
        <w:t xml:space="preserve">la conclusion du cœur se réplique dans une seconde région, par un autre mécanisme.</w:t>
      </w:r>
    </w:p>
    <w:bookmarkEnd w:id="25"/>
    <w:bookmarkStart w:id="26" w:name="lencadrement-de-la-marge"/>
    <w:p>
      <w:pPr>
        <w:pStyle w:val="Heading2"/>
      </w:pPr>
      <w:r>
        <w:t xml:space="preserve">L’encadrement de la marge</w:t>
      </w:r>
    </w:p>
    <w:p>
      <w:pPr>
        <w:pStyle w:val="FirstParagraph"/>
      </w:pPr>
      <w:r>
        <w:t xml:space="preserve">La marge d’horaire est la grandeur que cette étude ne peut pas trancher ; voici</w:t>
      </w:r>
      <w:r>
        <w:t xml:space="preserve"> </w:t>
      </w:r>
      <w:r>
        <w:t xml:space="preserve">l’intervalle où elle tombe nécessairement, et pourquoi.</w:t>
      </w:r>
    </w:p>
    <w:p>
      <w:pPr>
        <w:pStyle w:val="BodyText"/>
      </w:pPr>
      <w:r>
        <w:rPr>
          <w:b/>
          <w:bCs/>
        </w:rPr>
        <w:t xml:space="preserve">Borne basse, normative.</w:t>
      </w:r>
      <w:r>
        <w:t xml:space="preserve"> </w:t>
      </w:r>
      <w:r>
        <w:t xml:space="preserve">La fiche UIC 451-1 recommande, pour un train de voyageurs,</w:t>
      </w:r>
      <w:r>
        <w:t xml:space="preserve"> </w:t>
      </w:r>
      <w:r>
        <w:t xml:space="preserve">un supplément fixe plus un pourcentage selon la vitesse : au total environ 7 pour cent du</w:t>
      </w:r>
      <w:r>
        <w:t xml:space="preserve"> </w:t>
      </w:r>
      <w:r>
        <w:t xml:space="preserve">temps de parcours à 160 km/h (99 mi/h) et 9 pour cent à 200 (124 mi/h)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 ;</w:t>
      </w:r>
      <w:r>
        <w:t xml:space="preserve"> </w:t>
      </w:r>
      <w:r>
        <w:t xml:space="preserve">au plafond retenu de 177 km/h, l’étude interpole à 8 pour cent.</w:t>
      </w:r>
      <w:r>
        <w:t xml:space="preserve"> </w:t>
      </w:r>
      <w:r>
        <w:t xml:space="preserve">Les règles publiées des gestionnaires nationaux se situent au même ordre : SNCF Réseau</w:t>
      </w:r>
      <w:r>
        <w:t xml:space="preserve"> </w:t>
      </w:r>
      <w:r>
        <w:t xml:space="preserve">impose 4,5 minutes par 100 km sur ligne classique et 5 pour cent sur ligne à grande</w:t>
      </w:r>
      <w:r>
        <w:t xml:space="preserve"> </w:t>
      </w:r>
      <w:r>
        <w:t xml:space="preserve">vitesse</w:t>
      </w:r>
      <w:r>
        <w:t xml:space="preserve"> </w:t>
      </w:r>
      <w:r>
        <w:t xml:space="preserve">(</w:t>
      </w:r>
      <w:hyperlink w:anchor="ref-sncf2023drr">
        <w:r>
          <w:rPr>
            <w:rStyle w:val="Hyperlink"/>
          </w:rPr>
          <w:t xml:space="preserve">SNCF Réseau, 2023</w:t>
        </w:r>
      </w:hyperlink>
      <w:r>
        <w:t xml:space="preserve">)</w:t>
      </w:r>
      <w:r>
        <w:t xml:space="preserve"> ; le gestionnaire suédois publie même le différentiel qui nous</w:t>
      </w:r>
      <w:r>
        <w:t xml:space="preserve"> </w:t>
      </w:r>
      <w:r>
        <w:t xml:space="preserve">intéresse : 3 minutes par 100 km en voie simple contre 2 en voie double, plus 60 secondes</w:t>
      </w:r>
      <w:r>
        <w:t xml:space="preserve"> </w:t>
      </w:r>
      <w:r>
        <w:t xml:space="preserve">par croisement</w:t>
      </w:r>
      <w:r>
        <w:t xml:space="preserve"> </w:t>
      </w:r>
      <w:r>
        <w:t xml:space="preserve">(</w:t>
      </w:r>
      <w:hyperlink w:anchor="ref-trafikverket2025jnb">
        <w:r>
          <w:rPr>
            <w:rStyle w:val="Hyperlink"/>
          </w:rPr>
          <w:t xml:space="preserve">Trafikverket, 2025</w:t>
        </w:r>
      </w:hyperlink>
      <w:r>
        <w:t xml:space="preserve">)</w:t>
      </w:r>
      <w:r>
        <w:t xml:space="preserve">. Aucune règle publiée ne dépasse 15 pour cent.</w:t>
      </w:r>
    </w:p>
    <w:p>
      <w:pPr>
        <w:pStyle w:val="BodyText"/>
      </w:pPr>
      <w:r>
        <w:rPr>
          <w:b/>
          <w:bCs/>
        </w:rPr>
        <w:t xml:space="preserve">Borne haute, mesurée.</w:t>
      </w:r>
      <w:r>
        <w:t xml:space="preserve"> </w:t>
      </w:r>
      <w:r>
        <w:t xml:space="preserve">Le corridor porte aujourd’hui de 34 à 68 pour cent de marge selon la cellule (table ci-dessus). L’écart entre les deux bornes n’est pas de la</w:t>
      </w:r>
      <w:r>
        <w:t xml:space="preserve"> </w:t>
      </w:r>
      <w:r>
        <w:t xml:space="preserve">prudence d’horairiste : c’est le prix, en minutes, du régime de cohabitation actuel.</w:t>
      </w:r>
    </w:p>
    <w:p>
      <w:pPr>
        <w:pStyle w:val="BodyText"/>
      </w:pPr>
      <w:r>
        <w:rPr>
          <w:b/>
          <w:bCs/>
        </w:rPr>
        <w:t xml:space="preserve">Le précédent continental.</w:t>
      </w:r>
      <w:r>
        <w:t xml:space="preserve"> </w:t>
      </w:r>
      <w:r>
        <w:t xml:space="preserve">L’inspecteur général d’Amtrak a documenté le même</w:t>
      </w:r>
      <w:r>
        <w:t xml:space="preserve"> </w:t>
      </w:r>
      <w:r>
        <w:t xml:space="preserve">phénomène : environ 70 pour cent du temps additionnel des horaires d’Amtrak est</w:t>
      </w:r>
      <w:r>
        <w:t xml:space="preserve"> </w:t>
      </w:r>
      <w:r>
        <w:t xml:space="preserve">provisionné pour les retards anticipés des chemins de fer hôtes, et le fret cause</w:t>
      </w:r>
      <w:r>
        <w:t xml:space="preserve"> </w:t>
      </w:r>
      <w:r>
        <w:t xml:space="preserve">59 pour cent des retards des longs parcours</w:t>
      </w:r>
      <w:r>
        <w:t xml:space="preserve"> </w:t>
      </w:r>
      <w:r>
        <w:t xml:space="preserve">(</w:t>
      </w:r>
      <w:hyperlink w:anchor="ref-amtrakoig2019">
        <w:r>
          <w:rPr>
            <w:rStyle w:val="Hyperlink"/>
          </w:rPr>
          <w:t xml:space="preserve">Amtrak Office of Inspector General, 2019</w:t>
        </w:r>
      </w:hyperlink>
      <w:r>
        <w:t xml:space="preserve">)</w:t>
      </w:r>
      <w:r>
        <w:t xml:space="preserve">. La situation du corridor</w:t>
      </w:r>
      <w:r>
        <w:t xml:space="preserve"> </w:t>
      </w:r>
      <w:r>
        <w:t xml:space="preserve">n’est pas une exception canadienne, c’est la condition générale du train de voyageurs</w:t>
      </w:r>
      <w:r>
        <w:t xml:space="preserve"> </w:t>
      </w:r>
      <w:r>
        <w:t xml:space="preserve">invité chez un propriétaire de fret.</w:t>
      </w:r>
    </w:p>
    <w:p>
      <w:pPr>
        <w:pStyle w:val="BodyText"/>
      </w:pPr>
      <w:r>
        <w:rPr>
          <w:b/>
          <w:bCs/>
        </w:rPr>
        <w:t xml:space="preserve">Pièces au dossier</w:t>
      </w:r>
      <w:r>
        <w:t xml:space="preserve">, sans récit d’intention : le 11 octobre 2024, le CN a imposé aux</w:t>
      </w:r>
      <w:r>
        <w:t xml:space="preserve"> </w:t>
      </w:r>
      <w:r>
        <w:t xml:space="preserve">rames neuves de VIA un ralentissement à 72 km/h (45 mi/h) aux passages munis de prédicteurs, les circuits qui déclenchent les barrières à</w:t>
      </w:r>
      <w:r>
        <w:t xml:space="preserve"> </w:t>
      </w:r>
      <w:r>
        <w:t xml:space="preserve">l’approche d’un train (304 passages visés), déclenchant des retards de 30 à 45 minutes ; VIA a demandé le</w:t>
      </w:r>
      <w:r>
        <w:t xml:space="preserve"> </w:t>
      </w:r>
      <w:r>
        <w:t xml:space="preserve">contrôle judiciaire en Cour fédérale le 12 novembre 2024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 ; l’ordre</w:t>
      </w:r>
      <w:r>
        <w:t xml:space="preserve"> </w:t>
      </w:r>
      <w:r>
        <w:t xml:space="preserve">ministériel de décembre 2024 était une demande d’information au CN, pas un</w:t>
      </w:r>
      <w:r>
        <w:t xml:space="preserve"> </w:t>
      </w:r>
      <w:r>
        <w:t xml:space="preserve">rétablissement des vitesses, et l’allègement négocié n’est entré en vigueur que le</w:t>
      </w:r>
      <w:r>
        <w:t xml:space="preserve"> </w:t>
      </w:r>
      <w:r>
        <w:t xml:space="preserve">28 août 2025</w:t>
      </w:r>
      <w:r>
        <w:t xml:space="preserve"> </w:t>
      </w:r>
      <w:r>
        <w:t xml:space="preserve">(</w:t>
      </w:r>
      <w:hyperlink w:anchor="ref-tc2025gcp">
        <w:r>
          <w:rPr>
            <w:rStyle w:val="Hyperlink"/>
          </w:rPr>
          <w:t xml:space="preserve">Transports Canada, 2025</w:t>
        </w:r>
      </w:hyperlink>
      <w:r>
        <w:t xml:space="preserve">)</w:t>
      </w:r>
      <w:r>
        <w:t xml:space="preserve">. Le pilote sans arrêt Montréal-Toronto a été suspendu le jour</w:t>
      </w:r>
      <w:r>
        <w:t xml:space="preserve"> </w:t>
      </w:r>
      <w:r>
        <w:t xml:space="preserve">prévu de son lancement, VIA invoquant des contraintes opérationnelles chez son hôte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 La ponctualité du réseau est passée de 71-72 pour cent (2020-2021) à</w:t>
      </w:r>
      <w:r>
        <w:t xml:space="preserve"> </w:t>
      </w:r>
      <w:r>
        <w:t xml:space="preserve">57-59 (2022-2023), 51 (2024) puis 30 pour cent au premier trimestre 2025</w:t>
      </w:r>
      <w:r>
        <w:t xml:space="preserve"> </w:t>
      </w:r>
      <w:r>
        <w:t xml:space="preserve">(</w:t>
      </w:r>
      <w:hyperlink w:anchor="ref-via2025rapportannuel">
        <w:r>
          <w:rPr>
            <w:rStyle w:val="Hyperlink"/>
          </w:rPr>
          <w:t xml:space="preserve">VIA Rail Canada, 2025a</w:t>
        </w:r>
      </w:hyperlink>
      <w:r>
        <w:t xml:space="preserve">,</w:t>
      </w:r>
      <w:r>
        <w:t xml:space="preserve"> </w:t>
      </w:r>
      <w:hyperlink w:anchor="ref-via2025t1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Le précédent du régime d’accès, et la leçon de la WCML.</w:t>
      </w:r>
      <w:r>
        <w:t xml:space="preserve"> </w:t>
      </w:r>
      <w:r>
        <w:t xml:space="preserve">Le précédent de la West</w:t>
      </w:r>
      <w:r>
        <w:t xml:space="preserve"> </w:t>
      </w:r>
      <w:r>
        <w:t xml:space="preserve">Coast Main Line ne porte pas seulement sur les travaux : il porte tout autant sur le</w:t>
      </w:r>
      <w:r>
        <w:t xml:space="preserve"> </w:t>
      </w:r>
      <w:r>
        <w:t xml:space="preserve">régime d’accès qui les accompagne. Au Royaume-Uni, l’infrastructure appartient à un</w:t>
      </w:r>
      <w:r>
        <w:t xml:space="preserve"> </w:t>
      </w:r>
      <w:r>
        <w:t xml:space="preserve">gestionnaire unique et neutre, Network Rail, distinct des exploitants voyageurs et fret</w:t>
      </w:r>
      <w:r>
        <w:t xml:space="preserve"> </w:t>
      </w:r>
      <w:r>
        <w:t xml:space="preserve">qui y font circuler leurs trains sous contrats d’accès réglementés</w:t>
      </w:r>
      <w:r>
        <w:t xml:space="preserve"> </w:t>
      </w:r>
      <w:r>
        <w:t xml:space="preserve">(</w:t>
      </w:r>
      <w:hyperlink w:anchor="ref-orr2021cadre">
        <w:r>
          <w:rPr>
            <w:rStyle w:val="Hyperlink"/>
          </w:rPr>
          <w:t xml:space="preserve">Office of Rail and Road, 2021</w:t>
        </w:r>
      </w:hyperlink>
      <w:r>
        <w:t xml:space="preserve">)</w:t>
      </w:r>
      <w:r>
        <w:t xml:space="preserve">, et</w:t>
      </w:r>
      <w:r>
        <w:t xml:space="preserve"> </w:t>
      </w:r>
      <w:r>
        <w:t xml:space="preserve">aucun de ces contrats n’existe sans l’approbation ou l’injonction d’un régulateur</w:t>
      </w:r>
      <w:r>
        <w:t xml:space="preserve"> </w:t>
      </w:r>
      <w:r>
        <w:t xml:space="preserve">indépendant, l’Office of Rail and Road, faute de quoi il est juridiquement nul</w:t>
      </w:r>
      <w:r>
        <w:t xml:space="preserve"> </w:t>
      </w:r>
      <w:r>
        <w:t xml:space="preserve">(</w:t>
      </w:r>
      <w:hyperlink w:anchor="ref-orr2021cadre">
        <w:r>
          <w:rPr>
            <w:rStyle w:val="Hyperlink"/>
          </w:rPr>
          <w:t xml:space="preserve">Office of Rail and Road, 2021</w:t>
        </w:r>
      </w:hyperlink>
      <w:r>
        <w:t xml:space="preserve">;</w:t>
      </w:r>
      <w:r>
        <w:t xml:space="preserve"> </w:t>
      </w:r>
      <w:hyperlink w:anchor="ref-railwaysact1993">
        <w:r>
          <w:rPr>
            <w:rStyle w:val="Hyperlink"/>
          </w:rPr>
          <w:t xml:space="preserve">Parlement du Royaume-Uni, 1993</w:t>
        </w:r>
      </w:hyperlink>
      <w:r>
        <w:t xml:space="preserve">)</w:t>
      </w:r>
      <w:r>
        <w:t xml:space="preserve">. La portée réelle de ce pouvoir se mesure sur la</w:t>
      </w:r>
      <w:r>
        <w:t xml:space="preserve"> </w:t>
      </w:r>
      <w:r>
        <w:t xml:space="preserve">WCML même : en juillet 2025, l’ORR a rejeté trois demandes de sillons au motif que le</w:t>
      </w:r>
      <w:r>
        <w:t xml:space="preserve"> </w:t>
      </w:r>
      <w:r>
        <w:t xml:space="preserve">tronçon sud, déclaré infrastructure congestionnée, ne pouvait plus les absorber sans</w:t>
      </w:r>
      <w:r>
        <w:t xml:space="preserve"> </w:t>
      </w:r>
      <w:r>
        <w:t xml:space="preserve">dégrader la performance des circulations voyageurs et fret existantes, tout en</w:t>
      </w:r>
      <w:r>
        <w:t xml:space="preserve"> </w:t>
      </w:r>
      <w:r>
        <w:t xml:space="preserve">s’assurant que le gestionnaire d’infrastructure traitait les demandeurs publics et</w:t>
      </w:r>
      <w:r>
        <w:t xml:space="preserve"> </w:t>
      </w:r>
      <w:r>
        <w:t xml:space="preserve">privés de façon équitable et non discriminatoire</w:t>
      </w:r>
      <w:r>
        <w:t xml:space="preserve"> </w:t>
      </w:r>
      <w:r>
        <w:t xml:space="preserve">(</w:t>
      </w:r>
      <w:hyperlink w:anchor="ref-orr2025wcml">
        <w:r>
          <w:rPr>
            <w:rStyle w:val="Hyperlink"/>
          </w:rPr>
          <w:t xml:space="preserve">Office of Rail and Road, 2025</w:t>
        </w:r>
      </w:hyperlink>
      <w:r>
        <w:t xml:space="preserve">)</w:t>
      </w:r>
      <w:r>
        <w:t xml:space="preserve">. C’est précisément la</w:t>
      </w:r>
      <w:r>
        <w:t xml:space="preserve"> </w:t>
      </w:r>
      <w:r>
        <w:t xml:space="preserve">fonction dont le corridor aura besoin une fois le doublement réalisé : la capacité</w:t>
      </w:r>
      <w:r>
        <w:t xml:space="preserve"> </w:t>
      </w:r>
      <w:r>
        <w:t xml:space="preserve">créée ne se répartit de façon crédible que si elle est arbitrée par un tiers</w:t>
      </w:r>
      <w:r>
        <w:t xml:space="preserve"> </w:t>
      </w:r>
      <w:r>
        <w:t xml:space="preserve">indépendant, et non par le propriétaire de l’une des deux circulations en présence. Le</w:t>
      </w:r>
      <w:r>
        <w:t xml:space="preserve"> </w:t>
      </w:r>
      <w:r>
        <w:t xml:space="preserve">Canada dispose déjà de l’institution et du pouvoir correspondants : l’Office des</w:t>
      </w:r>
      <w:r>
        <w:t xml:space="preserve"> </w:t>
      </w:r>
      <w:r>
        <w:t xml:space="preserve">transports du Canada peut accorder des droits de circulation sur le réseau d’une autre</w:t>
      </w:r>
      <w:r>
        <w:t xml:space="preserve"> </w:t>
      </w:r>
      <w:r>
        <w:t xml:space="preserve">compagnie, en fixer les conditions dans l’intérêt public et en déterminer l’indemnité</w:t>
      </w:r>
      <w:r>
        <w:t xml:space="preserve"> </w:t>
      </w:r>
      <w:r>
        <w:t xml:space="preserve">(</w:t>
      </w:r>
      <w:hyperlink w:anchor="ref-otc2016circulation">
        <w:r>
          <w:rPr>
            <w:rStyle w:val="Hyperlink"/>
          </w:rPr>
          <w:t xml:space="preserve">Office des transports du Canada, 2016</w:t>
        </w:r>
      </w:hyperlink>
      <w:r>
        <w:t xml:space="preserve">;</w:t>
      </w:r>
      <w:r>
        <w:t xml:space="preserve"> </w:t>
      </w:r>
      <w:hyperlink w:anchor="ref-ltc1996art138">
        <w:r>
          <w:rPr>
            <w:rStyle w:val="Hyperlink"/>
          </w:rPr>
          <w:t xml:space="preserve">Parlement du Canada, 1996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 où doubler : relier les évitements d’abord.</w:t>
      </w:r>
      <w:r>
        <w:t xml:space="preserve"> </w:t>
      </w:r>
      <w:r>
        <w:t xml:space="preserve">Un corridor à voie unique équipé</w:t>
      </w:r>
      <w:r>
        <w:t xml:space="preserve"> </w:t>
      </w:r>
      <w:r>
        <w:t xml:space="preserve">d’évitements est déjà partiellement doublé, et la simulation montre que le retard décroît</w:t>
      </w:r>
      <w:r>
        <w:t xml:space="preserve"> </w:t>
      </w:r>
      <w:r>
        <w:t xml:space="preserve">de façon régulière à chaque tronçon de deuxième voie ajouté lorsque l’on procède en</w:t>
      </w:r>
      <w:r>
        <w:t xml:space="preserve"> </w:t>
      </w:r>
      <w:r>
        <w:t xml:space="preserve">reliant des paires d’évitements existants : le programme se phase, sans effet de seuil</w:t>
      </w:r>
      <w:r>
        <w:t xml:space="preserve"> </w:t>
      </w:r>
      <w:r>
        <w:t xml:space="preserve">(</w:t>
      </w:r>
      <w:hyperlink w:anchor="ref-sogin2013doublement">
        <w:r>
          <w:rPr>
            <w:rStyle w:val="Hyperlink"/>
          </w:rPr>
          <w:t xml:space="preserve">Sogin et al., 2013</w:t>
        </w:r>
      </w:hyperlink>
      <w:r>
        <w:t xml:space="preserve">)</w:t>
      </w:r>
      <w:r>
        <w:t xml:space="preserve">. Ce n’est pas une hypothèse théorique : sur le corridor</w:t>
      </w:r>
      <w:r>
        <w:t xml:space="preserve"> </w:t>
      </w:r>
      <w:r>
        <w:t xml:space="preserve">Chicago-Detroit, l’étude d’impact fédérale retient précisément de moderniser et de relier</w:t>
      </w:r>
      <w:r>
        <w:t xml:space="preserve"> </w:t>
      </w:r>
      <w:r>
        <w:t xml:space="preserve">les évitements existants entre Niles et Dowagiac, en notant que cette liaison revient à</w:t>
      </w:r>
      <w:r>
        <w:t xml:space="preserve"> </w:t>
      </w:r>
      <w:r>
        <w:t xml:space="preserve">doubler la voie sur 16 milles et permet d’ajouter des fréquences à 110 mi/h</w:t>
      </w:r>
      <w:r>
        <w:t xml:space="preserve"> </w:t>
      </w:r>
      <w:r>
        <w:t xml:space="preserve">(</w:t>
      </w:r>
      <w:hyperlink w:anchor="ref-mdot2014tier1">
        <w:r>
          <w:rPr>
            <w:rStyle w:val="Hyperlink"/>
          </w:rPr>
          <w:t xml:space="preserve">Federal Railroad Administration &amp; Michigan Department of Transportation, 2014</w:t>
        </w:r>
      </w:hyperlink>
      <w:r>
        <w:t xml:space="preserve">)</w:t>
      </w:r>
      <w:r>
        <w:t xml:space="preserve">. La FRA reconnaît de longue date qu’une série d’évitements longs accroît</w:t>
      </w:r>
      <w:r>
        <w:t xml:space="preserve"> </w:t>
      </w:r>
      <w:r>
        <w:t xml:space="preserve">substantiellement la capacité à un coût très inférieur au doublement continu</w:t>
      </w:r>
      <w:r>
        <w:t xml:space="preserve"> </w:t>
      </w:r>
      <w:r>
        <w:t xml:space="preserve">(</w:t>
      </w:r>
      <w:hyperlink w:anchor="ref-fra2004ptc">
        <w:r>
          <w:rPr>
            <w:rStyle w:val="Hyperlink"/>
          </w:rPr>
          <w:t xml:space="preserve">Federal Railroad Administration, 2004</w:t>
        </w:r>
      </w:hyperlink>
      <w:r>
        <w:t xml:space="preserve">)</w:t>
      </w:r>
      <w:r>
        <w:t xml:space="preserve">. Le programme de doublement du corridor devrait donc commencer par là :</w:t>
      </w:r>
      <w:r>
        <w:t xml:space="preserve"> </w:t>
      </w:r>
      <w:r>
        <w:t xml:space="preserve">allonger et relier les évitements en place sur les sections en voie simple, la deuxième</w:t>
      </w:r>
      <w:r>
        <w:t xml:space="preserve"> </w:t>
      </w:r>
      <w:r>
        <w:t xml:space="preserve">voie continue venant fermer les intervalles restants. L’inventaire fin des évitements</w:t>
      </w:r>
      <w:r>
        <w:t xml:space="preserve"> </w:t>
      </w:r>
      <w:r>
        <w:t xml:space="preserve">(position, longueur utile) relève de l’étude de circulation : la détection géométrique de</w:t>
      </w:r>
      <w:r>
        <w:t xml:space="preserve"> </w:t>
      </w:r>
      <w:r>
        <w:t xml:space="preserve">cette étude, calée sur une fenêtre plus large qu’eux, ne les résout pas un à un.</w:t>
      </w:r>
    </w:p>
    <w:p>
      <w:pPr>
        <w:pStyle w:val="BodyText"/>
      </w:pPr>
      <w:r>
        <w:rPr>
          <w:b/>
          <w:bCs/>
        </w:rPr>
        <w:t xml:space="preserve">Sur Montréal-Toronto, déjà doublé, « doubler » n’est pas la demande pertinente.</w:t>
      </w:r>
      <w:r>
        <w:t xml:space="preserve"> </w:t>
      </w:r>
      <w:r>
        <w:t xml:space="preserve">La</w:t>
      </w:r>
      <w:r>
        <w:t xml:space="preserve"> </w:t>
      </w:r>
      <w:r>
        <w:t xml:space="preserve">voie double élimine les croisements, pas les dépassements. L’intervention utile y est</w:t>
      </w:r>
      <w:r>
        <w:t xml:space="preserve"> </w:t>
      </w:r>
      <w:r>
        <w:t xml:space="preserve">l’ajout de liaisons rapides entre les deux voies (un dépassement se règle à basse ou à haute vitesse selon le type d’aiguillage</w:t>
      </w:r>
      <w:r>
        <w:t xml:space="preserve"> </w:t>
      </w:r>
      <w:r>
        <w:t xml:space="preserve">installé, ce qui change tout son coût en temps [ordres de grandeur 15 vs 45-50 mi/h, soit 24 vs 72-80 km/h,</w:t>
      </w:r>
      <w:r>
        <w:t xml:space="preserve"> </w:t>
      </w:r>
      <w:r>
        <w:t xml:space="preserve">À VÉRIFIER en étude de circulation]) et les sections de</w:t>
      </w:r>
      <w:r>
        <w:t xml:space="preserve"> </w:t>
      </w:r>
      <w:r>
        <w:t xml:space="preserve">troisième voie aux points de friction. Le dimensionnement précis relève de l’étude de</w:t>
      </w:r>
      <w:r>
        <w:t xml:space="preserve"> </w:t>
      </w:r>
      <w:r>
        <w:t xml:space="preserve">circulation.</w:t>
      </w:r>
    </w:p>
    <w:bookmarkEnd w:id="26"/>
    <w:bookmarkEnd w:id="27"/>
    <w:bookmarkStart w:id="28" w:name="passages-à-niveau"/>
    <w:p>
      <w:pPr>
        <w:pStyle w:val="Heading1"/>
      </w:pPr>
      <w:r>
        <w:t xml:space="preserve">Passages à niveau</w:t>
      </w:r>
    </w:p>
    <w:p>
      <w:pPr>
        <w:pStyle w:val="FirstParagraph"/>
      </w:pPr>
      <w:r>
        <w:t xml:space="preserve">Un passage à niveau est un croisement rail-route à niveau. Sa tolérance réglementaire</w:t>
      </w:r>
      <w:r>
        <w:t xml:space="preserve"> </w:t>
      </w:r>
      <w:r>
        <w:t xml:space="preserve">décroît par paliers de vitesse ; le précédent nord-américain le plus structuré est</w:t>
      </w:r>
      <w:r>
        <w:t xml:space="preserve"> </w:t>
      </w:r>
      <w:r>
        <w:t xml:space="preserve">américain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cité ici comme référence de seuils, non comme droit applicable</w:t>
      </w:r>
      <w:r>
        <w:t xml:space="preserve"> </w:t>
      </w:r>
      <w:r>
        <w:t xml:space="preserve">au Canada 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jusqu’à 153 km/h (95 mi/h)</w:t>
      </w:r>
      <w:r>
        <w:t xml:space="preserve"> : régime actuel (le précédent domestique est le Turbo, plafonné</w:t>
      </w:r>
      <w:r>
        <w:t xml:space="preserve"> </w:t>
      </w:r>
      <w:r>
        <w:t xml:space="preserve">en service à 153 km/h notamment à cause de ses quelque 300 passages à niveau</w:t>
      </w:r>
      <w:r>
        <w:t xml:space="preserve"> </w:t>
      </w:r>
      <w:r>
        <w:t xml:space="preserve">(</w:t>
      </w:r>
      <w:hyperlink w:anchor="ref-bateman2015">
        <w:r>
          <w:rPr>
            <w:rStyle w:val="Hyperlink"/>
          </w:rPr>
          <w:t xml:space="preserve">Bateman, 2015</w:t>
        </w:r>
      </w:hyperlink>
      <w:r>
        <w:t xml:space="preserve">)</w:t>
      </w:r>
      <w:r>
        <w:t xml:space="preserve">, alors qu’il détenait le record canadien de 140,6 mi/h (226 km/h), établi en</w:t>
      </w:r>
      <w:r>
        <w:t xml:space="preserve"> </w:t>
      </w:r>
      <w:r>
        <w:t xml:space="preserve">conditions d’essai non reproductibles et sans effet sur le temps commercial</w:t>
      </w:r>
      <w:r>
        <w:t xml:space="preserve"> </w:t>
      </w:r>
      <w:r>
        <w:t xml:space="preserve">(</w:t>
      </w:r>
      <w:hyperlink w:anchor="ref-canadianrail1976">
        <w:r>
          <w:rPr>
            <w:rStyle w:val="Hyperlink"/>
          </w:rPr>
          <w:t xml:space="preserve">Association canadienne d’histoire ferroviaire, 1976</w:t>
        </w:r>
      </w:hyperlink>
      <w:r>
        <w:t xml:space="preserve">)</w:t>
      </w:r>
      <w:r>
        <w:t xml:space="preserve">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154 à 177 km/h (96 à 110 mi/h)</w:t>
      </w:r>
      <w:r>
        <w:t xml:space="preserve"> : corridor « scellé » : traiter chaque passage</w:t>
      </w:r>
      <w:r>
        <w:t xml:space="preserve"> </w:t>
      </w:r>
      <w:r>
        <w:t xml:space="preserve">(barrières quatre-quadrants, terre-pleins, détection). Le programme de référence, en</w:t>
      </w:r>
      <w:r>
        <w:t xml:space="preserve"> </w:t>
      </w:r>
      <w:r>
        <w:t xml:space="preserve">Caroline du Nord, a été évalué par la FRA : au moins 19 vies sauvées de 1995 à 2004 et</w:t>
      </w:r>
      <w:r>
        <w:t xml:space="preserve"> </w:t>
      </w:r>
      <w:r>
        <w:t xml:space="preserve">une réduction projetée d’environ 52 pour cent de la mortalité du corridor</w:t>
      </w:r>
      <w:r>
        <w:t xml:space="preserve"> </w:t>
      </w:r>
      <w:r>
        <w:t xml:space="preserve">(</w:t>
      </w:r>
      <w:hyperlink w:anchor="ref-bienaime2009sealed">
        <w:r>
          <w:rPr>
            <w:rStyle w:val="Hyperlink"/>
          </w:rPr>
          <w:t xml:space="preserve">Bien-Aime, 2009</w:t>
        </w:r>
      </w:hyperlink>
      <w:r>
        <w:t xml:space="preserve">)</w:t>
      </w:r>
      <w:r>
        <w:t xml:space="preserve">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178 à 201 km/h (111 à 125 mi/h)</w:t>
      </w:r>
      <w:r>
        <w:t xml:space="preserve"> : système complet d’avertissement et de barrières approuvé et</w:t>
      </w:r>
      <w:r>
        <w:t xml:space="preserve"> </w:t>
      </w:r>
      <w:r>
        <w:t xml:space="preserve">fonctionnel (classe 7 américaine)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au-delà de 201 km/h (125 mi/h) : zéro passage à niveau</w:t>
      </w:r>
      <w:r>
        <w:t xml:space="preserve"> </w:t>
      </w:r>
      <w:r>
        <w:t xml:space="preserve">(classes 8 et 9 américaines).</w:t>
      </w:r>
    </w:p>
    <w:p>
      <w:pPr>
        <w:pStyle w:val="FirstParagraph"/>
      </w:pPr>
      <w:r>
        <w:t xml:space="preserve">Le scénario recommandé s’arrête volontairement à 177 km/h : les deux dernières marches</w:t>
      </w:r>
      <w:r>
        <w:t xml:space="preserve"> </w:t>
      </w:r>
      <w:r>
        <w:t xml:space="preserve">de cet escalier décrivent ce que l’étude n’exige pas, et une des raisons de ne pas</w:t>
      </w:r>
      <w:r>
        <w:t xml:space="preserve"> </w:t>
      </w:r>
      <w:r>
        <w:t xml:space="preserve">viser plus haut sur une voie partagée.</w:t>
      </w:r>
    </w:p>
    <w:p>
      <w:pPr>
        <w:pStyle w:val="BodyText"/>
      </w:pPr>
      <w:r>
        <w:rPr>
          <w:b/>
          <w:bCs/>
        </w:rPr>
        <w:t xml:space="preserve">Le compte.</w:t>
      </w:r>
      <w:r>
        <w:t xml:space="preserve"> </w:t>
      </w:r>
      <w:r>
        <w:t xml:space="preserve">L’inventaire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, joint au</w:t>
      </w:r>
      <w:r>
        <w:t xml:space="preserve"> </w:t>
      </w:r>
      <w:r>
        <w:t xml:space="preserve">tracé, donne 924 passages physiques sur le corridor (dédoublonnés entre trajets, chacun</w:t>
      </w:r>
      <w:r>
        <w:t xml:space="preserve"> </w:t>
      </w:r>
      <w:r>
        <w:t xml:space="preserve">classé à la vitesse maximale des trajets qui l’empruntent), dont</w:t>
      </w:r>
      <w:r>
        <w:t xml:space="preserve"> </w:t>
      </w:r>
      <w:r>
        <w:t xml:space="preserve">352 passages publics à protection active : le même ordre de grandeur que les 304 passages</w:t>
      </w:r>
      <w:r>
        <w:t xml:space="preserve"> </w:t>
      </w:r>
      <w:r>
        <w:t xml:space="preserve">à prédicteurs du dossier judiciaire de VIA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, qui couvre un périmètre</w:t>
      </w:r>
      <w:r>
        <w:t xml:space="preserve"> </w:t>
      </w:r>
      <w:r>
        <w:t xml:space="preserve">plus étroit (l’écart est expliqué dans les annexes numériques).</w:t>
      </w:r>
    </w:p>
    <w:p>
      <w:pPr>
        <w:pStyle w:val="BodyText"/>
      </w:pPr>
      <w:r>
        <w:rPr>
          <w:b/>
          <w:bCs/>
        </w:rPr>
        <w:t xml:space="preserve">Le compte au plafond retenu</w:t>
      </w:r>
      <w:r>
        <w:t xml:space="preserve">, selon la vitesse d’exploitation du scénario recommandé</w:t>
      </w:r>
      <w:r>
        <w:t xml:space="preserve"> </w:t>
      </w:r>
      <w:r>
        <w:t xml:space="preserve">(la géométrie du pendulaire, plafonnée à 177 km/h)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Bande d’exploitation</w:t>
            </w:r>
          </w:p>
        </w:tc>
        <w:tc>
          <w:tcPr/>
          <w:p>
            <w:pPr>
              <w:pStyle w:val="Compact"/>
            </w:pPr>
            <w:r>
              <w:t xml:space="preserve">Passages (corridor dédoublonné)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153 km/h (95 mi/h) : régime actuel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154-177 km/h (96-110 mi/h) : corridor scellé</w:t>
            </w:r>
          </w:p>
        </w:tc>
        <w:tc>
          <w:tcPr/>
          <w:p>
            <w:pPr>
              <w:pStyle w:val="Compact"/>
            </w:pPr>
            <w:r>
              <w:t xml:space="preserve">891</w:t>
            </w:r>
          </w:p>
        </w:tc>
      </w:tr>
    </w:tbl>
    <w:p>
      <w:pPr>
        <w:pStyle w:val="BodyText"/>
      </w:pPr>
      <w:r>
        <w:t xml:space="preserve">La lecture : le corridor scellé est la condition principale du scénario recommandé, et</w:t>
      </w:r>
      <w:r>
        <w:t xml:space="preserve"> </w:t>
      </w:r>
      <w:r>
        <w:t xml:space="preserve">elle se compte. Sur les 891 passages de la zone rapide, 328 portent déjà un système</w:t>
      </w:r>
      <w:r>
        <w:t xml:space="preserve"> </w:t>
      </w:r>
      <w:r>
        <w:t xml:space="preserve">complet de feux, cloches et barrières ;</w:t>
      </w:r>
      <w:r>
        <w:t xml:space="preserve"> </w:t>
      </w:r>
      <w:r>
        <w:rPr>
          <w:b/>
          <w:bCs/>
        </w:rPr>
        <w:t xml:space="preserve">563 restent à équiper</w:t>
      </w:r>
      <w:r>
        <w:t xml:space="preserve">. Le tri</w:t>
      </w:r>
      <w:r>
        <w:t xml:space="preserve"> </w:t>
      </w:r>
      <w:r>
        <w:t xml:space="preserve">d’intervention, sur données ouvertes (le lecteur applique ses coûts unitaires) : 782</w:t>
      </w:r>
      <w:r>
        <w:t xml:space="preserve"> </w:t>
      </w:r>
      <w:r>
        <w:t xml:space="preserve">passages standards (municipaux ou privés, deux voies routières ou moins, hors zone</w:t>
      </w:r>
      <w:r>
        <w:t xml:space="preserve"> </w:t>
      </w:r>
      <w:r>
        <w:t xml:space="preserve">urbaine) et 109 complexes (urbains, multi-voies ou provinciaux). La colonne d’accès</w:t>
      </w:r>
      <w:r>
        <w:t xml:space="preserve"> </w:t>
      </w:r>
      <w:r>
        <w:t xml:space="preserve">(public ou privé) de chaque passage reste publiée dans les annexes numériques ; l’étude</w:t>
      </w:r>
      <w:r>
        <w:t xml:space="preserve"> </w:t>
      </w:r>
      <w:r>
        <w:t xml:space="preserve">ne propose la fermeture d’aucun passage.</w:t>
      </w:r>
    </w:p>
    <w:bookmarkEnd w:id="28"/>
    <w:bookmarkStart w:id="29" w:name="signalisation"/>
    <w:p>
      <w:pPr>
        <w:pStyle w:val="Heading1"/>
      </w:pPr>
      <w:r>
        <w:t xml:space="preserve">Signalisation</w:t>
      </w:r>
    </w:p>
    <w:p>
      <w:pPr>
        <w:pStyle w:val="FirstParagraph"/>
      </w:pPr>
      <w:r>
        <w:t xml:space="preserve">La signalisation se traite en un escalier de trois marches, chacune étant un compte et</w:t>
      </w:r>
      <w:r>
        <w:t xml:space="preserve"> </w:t>
      </w:r>
      <w:r>
        <w:t xml:space="preserve">une ligne de devis, pas une carte 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Jusqu’à 160 km/h (99 mi/h) : effet nul.</w:t>
      </w:r>
      <w:r>
        <w:t xml:space="preserve"> </w:t>
      </w:r>
      <w:r>
        <w:t xml:space="preserve">Le corridor s’exploite déjà à 160 km/h sous sa signalisation actuelle (la commande</w:t>
      </w:r>
      <w:r>
        <w:t xml:space="preserve"> </w:t>
      </w:r>
      <w:r>
        <w:t xml:space="preserve">centralisée de la circulation, ou CTC), sans qu’aucune règle canadienne n’impose de</w:t>
      </w:r>
      <w:r>
        <w:t xml:space="preserve"> </w:t>
      </w:r>
      <w:r>
        <w:t xml:space="preserve">plafond du type « 79 mi/h » (127 km/h) américain.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 161 à 177 km/h (100 à 110 mi/h) : superposition de contrôle en cabine.</w:t>
      </w:r>
      <w:r>
        <w:t xml:space="preserve"> </w:t>
      </w:r>
      <w:r>
        <w:t xml:space="preserve">C’est la marche du</w:t>
      </w:r>
      <w:r>
        <w:t xml:space="preserve"> </w:t>
      </w:r>
      <w:r>
        <w:t xml:space="preserve">scénario recommandé, elle mérite deux phrases de plus. Au-delà de 160 km/h,</w:t>
      </w:r>
      <w:r>
        <w:t xml:space="preserve"> </w:t>
      </w:r>
      <w:r>
        <w:t xml:space="preserve">on considère que le conducteur ne peut plus conduire aux seuls signaux plantés le</w:t>
      </w:r>
      <w:r>
        <w:t xml:space="preserve"> </w:t>
      </w:r>
      <w:r>
        <w:t xml:space="preserve">long de la voie : à cette vitesse, l’intervalle entre le moment où un signal devient</w:t>
      </w:r>
      <w:r>
        <w:t xml:space="preserve"> </w:t>
      </w:r>
      <w:r>
        <w:t xml:space="preserve">lisible et le moment où il faut avoir réagi devient trop court pour reposer sur</w:t>
      </w:r>
      <w:r>
        <w:t xml:space="preserve"> </w:t>
      </w:r>
      <w:r>
        <w:t xml:space="preserve">l’œil humain seul. Un système de contrôle en cabine répond en affichant l’état de la</w:t>
      </w:r>
      <w:r>
        <w:t xml:space="preserve"> </w:t>
      </w:r>
      <w:r>
        <w:t xml:space="preserve">voie directement devant le conducteur, en continu, et en freinant automatiquement le</w:t>
      </w:r>
      <w:r>
        <w:t xml:space="preserve"> </w:t>
      </w:r>
      <w:r>
        <w:t xml:space="preserve">train si la vitesse permise est dépassée. « Superposition » signifie que ce système</w:t>
      </w:r>
      <w:r>
        <w:t xml:space="preserve"> </w:t>
      </w:r>
      <w:r>
        <w:t xml:space="preserve">s’ajoute par-dessus la signalisation existante sans la remplacer : la voie garde ses</w:t>
      </w:r>
      <w:r>
        <w:t xml:space="preserve"> </w:t>
      </w:r>
      <w:r>
        <w:t xml:space="preserve">signaux, les trains de fret circulent comme avant, seuls les trains rapides</w:t>
      </w:r>
      <w:r>
        <w:t xml:space="preserve"> </w:t>
      </w:r>
      <w:r>
        <w:t xml:space="preserve">embarquent l’équipement. Le précédent est opérationnel et tarifé : la ligne Amtrak</w:t>
      </w:r>
      <w:r>
        <w:t xml:space="preserve"> </w:t>
      </w:r>
      <w:r>
        <w:t xml:space="preserve">du Michigan exploite 110 mi/h (177 km/h) avec un tel système incrémental superposé à</w:t>
      </w:r>
      <w:r>
        <w:t xml:space="preserve"> </w:t>
      </w:r>
      <w:r>
        <w:t xml:space="preserve">la signalisation existante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 Cette limite de 110 mi/h est celle du</w:t>
      </w:r>
      <w:r>
        <w:t xml:space="preserve"> </w:t>
      </w:r>
      <w:r>
        <w:t xml:space="preserve">système lui-même : c’est elle qui fixe le plafond du scénario recommandé.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Au-delà de 200 km/h (124 mi/h) : contrôle intégral</w:t>
      </w:r>
      <w:r>
        <w:t xml:space="preserve"> </w:t>
      </w:r>
      <w:r>
        <w:t xml:space="preserve">de type ETCS (le standard européen de</w:t>
      </w:r>
      <w:r>
        <w:t xml:space="preserve"> </w:t>
      </w:r>
      <w:r>
        <w:t xml:space="preserve">contrôle des trains). C’est le devis d’Alto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, et</w:t>
      </w:r>
      <w:r>
        <w:t xml:space="preserve"> </w:t>
      </w:r>
      <w:r>
        <w:t xml:space="preserve">l’argument économique pour ne pas viser cette bande sur la voie partagée : elle est</w:t>
      </w:r>
      <w:r>
        <w:t xml:space="preserve"> </w:t>
      </w:r>
      <w:r>
        <w:t xml:space="preserve">hors du scénario recommandé.</w:t>
      </w:r>
    </w:p>
    <w:p>
      <w:pPr>
        <w:pStyle w:val="FirstParagraph"/>
      </w:pPr>
      <w:r>
        <w:rPr>
          <w:b/>
          <w:bCs/>
        </w:rPr>
        <w:t xml:space="preserve">Ce que la superposition fait à la capacité : rien en moins, et un levier en plus.</w:t>
      </w:r>
      <w:r>
        <w:t xml:space="preserve"> </w:t>
      </w:r>
      <w:r>
        <w:t xml:space="preserve">La</w:t>
      </w:r>
      <w:r>
        <w:t xml:space="preserve"> </w:t>
      </w:r>
      <w:r>
        <w:t xml:space="preserve">superposition retenue ne modifie pas le cantonnement existant : sur la ligne du Michigan,</w:t>
      </w:r>
      <w:r>
        <w:t xml:space="preserve"> </w:t>
      </w:r>
      <w:r>
        <w:t xml:space="preserve">l’ITCS est explicitement conçu comme une couche de sécurité posée par-dessus la commande</w:t>
      </w:r>
      <w:r>
        <w:t xml:space="preserve"> </w:t>
      </w:r>
      <w:r>
        <w:t xml:space="preserve">centralisée en place, et c’est ce dispositif qui a porté la vitesse voyageurs de 79 mi/h</w:t>
      </w:r>
      <w:r>
        <w:t xml:space="preserve"> </w:t>
      </w:r>
      <w:r>
        <w:t xml:space="preserve">en 2000 à 110 mi/h en 2012 sur une ligne partagée avec le fret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 La</w:t>
      </w:r>
      <w:r>
        <w:t xml:space="preserve"> </w:t>
      </w:r>
      <w:r>
        <w:t xml:space="preserve">capacité existante n’est donc ni retranchée ni réattribuée : la superposition s’ajoute au</w:t>
      </w:r>
      <w:r>
        <w:t xml:space="preserve"> </w:t>
      </w:r>
      <w:r>
        <w:t xml:space="preserve">système, elle ne le remplace pas, et la position fédérale juge d’ailleurs non démontrés</w:t>
      </w:r>
      <w:r>
        <w:t xml:space="preserve"> </w:t>
      </w:r>
      <w:r>
        <w:t xml:space="preserve">les gains de débit du contrôle de train pris seul</w:t>
      </w:r>
      <w:r>
        <w:t xml:space="preserve"> </w:t>
      </w:r>
      <w:r>
        <w:t xml:space="preserve">(</w:t>
      </w:r>
      <w:hyperlink w:anchor="ref-fra2004ptc">
        <w:r>
          <w:rPr>
            <w:rStyle w:val="Hyperlink"/>
          </w:rPr>
          <w:t xml:space="preserve">Federal Railroad Administration, 2004</w:t>
        </w:r>
      </w:hyperlink>
      <w:r>
        <w:t xml:space="preserve">)</w:t>
      </w:r>
      <w:r>
        <w:t xml:space="preserve">. Si l’on veut relever le</w:t>
      </w:r>
      <w:r>
        <w:t xml:space="preserve"> </w:t>
      </w:r>
      <w:r>
        <w:t xml:space="preserve">débit, le levier n’est pas la superposition mais le raccourcissement des cantons qu’elle</w:t>
      </w:r>
      <w:r>
        <w:t xml:space="preserve"> </w:t>
      </w:r>
      <w:r>
        <w:t xml:space="preserve">peut accompagner : la simulation d’un corridor nord-américain partagé montre qu’à niveau</w:t>
      </w:r>
      <w:r>
        <w:t xml:space="preserve"> </w:t>
      </w:r>
      <w:r>
        <w:t xml:space="preserve">de service constant, passer d’un cantonnement à trois aspects à quatre aspects puis au</w:t>
      </w:r>
      <w:r>
        <w:t xml:space="preserve"> </w:t>
      </w:r>
      <w:r>
        <w:t xml:space="preserve">bloc mobile fait passer la capacité de 45 à 50 puis 52 trains par jour, l’essentiel du</w:t>
      </w:r>
      <w:r>
        <w:t xml:space="preserve"> </w:t>
      </w:r>
      <w:r>
        <w:t xml:space="preserve">gain venant déjà de l’ajout d’aspects</w:t>
      </w:r>
      <w:r>
        <w:t xml:space="preserve"> </w:t>
      </w:r>
      <w:r>
        <w:t xml:space="preserve">(</w:t>
      </w:r>
      <w:hyperlink w:anchor="ref-dick2019blocs">
        <w:r>
          <w:rPr>
            <w:rStyle w:val="Hyperlink"/>
          </w:rPr>
          <w:t xml:space="preserve">Dick et al., 2019</w:t>
        </w:r>
      </w:hyperlink>
      <w:r>
        <w:t xml:space="preserve">)</w:t>
      </w:r>
      <w:r>
        <w:t xml:space="preserve">. Ce dimensionnement relève de</w:t>
      </w:r>
      <w:r>
        <w:t xml:space="preserve"> </w:t>
      </w:r>
      <w:r>
        <w:t xml:space="preserve">l’étude de circulation ; le point à retenir ici est que la marche du scénario recommandé</w:t>
      </w:r>
      <w:r>
        <w:t xml:space="preserve"> </w:t>
      </w:r>
      <w:r>
        <w:t xml:space="preserve">ne coûte rien à la capacité du propriétaire.</w:t>
      </w:r>
    </w:p>
    <w:p>
      <w:pPr>
        <w:pStyle w:val="BodyText"/>
      </w:pPr>
      <w:r>
        <w:t xml:space="preserve">La signalisation a une seconde fonction, le débit (longueur des cantons, liaisons) : elle</w:t>
      </w:r>
      <w:r>
        <w:t xml:space="preserve"> </w:t>
      </w:r>
      <w:r>
        <w:t xml:space="preserve">vit dans le paquet capacité de l’étude de circulation, pas ici. Cette étude compte, elle</w:t>
      </w:r>
      <w:r>
        <w:t xml:space="preserve"> </w:t>
      </w:r>
      <w:r>
        <w:t xml:space="preserve">ne dimensionne pas.</w:t>
      </w:r>
    </w:p>
    <w:bookmarkEnd w:id="29"/>
    <w:bookmarkStart w:id="31" w:name="résultats-intégrés"/>
    <w:p>
      <w:pPr>
        <w:pStyle w:val="Heading1"/>
      </w:pPr>
      <w:r>
        <w:t xml:space="preserve">Résultats intégrés</w:t>
      </w:r>
    </w:p>
    <w:p>
      <w:pPr>
        <w:pStyle w:val="FirstParagraph"/>
      </w:pPr>
      <w:r>
        <w:t xml:space="preserve">Deux tables. La première donne les temps de base par tronçon : courbes, blocs urbains</w:t>
      </w:r>
      <w:r>
        <w:t xml:space="preserve"> </w:t>
      </w:r>
      <w:r>
        <w:t xml:space="preserve">figés et arrêts, sans marge. La seconde applique la marge en fourchette : c’est elle</w:t>
      </w:r>
      <w:r>
        <w:t xml:space="preserve"> </w:t>
      </w:r>
      <w:r>
        <w:t xml:space="preserve">qui se compare à l’horaire actuel.</w:t>
      </w:r>
    </w:p>
    <w:p>
      <w:pPr>
        <w:pStyle w:val="BodyText"/>
      </w:pPr>
      <w:r>
        <w:rPr>
          <w:b/>
          <w:bCs/>
        </w:rPr>
        <w:t xml:space="preserve">Temps de base (sans marge).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</w:t>
            </w:r>
          </w:p>
        </w:tc>
        <w:tc>
          <w:tcPr/>
          <w:p>
            <w:pPr>
              <w:pStyle w:val="Compact"/>
            </w:pPr>
            <w:r>
              <w:t xml:space="preserve">Horaire actuel</w:t>
            </w:r>
          </w:p>
        </w:tc>
        <w:tc>
          <w:tcPr/>
          <w:p>
            <w:pPr>
              <w:pStyle w:val="Compact"/>
            </w:pPr>
            <w:r>
              <w:t xml:space="preserve">Scénario recommandé, plafond 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(270 km)</w:t>
            </w:r>
          </w:p>
        </w:tc>
        <w:tc>
          <w:tcPr/>
          <w:p>
            <w:pPr>
              <w:pStyle w:val="Compact"/>
            </w:pPr>
            <w:r>
              <w:t xml:space="preserve">3 h 22</w:t>
            </w:r>
          </w:p>
        </w:tc>
        <w:tc>
          <w:tcPr/>
          <w:p>
            <w:pPr>
              <w:pStyle w:val="Compact"/>
            </w:pPr>
            <w:r>
              <w:t xml:space="preserve">2 h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(185 km)</w:t>
            </w:r>
          </w:p>
        </w:tc>
        <w:tc>
          <w:tcPr/>
          <w:p>
            <w:pPr>
              <w:pStyle w:val="Compact"/>
            </w:pPr>
            <w:r>
              <w:t xml:space="preserve">2 h 02</w:t>
            </w:r>
          </w:p>
        </w:tc>
        <w:tc>
          <w:tcPr/>
          <w:p>
            <w:pPr>
              <w:pStyle w:val="Compact"/>
            </w:pPr>
            <w:r>
              <w:t xml:space="preserve">1 h 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(444 km)</w:t>
            </w:r>
          </w:p>
        </w:tc>
        <w:tc>
          <w:tcPr/>
          <w:p>
            <w:pPr>
              <w:pStyle w:val="Compact"/>
            </w:pPr>
            <w:r>
              <w:t xml:space="preserve">4 h 35</w:t>
            </w:r>
          </w:p>
        </w:tc>
        <w:tc>
          <w:tcPr/>
          <w:p>
            <w:pPr>
              <w:pStyle w:val="Compact"/>
            </w:pPr>
            <w:r>
              <w:t xml:space="preserve">3 h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(539 km)</w:t>
            </w:r>
          </w:p>
        </w:tc>
        <w:tc>
          <w:tcPr/>
          <w:p>
            <w:pPr>
              <w:pStyle w:val="Compact"/>
            </w:pPr>
            <w:r>
              <w:t xml:space="preserve">5 h 18</w:t>
            </w:r>
          </w:p>
        </w:tc>
        <w:tc>
          <w:tcPr/>
          <w:p>
            <w:pPr>
              <w:pStyle w:val="Compact"/>
            </w:pPr>
            <w:r>
              <w:t xml:space="preserve">4 h 07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Temps avec marge (fourchette).</w:t>
      </w:r>
      <w:r>
        <w:t xml:space="preserve"> </w:t>
      </w:r>
      <w:r>
        <w:t xml:space="preserve">Borne basse : la marge normative au plafond retenu</w:t>
      </w:r>
      <w:r>
        <w:t xml:space="preserve"> </w:t>
      </w:r>
      <w:r>
        <w:t xml:space="preserve">(8 pour cent du temps de base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). Borne haute : la</w:t>
      </w:r>
      <w:r>
        <w:t xml:space="preserve"> </w:t>
      </w:r>
      <w:r>
        <w:t xml:space="preserve">marge que l’horaire actuel du tronçon porte aujourd’hui, mesurée dans cette étude</w:t>
      </w:r>
      <w:r>
        <w:t xml:space="preserve"> </w:t>
      </w:r>
      <w:r>
        <w:t xml:space="preserve">(11 pour cent sur Montréal-Ottawa, 18 sur Montréal-Toronto, 24 sur Ottawa-Toronto,</w:t>
      </w:r>
      <w:r>
        <w:t xml:space="preserve"> </w:t>
      </w:r>
      <w:r>
        <w:t xml:space="preserve">32 sur Montréal-Québec). Contrôle interne de la méthode : nourrie du train, du plafond</w:t>
      </w:r>
      <w:r>
        <w:t xml:space="preserve"> </w:t>
      </w:r>
      <w:r>
        <w:t xml:space="preserve">et de la marge d’aujourd’hui, elle retombe sur l’horaire actuel, par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 (horaire actuel)</w:t>
            </w:r>
          </w:p>
        </w:tc>
        <w:tc>
          <w:tcPr/>
          <w:p>
            <w:pPr>
              <w:pStyle w:val="Compact"/>
            </w:pPr>
            <w:r>
              <w:t xml:space="preserve">Scénario recommandé, plafond 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(3 h 22)</w:t>
            </w:r>
          </w:p>
        </w:tc>
        <w:tc>
          <w:tcPr/>
          <w:p>
            <w:pPr>
              <w:pStyle w:val="Compact"/>
            </w:pPr>
            <w:r>
              <w:t xml:space="preserve">2 h 30 à 3 h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(2 h 02)</w:t>
            </w:r>
          </w:p>
        </w:tc>
        <w:tc>
          <w:tcPr/>
          <w:p>
            <w:pPr>
              <w:pStyle w:val="Compact"/>
            </w:pPr>
            <w:r>
              <w:t xml:space="preserve">1 h 46 à 1 h 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 h 35)</w:t>
            </w:r>
          </w:p>
        </w:tc>
        <w:tc>
          <w:tcPr/>
          <w:p>
            <w:pPr>
              <w:pStyle w:val="Compact"/>
            </w:pPr>
            <w:r>
              <w:t xml:space="preserve">3 h 39 à 4 h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 h 18)</w:t>
            </w:r>
          </w:p>
        </w:tc>
        <w:tc>
          <w:tcPr/>
          <w:p>
            <w:pPr>
              <w:pStyle w:val="Compact"/>
            </w:pPr>
            <w:r>
              <w:t xml:space="preserve">4 h 27 à 4 h 52</w:t>
            </w:r>
          </w:p>
        </w:tc>
      </w:tr>
    </w:tbl>
    <w:p>
      <w:pPr>
        <w:pStyle w:val="BodyText"/>
      </w:pPr>
      <w:r>
        <w:t xml:space="preserve">C’est de ces fourchettes que la figure des gains de la synthèse tire sa décomposition :</w:t>
      </w:r>
      <w:r>
        <w:t xml:space="preserve"> </w:t>
      </w:r>
      <w:r>
        <w:t xml:space="preserve">le gain de chaque trajet (l’écart entre l’horaire actuel et la borne basse de la</w:t>
      </w:r>
      <w:r>
        <w:t xml:space="preserve"> </w:t>
      </w:r>
      <w:r>
        <w:t xml:space="preserve">fourchette) est attribué à ses trois leviers. Les parts « relèvement du plafond » et</w:t>
      </w:r>
      <w:r>
        <w:t xml:space="preserve"> </w:t>
      </w:r>
      <w:r>
        <w:t xml:space="preserve">« train pendulaire » sont l’écart de temps de base recalculé en appliquant chaque</w:t>
      </w:r>
      <w:r>
        <w:t xml:space="preserve"> </w:t>
      </w:r>
      <w:r>
        <w:t xml:space="preserve">levier séparément, dans les deux ordres possibles, puis en moyennant (l’écart entre</w:t>
      </w:r>
      <w:r>
        <w:t xml:space="preserve"> </w:t>
      </w:r>
      <w:r>
        <w:t xml:space="preserve">les deux ordres, publié dans</w:t>
      </w:r>
      <w:r>
        <w:t xml:space="preserve"> </w:t>
      </w:r>
      <w:r>
        <w:rPr>
          <w:rStyle w:val="VerbatimChar"/>
        </w:rPr>
        <w:t xml:space="preserve">decomposition_gains.csv</w:t>
      </w:r>
      <w:r>
        <w:t xml:space="preserve">, ne dépasse pas 6 minutes) ; la</w:t>
      </w:r>
      <w:r>
        <w:t xml:space="preserve"> </w:t>
      </w:r>
      <w:r>
        <w:t xml:space="preserve">part « doublement » applique l’écart de marge mesuré entre voie simple et voie double</w:t>
      </w:r>
      <w:r>
        <w:t xml:space="preserve"> </w:t>
      </w:r>
      <w:r>
        <w:t xml:space="preserve">du CN (section 4) aux seuls kilomètres de voie simple CN du trajet ; la part</w:t>
      </w:r>
      <w:r>
        <w:t xml:space="preserve"> </w:t>
      </w:r>
      <w:r>
        <w:t xml:space="preserve">« cohabitation » est le résidu, borné à zéro, et c’est une définition honnête : ce que</w:t>
      </w:r>
      <w:r>
        <w:t xml:space="preserve"> </w:t>
      </w:r>
      <w:r>
        <w:t xml:space="preserve">l’étude ne peut pas allouer autrement, précisément l’objet de l’étude de circulation.</w:t>
      </w:r>
    </w:p>
    <w:p>
      <w:pPr>
        <w:pStyle w:val="BodyText"/>
      </w:pPr>
      <w:r>
        <w:t xml:space="preserve">Sensibilités : blocs urbains ±20 pour cent (déjà dans les fourchettes) ; le biais de la fenêtre de mesure sur les segments courts est mesuré et chiffré ci-dessous ; l’immobilisation en gare (2 minutes par arrêt) peut être doublée sans changer</w:t>
      </w:r>
      <w:r>
        <w:t xml:space="preserve"> </w:t>
      </w:r>
      <w:r>
        <w:t xml:space="preserve">la conclusion (chaque minute ajoutée coûte de 3 à 10 minutes par tronçon selon</w:t>
      </w:r>
      <w:r>
        <w:t xml:space="preserve"> </w:t>
      </w:r>
      <w:r>
        <w:t xml:space="preserve">son nombre d’arrêts) ; la borne du pilote de 2025 (7,5 à 10 minutes par arrêt évité)</w:t>
      </w:r>
      <w:r>
        <w:t xml:space="preserve"> </w:t>
      </w:r>
      <w:r>
        <w:t xml:space="preserve">inclut des effets de sillon qui relèvent de la marge, pas du temps de base.</w:t>
      </w:r>
    </w:p>
    <w:p>
      <w:pPr>
        <w:pStyle w:val="BodyText"/>
      </w:pPr>
      <w:r>
        <w:t xml:space="preserve">Deux sensibilités supplémentaires ont été calculées, dans le sens favorable cette</w:t>
      </w:r>
      <w:r>
        <w:t xml:space="preserve"> </w:t>
      </w:r>
      <w:r>
        <w:t xml:space="preserve">fois.</w:t>
      </w:r>
      <w:r>
        <w:t xml:space="preserve"> </w:t>
      </w:r>
      <w:r>
        <w:rPr>
          <w:b/>
          <w:bCs/>
        </w:rPr>
        <w:t xml:space="preserve">Blocs urbains réintégrés</w:t>
      </w:r>
      <w:r>
        <w:t xml:space="preserve"> : si les approches urbaines cessaient d’être figées</w:t>
      </w:r>
      <w:r>
        <w:t xml:space="preserve"> </w:t>
      </w:r>
      <w:r>
        <w:t xml:space="preserve">à l’horaire actuel et roulaient ce que leur géométrie permet, le temps de base du</w:t>
      </w:r>
      <w:r>
        <w:t xml:space="preserve"> </w:t>
      </w:r>
      <w:r>
        <w:t xml:space="preserve">scénario recommandé baisserait encore de 20 minutes sur Montréal-Québec, 15 sur</w:t>
      </w:r>
      <w:r>
        <w:t xml:space="preserve"> </w:t>
      </w:r>
      <w:r>
        <w:t xml:space="preserve">Montréal-Ottawa, 9 sur Ottawa-Toronto et 22 sur Montréal-Toronto. L’étude ne promet</w:t>
      </w:r>
      <w:r>
        <w:t xml:space="preserve"> </w:t>
      </w:r>
      <w:r>
        <w:t xml:space="preserve">rien de tel (les approches urbaines ont leurs propres contraintes, hors périmètre),</w:t>
      </w:r>
      <w:r>
        <w:t xml:space="preserve"> </w:t>
      </w:r>
      <w:r>
        <w:t xml:space="preserve">mais le chiffre borne ce que le statu quo urbain coûte.</w:t>
      </w:r>
      <w:r>
        <w:t xml:space="preserve"> </w:t>
      </w:r>
      <w:r>
        <w:rPr>
          <w:b/>
          <w:bCs/>
        </w:rPr>
        <w:t xml:space="preserve">Courbes rectifiées avec le</w:t>
      </w:r>
      <w:r>
        <w:rPr>
          <w:b/>
          <w:bCs/>
        </w:rPr>
        <w:t xml:space="preserve"> </w:t>
      </w:r>
      <w:r>
        <w:rPr>
          <w:b/>
          <w:bCs/>
        </w:rPr>
        <w:t xml:space="preserve">doublement</w:t>
      </w:r>
      <w:r>
        <w:t xml:space="preserve"> : reconstruire une plateforme pour y poser une seconde voie est le seul</w:t>
      </w:r>
      <w:r>
        <w:t xml:space="preserve"> </w:t>
      </w:r>
      <w:r>
        <w:t xml:space="preserve">moment où rouvrir un rayon ne coûte presque rien de plus. Si les courbes situées sur</w:t>
      </w:r>
      <w:r>
        <w:t xml:space="preserve"> </w:t>
      </w:r>
      <w:r>
        <w:t xml:space="preserve">les sections à doubler (184 km de segments concernés, définis par un recouvrement d’au</w:t>
      </w:r>
      <w:r>
        <w:t xml:space="preserve"> </w:t>
      </w:r>
      <w:r>
        <w:t xml:space="preserve">moins 70 pour cent avec la voie simple hors gares) étaient rectifiées au plafond</w:t>
      </w:r>
      <w:r>
        <w:t xml:space="preserve"> </w:t>
      </w:r>
      <w:r>
        <w:t xml:space="preserve">retenu, le temps de base gagnerait encore 4 minutes sur Montréal-Québec et 3 sur</w:t>
      </w:r>
      <w:r>
        <w:t xml:space="preserve"> </w:t>
      </w:r>
      <w:r>
        <w:t xml:space="preserve">Montréal-Ottawa (moins d’une minute ailleurs) : un gain modeste en minutes, mais</w:t>
      </w:r>
      <w:r>
        <w:t xml:space="preserve"> </w:t>
      </w:r>
      <w:r>
        <w:t xml:space="preserve">gratuit au moment du chantier, et qui réduit d’autant les kilomètres restants sous</w:t>
      </w:r>
      <w:r>
        <w:t xml:space="preserve"> </w:t>
      </w:r>
      <w:r>
        <w:t xml:space="preserve">grande vitesse.</w:t>
      </w:r>
    </w:p>
    <w:bookmarkStart w:id="30" w:name="X3e98b9c7167cabff9ca22a4446093da05eff647"/>
    <w:p>
      <w:pPr>
        <w:pStyle w:val="Heading2"/>
      </w:pPr>
      <w:r>
        <w:t xml:space="preserve">Le biais de la fenêtre de mesure, et ce qu’il coûte</w:t>
      </w:r>
    </w:p>
    <w:p>
      <w:pPr>
        <w:pStyle w:val="FirstParagraph"/>
      </w:pPr>
      <w:r>
        <w:t xml:space="preserve">L’estimateur ajuste un cercle sur une fenêtre glissante de 900 m. Sur une courbe plus</w:t>
      </w:r>
      <w:r>
        <w:t xml:space="preserve"> </w:t>
      </w:r>
      <w:r>
        <w:t xml:space="preserve">courte que cette fenêtre, il mélange la courbe et ses tangentes d’approche et rend un</w:t>
      </w:r>
      <w:r>
        <w:t xml:space="preserve"> </w:t>
      </w:r>
      <w:r>
        <w:t xml:space="preserve">rayon plus ample : il annonce une voie plus droite qu’elle n’est. Le biais est à sens</w:t>
      </w:r>
      <w:r>
        <w:t xml:space="preserve"> </w:t>
      </w:r>
      <w:r>
        <w:t xml:space="preserve">unique, il ne se compense donc pas en agrégeant.</w:t>
      </w:r>
    </w:p>
    <w:p>
      <w:pPr>
        <w:pStyle w:val="BodyText"/>
      </w:pPr>
      <w:r>
        <w:t xml:space="preserve">Son ampleur a été mesurée sur le corridor, segment par segment : le corps de chaque</w:t>
      </w:r>
      <w:r>
        <w:t xml:space="preserve"> </w:t>
      </w:r>
      <w:r>
        <w:t xml:space="preserve">courbe est localisé avec un estimateur fin de 300 m, un cercle unique y est ajusté, et</w:t>
      </w:r>
      <w:r>
        <w:t xml:space="preserve"> </w:t>
      </w:r>
      <w:r>
        <w:t xml:space="preserve">ce rayon est comparé à celui que le rapport publie. Cet estimateur fin n’est pas</w:t>
      </w:r>
      <w:r>
        <w:t xml:space="preserve"> </w:t>
      </w:r>
      <w:r>
        <w:t xml:space="preserve">publiable en soi, la flèche d’une courbe ample n’y dépassant pas le bruit de la source ;</w:t>
      </w:r>
      <w:r>
        <w:t xml:space="preserve"> </w:t>
      </w:r>
      <w:r>
        <w:t xml:space="preserve">il sert de référence locale sur les courbes serrées, où il est légitime.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Longueur du segment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Segments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Kilomètres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Facteur médian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9e décile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Moins de 300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 à 450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450 à 600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 à 900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900 m et 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932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référence</w:t>
            </w:r>
          </w:p>
        </w:tc>
      </w:tr>
    </w:tbl>
    <w:p>
      <w:pPr>
        <w:pStyle w:val="BodyText"/>
      </w:pPr>
      <w:r>
        <w:t xml:space="preserve">Sept cent dix des 1 014 segments du cœur sont plus courts que la fenêtre, soit 305 km</w:t>
      </w:r>
      <w:r>
        <w:t xml:space="preserve"> </w:t>
      </w:r>
      <w:r>
        <w:t xml:space="preserve">sur 1 433. La médiane du facteur y reste proche de 1, mais le neuvième décile atteint</w:t>
      </w:r>
      <w:r>
        <w:t xml:space="preserve"> </w:t>
      </w:r>
      <w:r>
        <w:t xml:space="preserve">1,8 à 2,2 : le biais épargne la plupart des segments courts et en frappe une minorité</w:t>
      </w:r>
      <w:r>
        <w:t xml:space="preserve"> </w:t>
      </w:r>
      <w:r>
        <w:t xml:space="preserve">fortement. Ce sont ces derniers qui déplacent les totaux.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Restants sous 177 km/h, cœur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Corrigé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Scénario de 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494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Scénario recommandé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234 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 km</w:t>
            </w:r>
          </w:p>
        </w:tc>
      </w:tr>
    </w:tbl>
    <w:p>
      <w:pPr>
        <w:pStyle w:val="BodyText"/>
      </w:pPr>
      <w:r>
        <w:t xml:space="preserve">L’effet sur les temps est d’un tout autre ordre : au plafond retenu, le temps de base</w:t>
      </w:r>
      <w:r>
        <w:t xml:space="preserve"> </w:t>
      </w:r>
      <w:r>
        <w:t xml:space="preserve">du scénario recommandé monte de 3 minutes sur Montréal-Québec, de 2 sur</w:t>
      </w:r>
      <w:r>
        <w:t xml:space="preserve"> </w:t>
      </w:r>
      <w:r>
        <w:t xml:space="preserve">Ottawa-Toronto et de moins d’une minute sur les deux autres tronçons (toutes</w:t>
      </w:r>
      <w:r>
        <w:t xml:space="preserve"> </w:t>
      </w:r>
      <w:r>
        <w:t xml:space="preserve">configurations confondues, l’effet va de 0 à 8 minutes, médiane 2).</w:t>
      </w:r>
    </w:p>
    <w:p>
      <w:pPr>
        <w:pStyle w:val="BodyText"/>
      </w:pPr>
      <w:r>
        <w:rPr>
          <w:b/>
          <w:bCs/>
        </w:rPr>
        <w:t xml:space="preserve">La lecture est donc dissymétrique, et c’est le point à retenir.</w:t>
      </w:r>
      <w:r>
        <w:t xml:space="preserve"> </w:t>
      </w:r>
      <w:r>
        <w:t xml:space="preserve">Ce que cette étude</w:t>
      </w:r>
      <w:r>
        <w:t xml:space="preserve"> </w:t>
      </w:r>
      <w:r>
        <w:t xml:space="preserve">annonce comme atteignable le reste : les temps de parcours bougent de une à trois</w:t>
      </w:r>
      <w:r>
        <w:t xml:space="preserve"> </w:t>
      </w:r>
      <w:r>
        <w:t xml:space="preserve">minutes, à l’intérieur des fourchettes déjà publiées. Ce qu’elle annonce comme travaux</w:t>
      </w:r>
      <w:r>
        <w:t xml:space="preserve"> </w:t>
      </w:r>
      <w:r>
        <w:t xml:space="preserve">restants est en revanche sous-estimé d’environ un huitième (le résidu corrigé du</w:t>
      </w:r>
      <w:r>
        <w:t xml:space="preserve"> </w:t>
      </w:r>
      <w:r>
        <w:t xml:space="preserve">scénario recommandé est de 13 pour cent plus long que le résidu publié). Un budget de</w:t>
      </w:r>
      <w:r>
        <w:t xml:space="preserve"> </w:t>
      </w:r>
      <w:r>
        <w:t xml:space="preserve">rectification bâti sur les kilomètres restants de ce rapport doit porter cette réserve.</w:t>
      </w:r>
    </w:p>
    <w:p>
      <w:pPr>
        <w:pStyle w:val="BodyText"/>
      </w:pPr>
      <w:r>
        <w:t xml:space="preserve">Les chiffres publiés restent ceux de la chaîne sans correction, pour une raison de</w:t>
      </w:r>
      <w:r>
        <w:t xml:space="preserve"> </w:t>
      </w:r>
      <w:r>
        <w:t xml:space="preserve">méthode : corriger une partie seulement des segments avec une référence qui n’est pas</w:t>
      </w:r>
      <w:r>
        <w:t xml:space="preserve"> </w:t>
      </w:r>
      <w:r>
        <w:t xml:space="preserve">valable partout produirait une table mêlant deux mesures. La correction est donnée en</w:t>
      </w:r>
      <w:r>
        <w:t xml:space="preserve"> </w:t>
      </w:r>
      <w:r>
        <w:t xml:space="preserve">fourchette, son détail segment par segment est joint (</w:t>
      </w:r>
      <w:r>
        <w:rPr>
          <w:rStyle w:val="VerbatimChar"/>
        </w:rPr>
        <w:t xml:space="preserve">biais_segments_courts.csv</w:t>
      </w:r>
      <w:r>
        <w:t xml:space="preserve">), et</w:t>
      </w:r>
      <w:r>
        <w:t xml:space="preserve"> </w:t>
      </w:r>
      <w:r>
        <w:t xml:space="preserve">sa levée relève de l’étude à commander, avec une source de géométrie plus fine que</w:t>
      </w:r>
      <w:r>
        <w:t xml:space="preserve"> </w:t>
      </w:r>
      <w:r>
        <w:t xml:space="preserve">l’inventaire ouvert.</w:t>
      </w:r>
    </w:p>
    <w:p>
      <w:pPr>
        <w:pStyle w:val="BodyText"/>
      </w:pPr>
      <w:r>
        <w:t xml:space="preserve">Deux garde-fous internes : chaque segment publié vérifie par construction la cohérence</w:t>
      </w:r>
      <w:r>
        <w:t xml:space="preserve"> </w:t>
      </w:r>
      <w:r>
        <w:t xml:space="preserve">entre sa classe et sa vitesse (zéro violation sur 5 040 contrôles), et les zones-témoins</w:t>
      </w:r>
      <w:r>
        <w:t xml:space="preserve"> </w:t>
      </w:r>
      <w:r>
        <w:t xml:space="preserve">(courbes réelles d’Ottawa et de Montréal, vitesse de la ligne Kingston) ressortent</w:t>
      </w:r>
      <w:r>
        <w:t xml:space="preserve"> </w:t>
      </w:r>
      <w:r>
        <w:t xml:space="preserve">correctement à chaque régénération.</w:t>
      </w:r>
    </w:p>
    <w:bookmarkEnd w:id="30"/>
    <w:bookmarkEnd w:id="31"/>
    <w:bookmarkStart w:id="32" w:name="limites-et-létude-quil-faut-commander"/>
    <w:p>
      <w:pPr>
        <w:pStyle w:val="Heading1"/>
      </w:pPr>
      <w:r>
        <w:t xml:space="preserve">Limites, et l’étude qu’il faut commander</w:t>
      </w:r>
    </w:p>
    <w:p>
      <w:pPr>
        <w:pStyle w:val="FirstParagraph"/>
      </w:pPr>
      <w:r>
        <w:t xml:space="preserve">Ce que cette méthode ne voit pas, elle le déclare : elle ne simule pas la circulation</w:t>
      </w:r>
      <w:r>
        <w:t xml:space="preserve"> </w:t>
      </w:r>
      <w:r>
        <w:t xml:space="preserve">(croisements réels, sillons de fret, robustesse d’horaire), elle ne conçoit aucun site,</w:t>
      </w:r>
      <w:r>
        <w:t xml:space="preserve"> </w:t>
      </w:r>
      <w:r>
        <w:t xml:space="preserve">elle ne chiffre aucun coût. Le plafond de 177 km/h est un choix de système (la limite</w:t>
      </w:r>
      <w:r>
        <w:t xml:space="preserve"> </w:t>
      </w:r>
      <w:r>
        <w:t xml:space="preserve">du contrôle en cabine incrémental disponible), pas une limite de la voie : ce que des</w:t>
      </w:r>
      <w:r>
        <w:t xml:space="preserve"> </w:t>
      </w:r>
      <w:r>
        <w:t xml:space="preserve">plafonds supérieurs donneraient reste calculé dans les annexes numériques du projet.</w:t>
      </w:r>
      <w:r>
        <w:t xml:space="preserve"> </w:t>
      </w:r>
      <w:r>
        <w:t xml:space="preserve">Ses horaires de référence datent d’une saison de restrictions exceptionnelles ; le</w:t>
      </w:r>
      <w:r>
        <w:t xml:space="preserve"> </w:t>
      </w:r>
      <w:r>
        <w:t xml:space="preserve">biais a été testé en rejouant la mesure sur les horaires de janvier 2023, antérieurs à</w:t>
      </w:r>
      <w:r>
        <w:t xml:space="preserve"> </w:t>
      </w:r>
      <w:r>
        <w:t xml:space="preserve">la crise : la hiérarchie entre cellules et les niveaux de marge y sont pratiquement</w:t>
      </w:r>
      <w:r>
        <w:t xml:space="preserve"> </w:t>
      </w:r>
      <w:r>
        <w:t xml:space="preserve">identiques (voie simple CN à 67 pour cent dès 2023). La structure précède la crise.</w:t>
      </w:r>
    </w:p>
    <w:p>
      <w:pPr>
        <w:pStyle w:val="BodyText"/>
      </w:pPr>
      <w:r>
        <w:t xml:space="preserve">C’est précisément pourquoi sa conclusion opérationnelle est une commande d’étude : une</w:t>
      </w:r>
      <w:r>
        <w:t xml:space="preserve"> </w:t>
      </w:r>
      <w:r>
        <w:t xml:space="preserve">étude de circulation, menée avec le propriétaire de la voie, qui alloue la marge entre</w:t>
      </w:r>
      <w:r>
        <w:t xml:space="preserve"> </w:t>
      </w:r>
      <w:r>
        <w:t xml:space="preserve">ses causes (fret, état de voie, passages à niveau, terminaux) et dimensionne les</w:t>
      </w:r>
      <w:r>
        <w:t xml:space="preserve"> </w:t>
      </w:r>
      <w:r>
        <w:t xml:space="preserve">interventions de capacité (liaisons rapides, sections de troisième voie, allongement</w:t>
      </w:r>
      <w:r>
        <w:t xml:space="preserve"> </w:t>
      </w:r>
      <w:r>
        <w:t xml:space="preserve">d’évitements). Tout ce que la présente étude compte en est l’intrant direct ; ses fourchettes en</w:t>
      </w:r>
      <w:r>
        <w:t xml:space="preserve"> </w:t>
      </w:r>
      <w:r>
        <w:t xml:space="preserve">bornent d’avance le résultat.</w:t>
      </w:r>
    </w:p>
    <w:bookmarkEnd w:id="32"/>
    <w:bookmarkStart w:id="100" w:name="références"/>
    <w:p>
      <w:pPr>
        <w:pStyle w:val="Heading1"/>
      </w:pPr>
      <w:r>
        <w:t xml:space="preserve">Références</w:t>
      </w:r>
    </w:p>
    <w:bookmarkStart w:id="99" w:name="refs"/>
    <w:bookmarkStart w:id="34" w:name="ref-alto2025"/>
    <w:p>
      <w:pPr>
        <w:pStyle w:val="Bibliography"/>
      </w:pPr>
      <w:r>
        <w:t xml:space="preserve">Alto. (2025).</w:t>
      </w:r>
      <w:r>
        <w:t xml:space="preserve"> </w:t>
      </w:r>
      <w:r>
        <w:rPr>
          <w:i/>
          <w:iCs/>
        </w:rPr>
        <w:t xml:space="preserve">About Alto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https://www.altotrain.ca/en/about-alto</w:t>
        </w:r>
      </w:hyperlink>
    </w:p>
    <w:bookmarkEnd w:id="34"/>
    <w:bookmarkStart w:id="36" w:name="ref-amtrakoig2019"/>
    <w:p>
      <w:pPr>
        <w:pStyle w:val="Bibliography"/>
      </w:pPr>
      <w:r>
        <w:t xml:space="preserve">Amtrak Office of Inspector General. (2019).</w:t>
      </w:r>
      <w:r>
        <w:t xml:space="preserve"> </w:t>
      </w:r>
      <w:r>
        <w:rPr>
          <w:i/>
          <w:iCs/>
        </w:rPr>
        <w:t xml:space="preserve">Train operations : Better estimates needed of the financial impacts of poor on-time performance</w:t>
      </w:r>
      <w:r>
        <w:t xml:space="preserve"> </w:t>
      </w:r>
      <w:r>
        <w:t xml:space="preserve">(OIG-A-2020-001). Amtrak OIG.</w:t>
      </w:r>
      <w:r>
        <w:t xml:space="preserve"> </w:t>
      </w:r>
      <w:hyperlink r:id="rId35">
        <w:r>
          <w:rPr>
            <w:rStyle w:val="Hyperlink"/>
          </w:rPr>
          <w:t xml:space="preserve">https://amtrakoig.gov/sites/default/files/reports/OIG-A-2020-001%20OTP%20mandate.pdf</w:t>
        </w:r>
      </w:hyperlink>
    </w:p>
    <w:bookmarkEnd w:id="36"/>
    <w:bookmarkStart w:id="38" w:name="ref-canadianrail1976"/>
    <w:p>
      <w:pPr>
        <w:pStyle w:val="Bibliography"/>
      </w:pPr>
      <w:r>
        <w:t xml:space="preserve">Association canadienne d’histoire ferroviaire. (1976). The business car.</w:t>
      </w:r>
      <w:r>
        <w:t xml:space="preserve"> </w:t>
      </w:r>
      <w:r>
        <w:rPr>
          <w:i/>
          <w:iCs/>
        </w:rPr>
        <w:t xml:space="preserve">Canadian Rail</w:t>
      </w:r>
      <w:r>
        <w:t xml:space="preserve">, (296), 274.</w:t>
      </w:r>
      <w:r>
        <w:t xml:space="preserve"> </w:t>
      </w:r>
      <w:hyperlink r:id="rId37">
        <w:r>
          <w:rPr>
            <w:rStyle w:val="Hyperlink"/>
          </w:rPr>
          <w:t xml:space="preserve">https://exporail.org/canrail/canadian_rail_1962_1989/canadian-rail-296-1976.pdf</w:t>
        </w:r>
      </w:hyperlink>
    </w:p>
    <w:bookmarkEnd w:id="38"/>
    <w:bookmarkStart w:id="40" w:name="ref-bateman2015"/>
    <w:p>
      <w:pPr>
        <w:pStyle w:val="Bibliography"/>
      </w:pPr>
      <w:r>
        <w:t xml:space="preserve">Bateman, C. (2015).</w:t>
      </w:r>
      <w:r>
        <w:t xml:space="preserve"> </w:t>
      </w:r>
      <w:r>
        <w:rPr>
          <w:i/>
          <w:iCs/>
        </w:rPr>
        <w:t xml:space="preserve">Remembering the ill-fated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Turbo train</w:t>
      </w:r>
      <w:r>
        <w:t xml:space="preserve">. Spacing Toronto.</w:t>
      </w:r>
      <w:r>
        <w:t xml:space="preserve"> </w:t>
      </w:r>
      <w:hyperlink r:id="rId39">
        <w:r>
          <w:rPr>
            <w:rStyle w:val="Hyperlink"/>
          </w:rPr>
          <w:t xml:space="preserve">https://spacing.ca/toronto/2015/12/09/53711/</w:t>
        </w:r>
      </w:hyperlink>
    </w:p>
    <w:bookmarkEnd w:id="40"/>
    <w:bookmarkStart w:id="42" w:name="ref-bienaime2009sealed"/>
    <w:p>
      <w:pPr>
        <w:pStyle w:val="Bibliography"/>
      </w:pPr>
      <w:r>
        <w:t xml:space="preserve">Bien-Aime, P. (2009).</w:t>
      </w:r>
      <w:r>
        <w:t xml:space="preserve"> </w:t>
      </w:r>
      <w:r>
        <w:rPr>
          <w:i/>
          <w:iCs/>
        </w:rPr>
        <w:t xml:space="preserve">North Carolina</w:t>
      </w:r>
      <w:r>
        <w:rPr>
          <w:i/>
          <w:iCs/>
        </w:rPr>
        <w:t xml:space="preserve"> </w:t>
      </w:r>
      <w:r>
        <w:rPr>
          <w:i/>
          <w:iCs/>
        </w:rPr>
        <w:t xml:space="preserve">«</w:t>
      </w:r>
      <w:r>
        <w:rPr>
          <w:i/>
          <w:iCs/>
        </w:rPr>
        <w:t xml:space="preserve"> </w:t>
      </w:r>
      <w:r>
        <w:rPr>
          <w:i/>
          <w:iCs/>
        </w:rPr>
        <w:t xml:space="preserve">Sealed Corridor</w:t>
      </w:r>
      <w:r>
        <w:rPr>
          <w:i/>
          <w:iCs/>
        </w:rPr>
        <w:t xml:space="preserve"> </w:t>
      </w:r>
      <w:r>
        <w:rPr>
          <w:i/>
          <w:iCs/>
        </w:rPr>
        <w:t xml:space="preserve">»</w:t>
      </w:r>
      <w:r>
        <w:rPr>
          <w:i/>
          <w:iCs/>
        </w:rPr>
        <w:t xml:space="preserve"> </w:t>
      </w:r>
      <w:r>
        <w:rPr>
          <w:i/>
          <w:iCs/>
        </w:rPr>
        <w:t xml:space="preserve">Phase I, II, and III assessment</w:t>
      </w:r>
      <w:r>
        <w:t xml:space="preserve"> </w:t>
      </w:r>
      <w:r>
        <w:t xml:space="preserve">(DOT/FRA/ORD-09/17). Federal Railroad Administration, U.S. Department of Transportation.</w:t>
      </w:r>
      <w:r>
        <w:t xml:space="preserve"> </w:t>
      </w:r>
      <w:hyperlink r:id="rId41">
        <w:r>
          <w:rPr>
            <w:rStyle w:val="Hyperlink"/>
          </w:rPr>
          <w:t xml:space="preserve">https://railroads.dot.gov/sites/fra.dot.gov/files/fra_net/300/ord0917.pdf</w:t>
        </w:r>
      </w:hyperlink>
    </w:p>
    <w:bookmarkEnd w:id="42"/>
    <w:bookmarkStart w:id="43" w:name="ref-cn2002mr1305"/>
    <w:p>
      <w:pPr>
        <w:pStyle w:val="Bibliography"/>
      </w:pPr>
      <w:r>
        <w:t xml:space="preserve">Canadien National. (2002).</w:t>
      </w:r>
      <w:r>
        <w:t xml:space="preserve"> </w:t>
      </w:r>
      <w:r>
        <w:rPr>
          <w:i/>
          <w:iCs/>
        </w:rPr>
        <w:t xml:space="preserve">MR 1305-0 : méthode de calcul des vitesses en courbe</w:t>
      </w:r>
      <w:r>
        <w:t xml:space="preserve"> </w:t>
      </w:r>
      <w:r>
        <w:t xml:space="preserve">[Circulaire technique interne]. Compagnie des chemins de fer nationaux du Canada.</w:t>
      </w:r>
    </w:p>
    <w:bookmarkEnd w:id="43"/>
    <w:bookmarkStart w:id="45" w:name="ref-cbc2025pilote"/>
    <w:p>
      <w:pPr>
        <w:pStyle w:val="Bibliography"/>
      </w:pPr>
      <w:r>
        <w:t xml:space="preserve">CBC News. (2025).</w:t>
      </w:r>
      <w:r>
        <w:t xml:space="preserve"> </w:t>
      </w:r>
      <w:r>
        <w:rPr>
          <w:i/>
          <w:iCs/>
        </w:rPr>
        <w:t xml:space="preserve">Via postpones direct</w:t>
      </w:r>
      <w:r>
        <w:rPr>
          <w:i/>
          <w:iCs/>
        </w:rPr>
        <w:t xml:space="preserve"> </w:t>
      </w:r>
      <w:r>
        <w:rPr>
          <w:i/>
          <w:iCs/>
        </w:rPr>
        <w:t xml:space="preserve">Montreal-Toronto</w:t>
      </w:r>
      <w:r>
        <w:rPr>
          <w:i/>
          <w:iCs/>
        </w:rPr>
        <w:t xml:space="preserve"> </w:t>
      </w:r>
      <w:r>
        <w:rPr>
          <w:i/>
          <w:iCs/>
        </w:rPr>
        <w:t xml:space="preserve">pilot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https://www.cbc.ca/news/canada/ottawa/via-montreal-toronto-pilot-that-skipped-eastern-ontario-postponed-1.7646512</w:t>
        </w:r>
      </w:hyperlink>
    </w:p>
    <w:bookmarkEnd w:id="45"/>
    <w:bookmarkStart w:id="47" w:name="ref-dick2019blocs"/>
    <w:p>
      <w:pPr>
        <w:pStyle w:val="Bibliography"/>
      </w:pPr>
      <w:r>
        <w:t xml:space="preserve">Dick, C. T., Mussanov, D., Evans, L. E., Roscoe, G. S., &amp; Chang, T.-Y. (2019). Relative Capacity and Performance of Fixed- and Moving-Block Control Systems on North American Freight Railway Lines and Shared Passenger Corridors.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</w:t>
      </w:r>
      <w:r>
        <w:t xml:space="preserve"> </w:t>
      </w:r>
      <w:r>
        <w:rPr>
          <w:i/>
          <w:iCs/>
        </w:rPr>
        <w:t xml:space="preserve">2673</w:t>
      </w:r>
      <w:r>
        <w:t xml:space="preserve">(5), 1‑12.</w:t>
      </w:r>
      <w:r>
        <w:t xml:space="preserve"> </w:t>
      </w:r>
      <w:hyperlink r:id="rId46">
        <w:r>
          <w:rPr>
            <w:rStyle w:val="Hyperlink"/>
          </w:rPr>
          <w:t xml:space="preserve">https://doi.org/10.1177/0361198119841852</w:t>
        </w:r>
      </w:hyperlink>
    </w:p>
    <w:bookmarkEnd w:id="47"/>
    <w:bookmarkStart w:id="49" w:name="ref-ecfr213-347"/>
    <w:p>
      <w:pPr>
        <w:pStyle w:val="Bibliography"/>
      </w:pPr>
      <w:r>
        <w:t xml:space="preserve">Federal Railroad Administration. (s. d.-a).</w:t>
      </w:r>
      <w:r>
        <w:t xml:space="preserve"> </w:t>
      </w:r>
      <w:r>
        <w:rPr>
          <w:i/>
          <w:iCs/>
        </w:rPr>
        <w:t xml:space="preserve">Automotive or railroad crossings at grade, 49 C.F.R. §213.347</w:t>
      </w:r>
      <w:r>
        <w:t xml:space="preserve">. Electronic Code of Federal Regulations. Consulté</w:t>
      </w:r>
      <w:r>
        <w:t xml:space="preserve"> </w:t>
      </w:r>
      <w:hyperlink r:id="rId48">
        <w:r>
          <w:rPr>
            <w:rStyle w:val="Hyperlink"/>
          </w:rPr>
          <w:t xml:space="preserve">https://www.ecfr.gov/current/title-49/section-213.347</w:t>
        </w:r>
      </w:hyperlink>
    </w:p>
    <w:bookmarkEnd w:id="49"/>
    <w:bookmarkStart w:id="51" w:name="ref-fra-lrc-152"/>
    <w:p>
      <w:pPr>
        <w:pStyle w:val="Bibliography"/>
      </w:pPr>
      <w:r>
        <w:t xml:space="preserve">Federal Railroad Administration. (s. d.-b).</w:t>
      </w:r>
      <w:r>
        <w:t xml:space="preserve"> </w:t>
      </w:r>
      <w:r>
        <w:rPr>
          <w:i/>
          <w:iCs/>
        </w:rPr>
        <w:t xml:space="preserve">Mixed freight and higher-speed passenger trains : Superelevation</w:t>
      </w:r>
      <w:r>
        <w:t xml:space="preserve">. U.S. Department of Transportation. Consulté</w:t>
      </w:r>
      <w:r>
        <w:t xml:space="preserve"> </w:t>
      </w:r>
      <w:hyperlink r:id="rId50">
        <w:r>
          <w:rPr>
            <w:rStyle w:val="Hyperlink"/>
          </w:rPr>
          <w:t xml:space="preserve">https://railroads.dot.gov/sites/fra.dot.gov/files/fra_net/19085/Superelevation.pdf</w:t>
        </w:r>
      </w:hyperlink>
    </w:p>
    <w:bookmarkEnd w:id="51"/>
    <w:bookmarkStart w:id="53" w:name="ref-fra2004ptc"/>
    <w:p>
      <w:pPr>
        <w:pStyle w:val="Bibliography"/>
      </w:pPr>
      <w:r>
        <w:t xml:space="preserve">Federal Railroad Administration. (2004).</w:t>
      </w:r>
      <w:r>
        <w:t xml:space="preserve"> </w:t>
      </w:r>
      <w:r>
        <w:rPr>
          <w:i/>
          <w:iCs/>
        </w:rPr>
        <w:t xml:space="preserve">Benefits and Costs of Positive Train Control: Report in Response to Request of Appropriations Committees</w:t>
      </w:r>
      <w:r>
        <w:t xml:space="preserve">. U.S. Department of Transportation.</w:t>
      </w:r>
      <w:r>
        <w:t xml:space="preserve"> </w:t>
      </w:r>
      <w:hyperlink r:id="rId52">
        <w:r>
          <w:rPr>
            <w:rStyle w:val="Hyperlink"/>
          </w:rPr>
          <w:t xml:space="preserve">https://railroads.dot.gov/sites/fra.dot.gov/files/fra_net/17524/ptc_ben_cost_report.pdf</w:t>
        </w:r>
      </w:hyperlink>
    </w:p>
    <w:bookmarkEnd w:id="53"/>
    <w:bookmarkStart w:id="55" w:name="ref-fra2024itcs"/>
    <w:p>
      <w:pPr>
        <w:pStyle w:val="Bibliography"/>
      </w:pPr>
      <w:r>
        <w:t xml:space="preserve">Federal Railroad Administration. (2024).</w:t>
      </w:r>
      <w:r>
        <w:t xml:space="preserve"> </w:t>
      </w:r>
      <w:r>
        <w:rPr>
          <w:i/>
          <w:iCs/>
        </w:rPr>
        <w:t xml:space="preserve">Incremental Train Control System</w:t>
      </w:r>
      <w:r>
        <w:t xml:space="preserve">. U.S. Department of Transportation.</w:t>
      </w:r>
      <w:r>
        <w:t xml:space="preserve"> </w:t>
      </w:r>
      <w:hyperlink r:id="rId54">
        <w:r>
          <w:rPr>
            <w:rStyle w:val="Hyperlink"/>
          </w:rPr>
          <w:t xml:space="preserve">https://railroads.dot.gov/research-development/program-areas/train-control/ptc/incremental-train-control-system</w:t>
        </w:r>
      </w:hyperlink>
    </w:p>
    <w:bookmarkEnd w:id="55"/>
    <w:bookmarkStart w:id="57" w:name="ref-mdot2014tier1"/>
    <w:p>
      <w:pPr>
        <w:pStyle w:val="Bibliography"/>
      </w:pPr>
      <w:r>
        <w:t xml:space="preserve">Federal Railroad Administration, &amp; Michigan Department of Transportation. (2014).</w:t>
      </w:r>
      <w:r>
        <w:t xml:space="preserve"> </w:t>
      </w:r>
      <w:r>
        <w:rPr>
          <w:i/>
          <w:iCs/>
        </w:rPr>
        <w:t xml:space="preserve">Chicago–Detroit/Pontiac Passenger Rail Corridor Program: Tier 1 Draft Environmental Impact Statement, Chapter 2 – Alternatives Considered</w:t>
      </w:r>
      <w:r>
        <w:t xml:space="preserve">. U.S. Department of Transportation.</w:t>
      </w:r>
      <w:r>
        <w:t xml:space="preserve"> </w:t>
      </w:r>
      <w:hyperlink r:id="rId56">
        <w:r>
          <w:rPr>
            <w:rStyle w:val="Hyperlink"/>
          </w:rPr>
          <w:t xml:space="preserve">https://railroads.dot.gov/sites/fra.dot.gov/files/fra_net/17118/Chapter%202%20Alternatives%20Considered.pdf</w:t>
        </w:r>
      </w:hyperlink>
    </w:p>
    <w:bookmarkEnd w:id="57"/>
    <w:bookmarkStart w:id="59" w:name="ref-via2024requete"/>
    <w:p>
      <w:pPr>
        <w:pStyle w:val="Bibliography"/>
      </w:pPr>
      <w:r>
        <w:t xml:space="preserve">La Presse Canadienne. (2024).</w:t>
      </w:r>
      <w:r>
        <w:t xml:space="preserve"> </w:t>
      </w:r>
      <w:r>
        <w:rPr>
          <w:i/>
          <w:iCs/>
        </w:rPr>
        <w:t xml:space="preserve">Via Rail seeks judicial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Rail’s speed restrictions</w:t>
      </w:r>
      <w:r>
        <w:t xml:space="preserve">. Global News.</w:t>
      </w:r>
      <w:r>
        <w:t xml:space="preserve"> </w:t>
      </w:r>
      <w:hyperlink r:id="rId58">
        <w:r>
          <w:rPr>
            <w:rStyle w:val="Hyperlink"/>
          </w:rPr>
          <w:t xml:space="preserve">https://globalnews.ca/news/10868587/via-rail-judicial-review-cn-rail-speed-restrictions/</w:t>
        </w:r>
      </w:hyperlink>
    </w:p>
    <w:bookmarkEnd w:id="59"/>
    <w:bookmarkStart w:id="61" w:name="ref-nao2006wcml"/>
    <w:p>
      <w:pPr>
        <w:pStyle w:val="Bibliography"/>
      </w:pPr>
      <w:r>
        <w:t xml:space="preserve">National Audit Office. (2006).</w:t>
      </w:r>
      <w:r>
        <w:t xml:space="preserve"> </w:t>
      </w:r>
      <w:r>
        <w:rPr>
          <w:i/>
          <w:iCs/>
        </w:rPr>
        <w:t xml:space="preserve">The modernisation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West Coast Main Line</w:t>
      </w:r>
      <w:r>
        <w:t xml:space="preserve"> </w:t>
      </w:r>
      <w:r>
        <w:t xml:space="preserve">(HC 22, session 2006-2007). National Audit Office.</w:t>
      </w:r>
      <w:r>
        <w:t xml:space="preserve"> </w:t>
      </w:r>
      <w:hyperlink r:id="rId60">
        <w:r>
          <w:rPr>
            <w:rStyle w:val="Hyperlink"/>
          </w:rPr>
          <w:t xml:space="preserve">https://www.nao.org.uk/reports/the-modernisation-of-the-west-coast-main-line/</w:t>
        </w:r>
      </w:hyperlink>
    </w:p>
    <w:bookmarkEnd w:id="61"/>
    <w:bookmarkStart w:id="63" w:name="ref-otc2016circulation"/>
    <w:p>
      <w:pPr>
        <w:pStyle w:val="Bibliography"/>
      </w:pPr>
      <w:r>
        <w:t xml:space="preserve">Office des transports du Canada. (2016).</w:t>
      </w:r>
      <w:r>
        <w:t xml:space="preserve"> </w:t>
      </w:r>
      <w:r>
        <w:rPr>
          <w:i/>
          <w:iCs/>
        </w:rPr>
        <w:t xml:space="preserve">Différends sur les droits de circulation et sur l’usage commun des voies</w:t>
      </w:r>
      <w:r>
        <w:t xml:space="preserve">. Gouvernement du Canada.</w:t>
      </w:r>
      <w:r>
        <w:t xml:space="preserve"> </w:t>
      </w:r>
      <w:hyperlink r:id="rId62">
        <w:r>
          <w:rPr>
            <w:rStyle w:val="Hyperlink"/>
          </w:rPr>
          <w:t xml:space="preserve">https://otc-cta.gc.ca/fra/differends-sur-droits-circulation-et-sur-lusage-commun-des-voies</w:t>
        </w:r>
      </w:hyperlink>
    </w:p>
    <w:bookmarkEnd w:id="63"/>
    <w:bookmarkStart w:id="65" w:name="ref-orr2021cadre"/>
    <w:p>
      <w:pPr>
        <w:pStyle w:val="Bibliography"/>
      </w:pPr>
      <w:r>
        <w:t xml:space="preserve">Office of Rail and Road. (2021).</w:t>
      </w:r>
      <w:r>
        <w:t xml:space="preserve"> </w:t>
      </w:r>
      <w:r>
        <w:rPr>
          <w:i/>
          <w:iCs/>
        </w:rPr>
        <w:t xml:space="preserve">The Statutory and Contractual Framework</w:t>
      </w:r>
      <w:r>
        <w:t xml:space="preserve"> </w:t>
      </w:r>
      <w:r>
        <w:t xml:space="preserve">[Module d'orientation sur l'acc\`es au r\'eseau]. Office of Rail; Road.</w:t>
      </w:r>
      <w:r>
        <w:t xml:space="preserve"> </w:t>
      </w:r>
      <w:hyperlink r:id="rId64">
        <w:r>
          <w:rPr>
            <w:rStyle w:val="Hyperlink"/>
          </w:rPr>
          <w:t xml:space="preserve">https://www.orr.gov.uk/sites/default/files/2021-07/guidance-on-the-statutory-and-contractual-framework.pdf</w:t>
        </w:r>
      </w:hyperlink>
    </w:p>
    <w:bookmarkEnd w:id="65"/>
    <w:bookmarkStart w:id="67" w:name="ref-orr2025wcml"/>
    <w:p>
      <w:pPr>
        <w:pStyle w:val="Bibliography"/>
      </w:pPr>
      <w:r>
        <w:t xml:space="preserve">Office of Rail and Road. (2025).</w:t>
      </w:r>
      <w:r>
        <w:t xml:space="preserve"> </w:t>
      </w:r>
      <w:r>
        <w:rPr>
          <w:i/>
          <w:iCs/>
        </w:rPr>
        <w:t xml:space="preserve">Applications for Access to the</w:t>
      </w:r>
      <w:r>
        <w:rPr>
          <w:i/>
          <w:iCs/>
        </w:rPr>
        <w:t xml:space="preserve"> </w:t>
      </w:r>
      <w:r>
        <w:rPr>
          <w:i/>
          <w:iCs/>
        </w:rPr>
        <w:t xml:space="preserve">West Coast Main Line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WCML</w:t>
      </w:r>
      <w:r>
        <w:rPr>
          <w:i/>
          <w:iCs/>
        </w:rPr>
        <w:t xml:space="preserve">): Decision Letter</w:t>
      </w:r>
      <w:r>
        <w:t xml:space="preserve"> </w:t>
      </w:r>
      <w:r>
        <w:t xml:space="preserve">[Lettre de d\'ecision]. Office of Rail; Road.</w:t>
      </w:r>
      <w:r>
        <w:t xml:space="preserve"> </w:t>
      </w:r>
      <w:hyperlink r:id="rId66">
        <w:r>
          <w:rPr>
            <w:rStyle w:val="Hyperlink"/>
          </w:rPr>
          <w:t xml:space="preserve">https://www.orr.gov.uk/sites/default/files/2025-07/2025-07-03-applications-for-access-to-the-west-coast-main-line-decision.pdf</w:t>
        </w:r>
      </w:hyperlink>
    </w:p>
    <w:bookmarkEnd w:id="67"/>
    <w:bookmarkStart w:id="69" w:name="ref-osm2026geofabrik"/>
    <w:p>
      <w:pPr>
        <w:pStyle w:val="Bibliography"/>
      </w:pPr>
      <w:r>
        <w:t xml:space="preserve">OpenStreetMap contributors. (2026).</w:t>
      </w:r>
      <w:r>
        <w:t xml:space="preserve"> </w:t>
      </w:r>
      <w:r>
        <w:rPr>
          <w:i/>
          <w:iCs/>
        </w:rPr>
        <w:t xml:space="preserve">Extraits</w:t>
      </w:r>
      <w:r>
        <w:rPr>
          <w:i/>
          <w:iCs/>
        </w:rPr>
        <w:t xml:space="preserve"> </w:t>
      </w:r>
      <w:r>
        <w:rPr>
          <w:i/>
          <w:iCs/>
        </w:rPr>
        <w:t xml:space="preserve">Ontario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Québec</w:t>
      </w:r>
      <w:r>
        <w:t xml:space="preserve">. Données cartographiques, Geofabrik.</w:t>
      </w:r>
      <w:r>
        <w:t xml:space="preserve"> </w:t>
      </w:r>
      <w:hyperlink r:id="rId68">
        <w:r>
          <w:rPr>
            <w:rStyle w:val="Hyperlink"/>
          </w:rPr>
          <w:t xml:space="preserve">https://download.geofabrik.de/</w:t>
        </w:r>
      </w:hyperlink>
    </w:p>
    <w:bookmarkEnd w:id="69"/>
    <w:bookmarkStart w:id="71" w:name="ref-ltc1996art138"/>
    <w:p>
      <w:pPr>
        <w:pStyle w:val="Bibliography"/>
      </w:pPr>
      <w:r>
        <w:t xml:space="preserve">Parlement du Canada. (1996).</w:t>
      </w:r>
      <w:r>
        <w:t xml:space="preserve"> </w:t>
      </w:r>
      <w:r>
        <w:rPr>
          <w:i/>
          <w:iCs/>
        </w:rPr>
        <w:t xml:space="preserve">Loi sur les transports au</w:t>
      </w:r>
      <w:r>
        <w:rPr>
          <w:i/>
          <w:iCs/>
        </w:rPr>
        <w:t xml:space="preserve"> </w:t>
      </w:r>
      <w:r>
        <w:rPr>
          <w:i/>
          <w:iCs/>
        </w:rPr>
        <w:t xml:space="preserve">Canada</w:t>
      </w:r>
      <w:r>
        <w:rPr>
          <w:i/>
          <w:iCs/>
        </w:rPr>
        <w:t xml:space="preserve">, L.C. 1996, ch. 10, art. 138 : droits de circulation</w:t>
      </w:r>
      <w:r>
        <w:t xml:space="preserve">. Site Web de la législation (Justice Canada).</w:t>
      </w:r>
      <w:r>
        <w:t xml:space="preserve"> </w:t>
      </w:r>
      <w:hyperlink r:id="rId70">
        <w:r>
          <w:rPr>
            <w:rStyle w:val="Hyperlink"/>
          </w:rPr>
          <w:t xml:space="preserve">https://laws-lois.justice.gc.ca/fra/lois/c-10.4/section-138.html</w:t>
        </w:r>
      </w:hyperlink>
    </w:p>
    <w:bookmarkEnd w:id="71"/>
    <w:bookmarkStart w:id="73" w:name="ref-railwaysact1993"/>
    <w:p>
      <w:pPr>
        <w:pStyle w:val="Bibliography"/>
      </w:pPr>
      <w:r>
        <w:t xml:space="preserve">Parlement du Royaume-Uni. (1993).</w:t>
      </w:r>
      <w:r>
        <w:t xml:space="preserve"> </w:t>
      </w:r>
      <w:r>
        <w:rPr>
          <w:i/>
          <w:iCs/>
        </w:rPr>
        <w:t xml:space="preserve">Railways Act 1993, c. 43, art. 17–22A : access agreements</w:t>
      </w:r>
      <w:r>
        <w:t xml:space="preserve">. legislation.gov.uk, version révisée.</w:t>
      </w:r>
      <w:r>
        <w:t xml:space="preserve"> </w:t>
      </w:r>
      <w:hyperlink r:id="rId72">
        <w:r>
          <w:rPr>
            <w:rStyle w:val="Hyperlink"/>
          </w:rPr>
          <w:t xml:space="preserve">https://www.legislation.gov.uk/ukpga/1993/43/section/17</w:t>
        </w:r>
      </w:hyperlink>
    </w:p>
    <w:bookmarkEnd w:id="73"/>
    <w:bookmarkStart w:id="75" w:name="ref-schittenhelm2011"/>
    <w:p>
      <w:pPr>
        <w:pStyle w:val="Bibliography"/>
      </w:pPr>
      <w:r>
        <w:t xml:space="preserve">Schittenhelm, B. (2011). Planning with timetable supplements in railway timetables.</w:t>
      </w:r>
      <w:r>
        <w:t xml:space="preserve"> </w:t>
      </w:r>
      <w:r>
        <w:rPr>
          <w:i/>
          <w:iCs/>
        </w:rPr>
        <w:t xml:space="preserve">Trafikdage på Aalborg Universitet 2011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https://journals.aau.dk/index.php/td/article/download/5554/4887</w:t>
        </w:r>
      </w:hyperlink>
    </w:p>
    <w:bookmarkEnd w:id="75"/>
    <w:bookmarkStart w:id="77" w:name="ref-sncf2023drr"/>
    <w:p>
      <w:pPr>
        <w:pStyle w:val="Bibliography"/>
      </w:pPr>
      <w:r>
        <w:t xml:space="preserve">SNCF Réseau. (2023).</w:t>
      </w:r>
      <w:r>
        <w:t xml:space="preserve"> </w:t>
      </w:r>
      <w:r>
        <w:rPr>
          <w:i/>
          <w:iCs/>
        </w:rPr>
        <w:t xml:space="preserve">Document de référence du réseau : annexe 4.1, horaire de service 2025</w:t>
      </w:r>
      <w:r>
        <w:t xml:space="preserve">. SNCF Réseau.</w:t>
      </w:r>
      <w:r>
        <w:t xml:space="preserve"> </w:t>
      </w:r>
      <w:hyperlink r:id="rId76">
        <w:r>
          <w:rPr>
            <w:rStyle w:val="Hyperlink"/>
          </w:rPr>
          <w:t xml:space="preserve">https://www.sncf-reseau.com/medias-publics/2023-12/DRR2025-annexe-4-1.pdf</w:t>
        </w:r>
      </w:hyperlink>
    </w:p>
    <w:bookmarkEnd w:id="77"/>
    <w:bookmarkStart w:id="79" w:name="ref-sogin2013doublement"/>
    <w:p>
      <w:pPr>
        <w:pStyle w:val="Bibliography"/>
      </w:pPr>
      <w:r>
        <w:t xml:space="preserve">Sogin, S. L., Dick, C. T., Lai, Y.-C., &amp; Barkan, C. P. L. (2013). Analyzing the Incremental Transition from Single to Double Track Railway Lines.</w:t>
      </w:r>
      <w:r>
        <w:t xml:space="preserve"> </w:t>
      </w:r>
      <w:r>
        <w:rPr>
          <w:i/>
          <w:iCs/>
        </w:rPr>
        <w:t xml:space="preserve">Proceedings of the IAROR 5th International Seminar on Railway Operations Modelling and Analysis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https://railtec.illinois.edu/wp/wp-content/uploads/2019/01/Sogin%20et%20al%202013b%20IAROR.pdf</w:t>
        </w:r>
      </w:hyperlink>
    </w:p>
    <w:bookmarkEnd w:id="79"/>
    <w:bookmarkStart w:id="81" w:name="ref-trafikverket2025jnb"/>
    <w:p>
      <w:pPr>
        <w:pStyle w:val="Bibliography"/>
      </w:pPr>
      <w:r>
        <w:t xml:space="preserve">Trafikverket. (2025).</w:t>
      </w:r>
      <w:r>
        <w:t xml:space="preserve"> </w:t>
      </w:r>
      <w:r>
        <w:rPr>
          <w:i/>
          <w:iCs/>
        </w:rPr>
        <w:t xml:space="preserve">Järnvägsnätsbeskrivning 2027, annexe 4 D : Kvalitetstillägg</w:t>
      </w:r>
      <w:r>
        <w:t xml:space="preserve">. Trafikverket.</w:t>
      </w:r>
      <w:r>
        <w:t xml:space="preserve"> </w:t>
      </w:r>
      <w:hyperlink r:id="rId80">
        <w:r>
          <w:rPr>
            <w:rStyle w:val="Hyperlink"/>
          </w:rPr>
          <w:t xml:space="preserve">https://bransch.trafikverket.se/contentassets/6526f430ae7f489aae8e88c06f2eef6b/jnb-2027-2025-12-05.pdf</w:t>
        </w:r>
      </w:hyperlink>
    </w:p>
    <w:bookmarkEnd w:id="81"/>
    <w:bookmarkStart w:id="83" w:name="ref-tc2022rrts"/>
    <w:p>
      <w:pPr>
        <w:pStyle w:val="Bibliography"/>
      </w:pPr>
      <w:r>
        <w:t xml:space="preserve">Transports Canada. (2022).</w:t>
      </w:r>
      <w:r>
        <w:t xml:space="preserve"> </w:t>
      </w:r>
      <w:r>
        <w:rPr>
          <w:i/>
          <w:iCs/>
        </w:rPr>
        <w:t xml:space="preserve">Règlement concernant la sécurité de la voie (</w:t>
      </w:r>
      <w:r>
        <w:rPr>
          <w:i/>
          <w:iCs/>
        </w:rPr>
        <w:t xml:space="preserve">Rules Respecting Track Safety</w:t>
      </w:r>
      <w:r>
        <w:rPr>
          <w:i/>
          <w:iCs/>
        </w:rPr>
        <w:t xml:space="preserve">), partie II, Subpart C : Track geometry</w:t>
      </w:r>
      <w:r>
        <w:t xml:space="preserve">. Gouvernement du Canada.</w:t>
      </w:r>
      <w:r>
        <w:t xml:space="preserve"> </w:t>
      </w:r>
      <w:hyperlink r:id="rId82">
        <w:r>
          <w:rPr>
            <w:rStyle w:val="Hyperlink"/>
          </w:rPr>
          <w:t xml:space="preserve">https://tc.canada.ca/en/rail-transportation/rules/2022-2023/rules-respecting-track-safety/subpart-c</w:t>
        </w:r>
      </w:hyperlink>
    </w:p>
    <w:bookmarkEnd w:id="83"/>
    <w:bookmarkStart w:id="85" w:name="ref-tc2023inventairepn"/>
    <w:p>
      <w:pPr>
        <w:pStyle w:val="Bibliography"/>
      </w:pPr>
      <w:r>
        <w:t xml:space="preserve">Transports Canada. (2023).</w:t>
      </w:r>
      <w:r>
        <w:t xml:space="preserve"> </w:t>
      </w:r>
      <w:r>
        <w:rPr>
          <w:i/>
          <w:iCs/>
        </w:rPr>
        <w:t xml:space="preserve">Inventaire des passages à niveau</w:t>
      </w:r>
      <w:r>
        <w:t xml:space="preserve">. Jeu de données, Gouvernement du Canada, Portail du gouvernement ouvert.</w:t>
      </w:r>
      <w:r>
        <w:t xml:space="preserve"> </w:t>
      </w:r>
      <w:hyperlink r:id="rId84">
        <w:r>
          <w:rPr>
            <w:rStyle w:val="Hyperlink"/>
          </w:rPr>
          <w:t xml:space="preserve">https://ouvert.canada.ca/data/fr/dataset/d0f54727-6c0b-4e5a-aa04-ea1463cf9f4c</w:t>
        </w:r>
      </w:hyperlink>
    </w:p>
    <w:bookmarkEnd w:id="85"/>
    <w:bookmarkStart w:id="87" w:name="ref-tc2025gcp"/>
    <w:p>
      <w:pPr>
        <w:pStyle w:val="Bibliography"/>
      </w:pPr>
      <w:r>
        <w:t xml:space="preserve">Transports Canada. (2025).</w:t>
      </w:r>
      <w:r>
        <w:t xml:space="preserve"> </w:t>
      </w:r>
      <w:r>
        <w:rPr>
          <w:i/>
          <w:iCs/>
        </w:rPr>
        <w:t xml:space="preserve">3.</w:t>
      </w:r>
      <w:r>
        <w:rPr>
          <w:i/>
          <w:iCs/>
        </w:rPr>
        <w:t xml:space="preserve"> </w:t>
      </w:r>
      <w:r>
        <w:rPr>
          <w:i/>
          <w:iCs/>
        </w:rPr>
        <w:t xml:space="preserve">PIC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Operating restrictions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Quebec City-Windsor</w:t>
      </w:r>
      <w:r>
        <w:rPr>
          <w:i/>
          <w:iCs/>
        </w:rPr>
        <w:t xml:space="preserve"> </w:t>
      </w:r>
      <w:r>
        <w:rPr>
          <w:i/>
          <w:iCs/>
        </w:rPr>
        <w:t xml:space="preserve">corridor</w:t>
      </w:r>
      <w:r>
        <w:t xml:space="preserve">. Cahier de transition, Gouvernement du Canada.</w:t>
      </w:r>
      <w:r>
        <w:t xml:space="preserve"> </w:t>
      </w:r>
      <w:hyperlink r:id="rId86">
        <w:r>
          <w:rPr>
            <w:rStyle w:val="Hyperlink"/>
          </w:rPr>
          <w:t xml:space="preserve">https://tc.canada.ca/en/binder/3-pic-operating-restrictions-via-rail-quebec-city-windsor-corridor</w:t>
        </w:r>
      </w:hyperlink>
    </w:p>
    <w:bookmarkEnd w:id="87"/>
    <w:bookmarkStart w:id="88" w:name="ref-uic2000f451"/>
    <w:p>
      <w:pPr>
        <w:pStyle w:val="Bibliography"/>
      </w:pPr>
      <w:r>
        <w:t xml:space="preserve">Union internationale des chemins de fer. (2000).</w:t>
      </w:r>
      <w:r>
        <w:t xml:space="preserve"> </w:t>
      </w:r>
      <w:r>
        <w:rPr>
          <w:i/>
          <w:iCs/>
        </w:rPr>
        <w:t xml:space="preserve">Marges de régularité à prévoir dans les horaires dans le but de garantir la ponctualité du service : marges de régularité</w:t>
      </w:r>
      <w:r>
        <w:t xml:space="preserve"> </w:t>
      </w:r>
      <w:r>
        <w:t xml:space="preserve">[Fiche UIC 451-1/F/4, 4e \'ed.]. UIC.</w:t>
      </w:r>
    </w:p>
    <w:bookmarkEnd w:id="88"/>
    <w:bookmarkStart w:id="90" w:name="ref-via2009lrc"/>
    <w:p>
      <w:pPr>
        <w:pStyle w:val="Bibliography"/>
      </w:pPr>
      <w:r>
        <w:t xml:space="preserve">VIA Rail Canada. (2009).</w:t>
      </w:r>
      <w:r>
        <w:t xml:space="preserve"> </w:t>
      </w:r>
      <w:r>
        <w:rPr>
          <w:i/>
          <w:iCs/>
        </w:rPr>
        <w:t xml:space="preserve">An all-</w:t>
      </w:r>
      <w:r>
        <w:rPr>
          <w:i/>
          <w:iCs/>
        </w:rPr>
        <w:t xml:space="preserve">Canadian</w:t>
      </w:r>
      <w:r>
        <w:rPr>
          <w:i/>
          <w:iCs/>
        </w:rPr>
        <w:t xml:space="preserve"> </w:t>
      </w:r>
      <w:r>
        <w:rPr>
          <w:i/>
          <w:iCs/>
        </w:rPr>
        <w:t xml:space="preserve">rail innovation from roof to wheels</w:t>
      </w:r>
      <w:r>
        <w:t xml:space="preserve">. Document d’information.</w:t>
      </w:r>
      <w:r>
        <w:t xml:space="preserve"> </w:t>
      </w:r>
      <w:hyperlink r:id="rId89">
        <w:r>
          <w:rPr>
            <w:rStyle w:val="Hyperlink"/>
          </w:rPr>
          <w:t xml:space="preserve">https://www.viarail.ca/sites/all/files/media/pdfs/About_VIA/our-company/capital-investment-plan/BK090501E%20-%20VIA%20LRC.pdf</w:t>
        </w:r>
      </w:hyperlink>
    </w:p>
    <w:bookmarkEnd w:id="90"/>
    <w:bookmarkStart w:id="92" w:name="ref-via2025rapportannuel"/>
    <w:p>
      <w:pPr>
        <w:pStyle w:val="Bibliography"/>
      </w:pPr>
      <w:r>
        <w:t xml:space="preserve">VIA Rail Canada. (2025a).</w:t>
      </w:r>
      <w:r>
        <w:t xml:space="preserve"> </w:t>
      </w:r>
      <w:r>
        <w:rPr>
          <w:i/>
          <w:iCs/>
        </w:rPr>
        <w:t xml:space="preserve">Rapport annuel 2024</w:t>
      </w:r>
      <w:r>
        <w:t xml:space="preserve">.</w:t>
      </w:r>
      <w:r>
        <w:t xml:space="preserve"> </w:t>
      </w:r>
      <w:hyperlink r:id="rId91">
        <w:r>
          <w:rPr>
            <w:rStyle w:val="Hyperlink"/>
          </w:rPr>
          <w:t xml:space="preserve">https://media.viarail.ca/sites/default/files/publications/VIA-Rail_Annual-Report_2024.pdf</w:t>
        </w:r>
      </w:hyperlink>
    </w:p>
    <w:bookmarkEnd w:id="92"/>
    <w:bookmarkStart w:id="94" w:name="ref-via2025t1"/>
    <w:p>
      <w:pPr>
        <w:pStyle w:val="Bibliography"/>
      </w:pPr>
      <w:r>
        <w:t xml:space="preserve">VIA Rail Canada. (2025b).</w:t>
      </w:r>
      <w:r>
        <w:t xml:space="preserve"> </w:t>
      </w:r>
      <w:r>
        <w:rPr>
          <w:i/>
          <w:iCs/>
        </w:rPr>
        <w:t xml:space="preserve">Rapport du premier trimestre 2025</w:t>
      </w:r>
      <w:r>
        <w:t xml:space="preserve">.</w:t>
      </w:r>
      <w:r>
        <w:t xml:space="preserve"> </w:t>
      </w:r>
      <w:hyperlink r:id="rId93">
        <w:r>
          <w:rPr>
            <w:rStyle w:val="Hyperlink"/>
          </w:rPr>
          <w:t xml:space="preserve">https://media.viarail.ca/sites/default/files/publications/2025_VIA-Rail_First-Quarter-Report.pdf</w:t>
        </w:r>
      </w:hyperlink>
    </w:p>
    <w:bookmarkEnd w:id="94"/>
    <w:bookmarkStart w:id="96" w:name="ref-viarail2026gtfs"/>
    <w:p>
      <w:pPr>
        <w:pStyle w:val="Bibliography"/>
      </w:pPr>
      <w:r>
        <w:t xml:space="preserve">VIA Rail Canada. (2026).</w:t>
      </w:r>
      <w:r>
        <w:t xml:space="preserve"> </w:t>
      </w:r>
      <w:r>
        <w:rPr>
          <w:i/>
          <w:iCs/>
        </w:rPr>
        <w:t xml:space="preserve">Données</w:t>
      </w:r>
      <w:r>
        <w:rPr>
          <w:i/>
          <w:iCs/>
        </w:rPr>
        <w:t xml:space="preserve"> </w:t>
      </w:r>
      <w:r>
        <w:rPr>
          <w:i/>
          <w:iCs/>
        </w:rPr>
        <w:t xml:space="preserve">GTFS</w:t>
      </w:r>
      <w:r>
        <w:rPr>
          <w:i/>
          <w:iCs/>
        </w:rPr>
        <w:t xml:space="preserve"> </w:t>
      </w:r>
      <w:r>
        <w:rPr>
          <w:i/>
          <w:iCs/>
        </w:rPr>
        <w:t xml:space="preserve">du réseau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t xml:space="preserve">. Jeu de données.</w:t>
      </w:r>
      <w:r>
        <w:t xml:space="preserve"> </w:t>
      </w:r>
      <w:hyperlink r:id="rId95">
        <w:r>
          <w:rPr>
            <w:rStyle w:val="Hyperlink"/>
          </w:rPr>
          <w:t xml:space="preserve">https://www.viarail.ca/fr/developpeurs</w:t>
        </w:r>
      </w:hyperlink>
    </w:p>
    <w:bookmarkEnd w:id="96"/>
    <w:bookmarkStart w:id="98" w:name="ref-wcml2026wiki"/>
    <w:p>
      <w:pPr>
        <w:pStyle w:val="Bibliography"/>
      </w:pPr>
      <w:r>
        <w:t xml:space="preserve">Wikipédia. (2026).</w:t>
      </w:r>
      <w:r>
        <w:t xml:space="preserve"> </w:t>
      </w:r>
      <w:r>
        <w:rPr>
          <w:i/>
          <w:iCs/>
        </w:rPr>
        <w:t xml:space="preserve">West Coast Main Line</w:t>
      </w:r>
      <w:r>
        <w:rPr>
          <w:i/>
          <w:iCs/>
        </w:rPr>
        <w:t xml:space="preserve"> </w:t>
      </w:r>
      <w:r>
        <w:rPr>
          <w:i/>
          <w:iCs/>
        </w:rPr>
        <w:t xml:space="preserve">route modernisation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https://en.wikipedia.org/wiki/West_Coast_Main_Line_route_modernisation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2" Type="http://schemas.openxmlformats.org/officeDocument/2006/relationships/image" Target="media/rId12.png"/><Relationship Id="rId9" Type="http://schemas.openxmlformats.org/officeDocument/2006/relationships/image" Target="media/rId9.png"/><Relationship Id="rId35" Type="http://schemas.openxmlformats.org/officeDocument/2006/relationships/hyperlink" Target="https://amtrakoig.gov/sites/default/files/reports/OIG-A-2020-001%20OTP%20mandate.pdf" TargetMode="External"/><Relationship Id="rId80" Type="http://schemas.openxmlformats.org/officeDocument/2006/relationships/hyperlink" Target="https://bransch.trafikverket.se/contentassets/6526f430ae7f489aae8e88c06f2eef6b/jnb-2027-2025-12-05.pdf" TargetMode="External"/><Relationship Id="rId46" Type="http://schemas.openxmlformats.org/officeDocument/2006/relationships/hyperlink" Target="https://doi.org/10.1177/0361198119841852" TargetMode="External"/><Relationship Id="rId68" Type="http://schemas.openxmlformats.org/officeDocument/2006/relationships/hyperlink" Target="https://download.geofabrik.de/" TargetMode="External"/><Relationship Id="rId97" Type="http://schemas.openxmlformats.org/officeDocument/2006/relationships/hyperlink" Target="https://en.wikipedia.org/wiki/West_Coast_Main_Line_route_modernisation" TargetMode="External"/><Relationship Id="rId37" Type="http://schemas.openxmlformats.org/officeDocument/2006/relationships/hyperlink" Target="https://exporail.org/canrail/canadian_rail_1962_1989/canadian-rail-296-1976.pdf" TargetMode="External"/><Relationship Id="rId58" Type="http://schemas.openxmlformats.org/officeDocument/2006/relationships/hyperlink" Target="https://globalnews.ca/news/10868587/via-rail-judicial-review-cn-rail-speed-restrictions/" TargetMode="External"/><Relationship Id="rId74" Type="http://schemas.openxmlformats.org/officeDocument/2006/relationships/hyperlink" Target="https://journals.aau.dk/index.php/td/article/download/5554/4887" TargetMode="External"/><Relationship Id="rId70" Type="http://schemas.openxmlformats.org/officeDocument/2006/relationships/hyperlink" Target="https://laws-lois.justice.gc.ca/fra/lois/c-10.4/section-138.html" TargetMode="External"/><Relationship Id="rId93" Type="http://schemas.openxmlformats.org/officeDocument/2006/relationships/hyperlink" Target="https://media.viarail.ca/sites/default/files/publications/2025_VIA-Rail_First-Quarter-Report.pdf" TargetMode="External"/><Relationship Id="rId91" Type="http://schemas.openxmlformats.org/officeDocument/2006/relationships/hyperlink" Target="https://media.viarail.ca/sites/default/files/publications/VIA-Rail_Annual-Report_2024.pdf" TargetMode="External"/><Relationship Id="rId62" Type="http://schemas.openxmlformats.org/officeDocument/2006/relationships/hyperlink" Target="https://otc-cta.gc.ca/fra/differends-sur-droits-circulation-et-sur-lusage-commun-des-voies" TargetMode="External"/><Relationship Id="rId84" Type="http://schemas.openxmlformats.org/officeDocument/2006/relationships/hyperlink" Target="https://ouvert.canada.ca/data/fr/dataset/d0f54727-6c0b-4e5a-aa04-ea1463cf9f4c" TargetMode="External"/><Relationship Id="rId54" Type="http://schemas.openxmlformats.org/officeDocument/2006/relationships/hyperlink" Target="https://railroads.dot.gov/research-development/program-areas/train-control/ptc/incremental-train-control-system" TargetMode="External"/><Relationship Id="rId56" Type="http://schemas.openxmlformats.org/officeDocument/2006/relationships/hyperlink" Target="https://railroads.dot.gov/sites/fra.dot.gov/files/fra_net/17118/Chapter%202%20Alternatives%20Considered.pdf" TargetMode="External"/><Relationship Id="rId52" Type="http://schemas.openxmlformats.org/officeDocument/2006/relationships/hyperlink" Target="https://railroads.dot.gov/sites/fra.dot.gov/files/fra_net/17524/ptc_ben_cost_report.pdf" TargetMode="External"/><Relationship Id="rId50" Type="http://schemas.openxmlformats.org/officeDocument/2006/relationships/hyperlink" Target="https://railroads.dot.gov/sites/fra.dot.gov/files/fra_net/19085/Superelevation.pdf" TargetMode="External"/><Relationship Id="rId41" Type="http://schemas.openxmlformats.org/officeDocument/2006/relationships/hyperlink" Target="https://railroads.dot.gov/sites/fra.dot.gov/files/fra_net/300/ord0917.pdf" TargetMode="External"/><Relationship Id="rId78" Type="http://schemas.openxmlformats.org/officeDocument/2006/relationships/hyperlink" Target="https://railtec.illinois.edu/wp/wp-content/uploads/2019/01/Sogin%20et%20al%202013b%20IAROR.pdf" TargetMode="External"/><Relationship Id="rId39" Type="http://schemas.openxmlformats.org/officeDocument/2006/relationships/hyperlink" Target="https://spacing.ca/toronto/2015/12/09/53711/" TargetMode="External"/><Relationship Id="rId86" Type="http://schemas.openxmlformats.org/officeDocument/2006/relationships/hyperlink" Target="https://tc.canada.ca/en/binder/3-pic-operating-restrictions-via-rail-quebec-city-windsor-corridor" TargetMode="External"/><Relationship Id="rId82" Type="http://schemas.openxmlformats.org/officeDocument/2006/relationships/hyperlink" Target="https://tc.canada.ca/en/rail-transportation/rules/2022-2023/rules-respecting-track-safety/subpart-c" TargetMode="External"/><Relationship Id="rId33" Type="http://schemas.openxmlformats.org/officeDocument/2006/relationships/hyperlink" Target="https://www.altotrain.ca/en/about-alto" TargetMode="External"/><Relationship Id="rId44" Type="http://schemas.openxmlformats.org/officeDocument/2006/relationships/hyperlink" Target="https://www.cbc.ca/news/canada/ottawa/via-montreal-toronto-pilot-that-skipped-eastern-ontario-postponed-1.7646512" TargetMode="External"/><Relationship Id="rId48" Type="http://schemas.openxmlformats.org/officeDocument/2006/relationships/hyperlink" Target="https://www.ecfr.gov/current/title-49/section-213.347" TargetMode="External"/><Relationship Id="rId72" Type="http://schemas.openxmlformats.org/officeDocument/2006/relationships/hyperlink" Target="https://www.legislation.gov.uk/ukpga/1993/43/section/17" TargetMode="External"/><Relationship Id="rId60" Type="http://schemas.openxmlformats.org/officeDocument/2006/relationships/hyperlink" Target="https://www.nao.org.uk/reports/the-modernisation-of-the-west-coast-main-line/" TargetMode="External"/><Relationship Id="rId64" Type="http://schemas.openxmlformats.org/officeDocument/2006/relationships/hyperlink" Target="https://www.orr.gov.uk/sites/default/files/2021-07/guidance-on-the-statutory-and-contractual-framework.pdf" TargetMode="External"/><Relationship Id="rId66" Type="http://schemas.openxmlformats.org/officeDocument/2006/relationships/hyperlink" Target="https://www.orr.gov.uk/sites/default/files/2025-07/2025-07-03-applications-for-access-to-the-west-coast-main-line-decision.pdf" TargetMode="External"/><Relationship Id="rId76" Type="http://schemas.openxmlformats.org/officeDocument/2006/relationships/hyperlink" Target="https://www.sncf-reseau.com/medias-publics/2023-12/DRR2025-annexe-4-1.pdf" TargetMode="External"/><Relationship Id="rId95" Type="http://schemas.openxmlformats.org/officeDocument/2006/relationships/hyperlink" Target="https://www.viarail.ca/fr/developpeurs" TargetMode="External"/><Relationship Id="rId89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amtrakoig.gov/sites/default/files/reports/OIG-A-2020-001%20OTP%20mandate.pdf" TargetMode="External"/><Relationship Id="rId80" Type="http://schemas.openxmlformats.org/officeDocument/2006/relationships/hyperlink" Target="https://bransch.trafikverket.se/contentassets/6526f430ae7f489aae8e88c06f2eef6b/jnb-2027-2025-12-05.pdf" TargetMode="External"/><Relationship Id="rId46" Type="http://schemas.openxmlformats.org/officeDocument/2006/relationships/hyperlink" Target="https://doi.org/10.1177/0361198119841852" TargetMode="External"/><Relationship Id="rId68" Type="http://schemas.openxmlformats.org/officeDocument/2006/relationships/hyperlink" Target="https://download.geofabrik.de/" TargetMode="External"/><Relationship Id="rId97" Type="http://schemas.openxmlformats.org/officeDocument/2006/relationships/hyperlink" Target="https://en.wikipedia.org/wiki/West_Coast_Main_Line_route_modernisation" TargetMode="External"/><Relationship Id="rId37" Type="http://schemas.openxmlformats.org/officeDocument/2006/relationships/hyperlink" Target="https://exporail.org/canrail/canadian_rail_1962_1989/canadian-rail-296-1976.pdf" TargetMode="External"/><Relationship Id="rId58" Type="http://schemas.openxmlformats.org/officeDocument/2006/relationships/hyperlink" Target="https://globalnews.ca/news/10868587/via-rail-judicial-review-cn-rail-speed-restrictions/" TargetMode="External"/><Relationship Id="rId74" Type="http://schemas.openxmlformats.org/officeDocument/2006/relationships/hyperlink" Target="https://journals.aau.dk/index.php/td/article/download/5554/4887" TargetMode="External"/><Relationship Id="rId70" Type="http://schemas.openxmlformats.org/officeDocument/2006/relationships/hyperlink" Target="https://laws-lois.justice.gc.ca/fra/lois/c-10.4/section-138.html" TargetMode="External"/><Relationship Id="rId93" Type="http://schemas.openxmlformats.org/officeDocument/2006/relationships/hyperlink" Target="https://media.viarail.ca/sites/default/files/publications/2025_VIA-Rail_First-Quarter-Report.pdf" TargetMode="External"/><Relationship Id="rId91" Type="http://schemas.openxmlformats.org/officeDocument/2006/relationships/hyperlink" Target="https://media.viarail.ca/sites/default/files/publications/VIA-Rail_Annual-Report_2024.pdf" TargetMode="External"/><Relationship Id="rId62" Type="http://schemas.openxmlformats.org/officeDocument/2006/relationships/hyperlink" Target="https://otc-cta.gc.ca/fra/differends-sur-droits-circulation-et-sur-lusage-commun-des-voies" TargetMode="External"/><Relationship Id="rId84" Type="http://schemas.openxmlformats.org/officeDocument/2006/relationships/hyperlink" Target="https://ouvert.canada.ca/data/fr/dataset/d0f54727-6c0b-4e5a-aa04-ea1463cf9f4c" TargetMode="External"/><Relationship Id="rId54" Type="http://schemas.openxmlformats.org/officeDocument/2006/relationships/hyperlink" Target="https://railroads.dot.gov/research-development/program-areas/train-control/ptc/incremental-train-control-system" TargetMode="External"/><Relationship Id="rId56" Type="http://schemas.openxmlformats.org/officeDocument/2006/relationships/hyperlink" Target="https://railroads.dot.gov/sites/fra.dot.gov/files/fra_net/17118/Chapter%202%20Alternatives%20Considered.pdf" TargetMode="External"/><Relationship Id="rId52" Type="http://schemas.openxmlformats.org/officeDocument/2006/relationships/hyperlink" Target="https://railroads.dot.gov/sites/fra.dot.gov/files/fra_net/17524/ptc_ben_cost_report.pdf" TargetMode="External"/><Relationship Id="rId50" Type="http://schemas.openxmlformats.org/officeDocument/2006/relationships/hyperlink" Target="https://railroads.dot.gov/sites/fra.dot.gov/files/fra_net/19085/Superelevation.pdf" TargetMode="External"/><Relationship Id="rId41" Type="http://schemas.openxmlformats.org/officeDocument/2006/relationships/hyperlink" Target="https://railroads.dot.gov/sites/fra.dot.gov/files/fra_net/300/ord0917.pdf" TargetMode="External"/><Relationship Id="rId78" Type="http://schemas.openxmlformats.org/officeDocument/2006/relationships/hyperlink" Target="https://railtec.illinois.edu/wp/wp-content/uploads/2019/01/Sogin%20et%20al%202013b%20IAROR.pdf" TargetMode="External"/><Relationship Id="rId39" Type="http://schemas.openxmlformats.org/officeDocument/2006/relationships/hyperlink" Target="https://spacing.ca/toronto/2015/12/09/53711/" TargetMode="External"/><Relationship Id="rId86" Type="http://schemas.openxmlformats.org/officeDocument/2006/relationships/hyperlink" Target="https://tc.canada.ca/en/binder/3-pic-operating-restrictions-via-rail-quebec-city-windsor-corridor" TargetMode="External"/><Relationship Id="rId82" Type="http://schemas.openxmlformats.org/officeDocument/2006/relationships/hyperlink" Target="https://tc.canada.ca/en/rail-transportation/rules/2022-2023/rules-respecting-track-safety/subpart-c" TargetMode="External"/><Relationship Id="rId33" Type="http://schemas.openxmlformats.org/officeDocument/2006/relationships/hyperlink" Target="https://www.altotrain.ca/en/about-alto" TargetMode="External"/><Relationship Id="rId44" Type="http://schemas.openxmlformats.org/officeDocument/2006/relationships/hyperlink" Target="https://www.cbc.ca/news/canada/ottawa/via-montreal-toronto-pilot-that-skipped-eastern-ontario-postponed-1.7646512" TargetMode="External"/><Relationship Id="rId48" Type="http://schemas.openxmlformats.org/officeDocument/2006/relationships/hyperlink" Target="https://www.ecfr.gov/current/title-49/section-213.347" TargetMode="External"/><Relationship Id="rId72" Type="http://schemas.openxmlformats.org/officeDocument/2006/relationships/hyperlink" Target="https://www.legislation.gov.uk/ukpga/1993/43/section/17" TargetMode="External"/><Relationship Id="rId60" Type="http://schemas.openxmlformats.org/officeDocument/2006/relationships/hyperlink" Target="https://www.nao.org.uk/reports/the-modernisation-of-the-west-coast-main-line/" TargetMode="External"/><Relationship Id="rId64" Type="http://schemas.openxmlformats.org/officeDocument/2006/relationships/hyperlink" Target="https://www.orr.gov.uk/sites/default/files/2021-07/guidance-on-the-statutory-and-contractual-framework.pdf" TargetMode="External"/><Relationship Id="rId66" Type="http://schemas.openxmlformats.org/officeDocument/2006/relationships/hyperlink" Target="https://www.orr.gov.uk/sites/default/files/2025-07/2025-07-03-applications-for-access-to-the-west-coast-main-line-decision.pdf" TargetMode="External"/><Relationship Id="rId76" Type="http://schemas.openxmlformats.org/officeDocument/2006/relationships/hyperlink" Target="https://www.sncf-reseau.com/medias-publics/2023-12/DRR2025-annexe-4-1.pdf" TargetMode="External"/><Relationship Id="rId95" Type="http://schemas.openxmlformats.org/officeDocument/2006/relationships/hyperlink" Target="https://www.viarail.ca/fr/developpeurs" TargetMode="External"/><Relationship Id="rId89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Corridor Québec-Toronto : ce que la voie existante permet</dc:title>
  <dc:creator>Étude préparée pour Vision Transport (François Rebello) par Vincent Duguay</dc:creator>
  <dc:language>fr-CA</dc:language>
  <cp:keywords/>
  <dcterms:created xsi:type="dcterms:W3CDTF">2026-08-17T23:01:09Z</dcterms:created>
  <dcterms:modified xsi:type="dcterms:W3CDTF">2026-08-17T23:01:09Z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sources/refs.bib</vt:lpwstr>
  </property>
  <property fmtid="{D5CDD505-2E9C-101B-9397-08002B2CF9AE}" pid="3" name="csl">
    <vt:lpwstr>sources/apa.csl</vt:lpwstr>
  </property>
  <property fmtid="{D5CDD505-2E9C-101B-9397-08002B2CF9AE}" pid="4" name="date">
    <vt:lpwstr>Août 2026</vt:lpwstr>
  </property>
  <property fmtid="{D5CDD505-2E9C-101B-9397-08002B2CF9AE}" pid="5" name="link-citations">
    <vt:lpwstr>True</vt:lpwstr>
  </property>
  <property fmtid="{D5CDD505-2E9C-101B-9397-08002B2CF9AE}" pid="6" name="numbersections">
    <vt:lpwstr>True</vt:lpwstr>
  </property>
  <property fmtid="{D5CDD505-2E9C-101B-9397-08002B2CF9AE}" pid="7" name="subtitle">
    <vt:lpwstr>Temps de parcours du scénario recommandé, et ce qui les retient : géométrie, passages à niveau, signalisation, doublement et régime de cohabitation</vt:lpwstr>
  </property>
</Properties>
</file>