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Québec-Windsor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François Rebello [AUTEUR À COMPLÉTER]</w:t>
      </w:r>
    </w:p>
    <w:p>
      <w:pPr>
        <w:pStyle w:val="Date"/>
      </w:pPr>
      <w:r>
        <w:t xml:space="preserve">Brouillon, août 2026</w:t>
      </w:r>
    </w:p>
    <w:bookmarkStart w:id="9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se lit dans une seule table, construite en additionnant quatre choses</w:t>
      </w:r>
      <w:r>
        <w:t xml:space="preserve"> </w:t>
      </w:r>
      <w:r>
        <w:t xml:space="preserve">que l’on peut compter : le temps que les courbes permettent, le temps des zones urbaines</w:t>
      </w:r>
      <w:r>
        <w:t xml:space="preserve"> </w:t>
      </w:r>
      <w:r>
        <w:t xml:space="preserve">(figé à l’horaire actuel), le temps des arrêts, et une marge d’exploitation que l’étude</w:t>
      </w:r>
      <w:r>
        <w:t xml:space="preserve"> </w:t>
      </w:r>
      <w:r>
        <w:t xml:space="preserve">encadre entre deux bornes au lieu de la deviner.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</w:t>
      </w:r>
    </w:p>
    <w:p>
      <w:pPr>
        <w:pStyle w:val="BodyText"/>
      </w:pPr>
      <w:r>
        <w:rPr>
          <w:b/>
          <w:bCs/>
        </w:rPr>
        <w:t xml:space="preserve">Temps Montréal-Toronto (539 km).</w:t>
      </w:r>
      <w:r>
        <w:t xml:space="preserve"> </w:t>
      </w:r>
      <w:r>
        <w:t xml:space="preserve">Horaire actuel : 5 h 18. Le « temps de base »</w:t>
      </w:r>
      <w:r>
        <w:t xml:space="preserve"> </w:t>
      </w:r>
      <w:r>
        <w:t xml:space="preserve">est le temps calculé sans marge (courbes + zones urbaines figées + arrêts) ; la</w:t>
      </w:r>
      <w:r>
        <w:t xml:space="preserve"> </w:t>
      </w:r>
      <w:r>
        <w:t xml:space="preserve">fourchette applique la marge, de la borne normative (9 %) à la marge actuelle du tronçon.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S3, bande 200 km/h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 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h 19 à 4 h 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 (référence, exige zéro passage à niveau)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300 km/h (référence, idem + contrôle intégral)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t xml:space="preserve">La combinaison cohérente avec le régime réglementaire actuel est</w:t>
      </w:r>
      <w:r>
        <w:t xml:space="preserve"> </w:t>
      </w:r>
      <w:r>
        <w:rPr>
          <w:b/>
          <w:bCs/>
        </w:rPr>
        <w:t xml:space="preserve">S3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le meilleur train sur la voie existante, sans franchir le mur des</w:t>
      </w:r>
      <w:r>
        <w:t xml:space="preserve"> </w:t>
      </w:r>
      <w:r>
        <w:t xml:space="preserve">passages à niveau ni changer la signalisation au-delà du contrôle en cabine</w:t>
      </w:r>
      <w:r>
        <w:t xml:space="preserve"> </w:t>
      </w:r>
      <w:r>
        <w:t xml:space="preserve">(sections 5 et 6). Les bandes 250 et 300 sont des références : elles chiffrent ce</w:t>
      </w:r>
      <w:r>
        <w:t xml:space="preserve"> </w:t>
      </w:r>
      <w:r>
        <w:t xml:space="preserve">que l’élimination des passages et le contrôle intégral achèteraient en plus.</w:t>
      </w:r>
    </w:p>
    <w:p>
      <w:pPr>
        <w:pStyle w:val="BodyText"/>
      </w:pPr>
      <w:r>
        <w:rPr>
          <w:b/>
          <w:bCs/>
        </w:rPr>
        <w:t xml:space="preserve">Temps Montréal-Québec (270 km).</w:t>
      </w:r>
      <w:r>
        <w:t xml:space="preserve"> </w:t>
      </w:r>
      <w:r>
        <w:t xml:space="preserve">Horaire actuel : 3 h 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S3, bande 200 km/h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h 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h 20 à 2 h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 (référence)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</w:tr>
    </w:tbl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km/h, et plus aucun kilomètre sous 100 km/h.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9"/>
    <w:bookmarkStart w:id="13" w:name="méthode-et-périmètre"/>
    <w:p>
      <w:pPr>
        <w:pStyle w:val="Heading1"/>
      </w:pPr>
      <w:r>
        <w:t xml:space="preserve">Méthode et périmètre</w:t>
      </w:r>
    </w:p>
    <w:bookmarkStart w:id="10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tronçon, pour une bande de vitesse et un scénario donnés, est</w:t>
      </w:r>
      <w:r>
        <w:t xml:space="preserve"> </w:t>
      </w:r>
      <w:r>
        <w:t xml:space="preserve">la somme de quatre termes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 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0"/>
    <w:bookmarkStart w:id="11" w:name="les-données"/>
    <w:p>
      <w:pPr>
        <w:pStyle w:val="Heading2"/>
      </w:pPr>
      <w:r>
        <w:t xml:space="preserve">Les données</w:t>
      </w:r>
    </w:p>
    <w:p>
      <w:pPr>
        <w:pStyle w:val="FirstParagraph"/>
      </w:pPr>
      <w:r>
        <w:t xml:space="preserve">Géométrie : tracé VIA reconstruit par appariement des données d’horaires ouvertes de VIA (GTFS) sur le</w:t>
      </w:r>
      <w:r>
        <w:t xml:space="preserve"> </w:t>
      </w:r>
      <w:r>
        <w:t xml:space="preserve">graphe ferroviaire OpenStreetMap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;</w:t>
      </w:r>
      <w:r>
        <w:t xml:space="preserve"> 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, rayon de</w:t>
      </w:r>
      <w:r>
        <w:t xml:space="preserve"> </w:t>
      </w:r>
      <w:r>
        <w:t xml:space="preserve">courbure calculé tous les 10 mètres, validé par quatre passes de contre-vérification</w:t>
      </w:r>
      <w:r>
        <w:t xml:space="preserve"> </w:t>
      </w:r>
      <w:r>
        <w:t xml:space="preserve">indépendantes lors des phases antérieures du projet. Nombre de voies : détection</w:t>
      </w:r>
      <w:r>
        <w:t xml:space="preserve"> </w:t>
      </w:r>
      <w:r>
        <w:t xml:space="preserve">géométrique des voies parallèles dans OpenStreetMap, corroborée par les rapports du</w:t>
      </w:r>
      <w:r>
        <w:t xml:space="preserve"> </w:t>
      </w:r>
      <w:r>
        <w:t xml:space="preserve">Bureau de la sécurité des transports (l’écart entre un tronçon double détecté et le même</w:t>
      </w:r>
      <w:r>
        <w:t xml:space="preserve"> </w:t>
      </w:r>
      <w:r>
        <w:t xml:space="preserve">tronçon documenté par le BST est de 0,1 km sur 25). Passages à niveau : inventaire</w:t>
      </w:r>
      <w:r>
        <w:t xml:space="preserve"> </w:t>
      </w:r>
      <w:r>
        <w:t xml:space="preserve">officiel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. Horaires : flux GTFS de VIA,</w:t>
      </w:r>
      <w:r>
        <w:t xml:space="preserve"> </w:t>
      </w:r>
      <w:r>
        <w:t xml:space="preserve">saison 2026.</w:t>
      </w:r>
    </w:p>
    <w:bookmarkEnd w:id="11"/>
    <w:bookmarkStart w:id="12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2"/>
    <w:bookmarkEnd w:id="13"/>
    <w:bookmarkStart w:id="14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bookmarkEnd w:id="14"/>
    <w:bookmarkStart w:id="21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18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Paires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6" name="Picture"/>
            <a:graphic>
              <a:graphicData uri="http://schemas.openxmlformats.org/drawingml/2006/picture">
                <pic:pic>
                  <pic:nvPicPr>
                    <pic:cNvPr descr="livrables/figure_cellul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(deux paires, celles du tronçon de Québec) : le chiffre se publie en fourchette,</w:t>
      </w:r>
      <w:r>
        <w:t xml:space="preserve"> </w:t>
      </w:r>
      <w:r>
        <w:t xml:space="preserve">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18"/>
    <w:bookmarkStart w:id="19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(95 km/h de moyenne, voie entretenue à 100 mi/h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19"/>
    <w:bookmarkStart w:id="20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et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0"/>
    <w:bookmarkEnd w:id="21"/>
    <w:bookmarkStart w:id="22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jusqu’à 153 km/h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154 à 177 km/h</w:t>
      </w:r>
      <w:r>
        <w:t xml:space="preserve"> : corridor « scellé 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178 à 201 km/h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au-delà de 201 km/h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2"/>
    <w:bookmarkStart w:id="23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160 km/h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 79 mi/h » américain.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161 à 200 km/h : superposition de contrôle en cabine.</w:t>
      </w:r>
      <w:r>
        <w:t xml:space="preserve"> </w:t>
      </w:r>
      <w:r>
        <w:t xml:space="preserve">Le précédent tarifé</w:t>
      </w:r>
      <w:r>
        <w:t xml:space="preserve"> </w:t>
      </w:r>
      <w:r>
        <w:t xml:space="preserve">existe : la ligne Amtrak du Michigan exploite 110 mi/h avec un système incrémental</w:t>
      </w:r>
      <w:r>
        <w:t xml:space="preserve"> </w:t>
      </w:r>
      <w:r>
        <w:t xml:space="preserve">superposé à 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200 km/h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3"/>
    <w:bookmarkStart w:id="24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Table complète des temps de base par tronçon, scénario et bande (sans marge ; la marge</w:t>
      </w:r>
      <w:r>
        <w:t xml:space="preserve"> </w:t>
      </w:r>
      <w:r>
        <w:t xml:space="preserve">s’applique par la fourchette de la synthèse). Horaire actuel en regard.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3 h 19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58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4"/>
    <w:bookmarkStart w:id="25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5"/>
    <w:bookmarkStart w:id="71" w:name="références"/>
    <w:p>
      <w:pPr>
        <w:pStyle w:val="Heading1"/>
      </w:pPr>
      <w:r>
        <w:t xml:space="preserve">Références</w:t>
      </w:r>
    </w:p>
    <w:bookmarkStart w:id="70" w:name="refs"/>
    <w:bookmarkStart w:id="27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https://www.altotrain.ca/en/about-alto</w:t>
        </w:r>
      </w:hyperlink>
    </w:p>
    <w:bookmarkEnd w:id="27"/>
    <w:bookmarkStart w:id="29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28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29"/>
    <w:bookmarkStart w:id="31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0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1"/>
    <w:bookmarkStart w:id="33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2">
        <w:r>
          <w:rPr>
            <w:rStyle w:val="Hyperlink"/>
          </w:rPr>
          <w:t xml:space="preserve">https://spacing.ca/toronto/2015/12/09/53711/</w:t>
        </w:r>
      </w:hyperlink>
    </w:p>
    <w:bookmarkEnd w:id="33"/>
    <w:bookmarkStart w:id="35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4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5"/>
    <w:bookmarkStart w:id="36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6"/>
    <w:bookmarkStart w:id="38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38"/>
    <w:bookmarkStart w:id="40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39">
        <w:r>
          <w:rPr>
            <w:rStyle w:val="Hyperlink"/>
          </w:rPr>
          <w:t xml:space="preserve">https://www.ecfr.gov/current/title-49/section-213.347</w:t>
        </w:r>
      </w:hyperlink>
    </w:p>
    <w:bookmarkEnd w:id="40"/>
    <w:bookmarkStart w:id="42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1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2"/>
    <w:bookmarkStart w:id="44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3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4"/>
    <w:bookmarkStart w:id="46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5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6"/>
    <w:bookmarkStart w:id="48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47">
        <w:r>
          <w:rPr>
            <w:rStyle w:val="Hyperlink"/>
          </w:rPr>
          <w:t xml:space="preserve">https://download.geofabrik.de/</w:t>
        </w:r>
      </w:hyperlink>
    </w:p>
    <w:bookmarkEnd w:id="48"/>
    <w:bookmarkStart w:id="50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https://journals.aau.dk/index.php/td/article/download/5554/4887</w:t>
        </w:r>
      </w:hyperlink>
    </w:p>
    <w:bookmarkEnd w:id="50"/>
    <w:bookmarkStart w:id="52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1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2"/>
    <w:bookmarkStart w:id="54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3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4"/>
    <w:bookmarkStart w:id="56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55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56"/>
    <w:bookmarkStart w:id="58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57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58"/>
    <w:bookmarkStart w:id="60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59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0"/>
    <w:bookmarkStart w:id="61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1"/>
    <w:bookmarkStart w:id="63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2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3"/>
    <w:bookmarkStart w:id="65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65"/>
    <w:bookmarkStart w:id="67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67"/>
    <w:bookmarkStart w:id="69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68">
        <w:r>
          <w:rPr>
            <w:rStyle w:val="Hyperlink"/>
          </w:rPr>
          <w:t xml:space="preserve">https://www.viarail.ca/fr/developpeurs</w:t>
        </w:r>
      </w:hyperlink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8" Target="https://amtrakoig.gov/sites/default/files/reports/OIG-A-2020-001%20OTP%20mandate.pdf" TargetMode="External" /><Relationship Type="http://schemas.openxmlformats.org/officeDocument/2006/relationships/hyperlink" Id="rId53" Target="https://bransch.trafikverket.se/contentassets/6526f430ae7f489aae8e88c06f2eef6b/jnb-2027-2025-12-05.pdf" TargetMode="External" /><Relationship Type="http://schemas.openxmlformats.org/officeDocument/2006/relationships/hyperlink" Id="rId47" Target="https://download.geofabrik.de/" TargetMode="External" /><Relationship Type="http://schemas.openxmlformats.org/officeDocument/2006/relationships/hyperlink" Id="rId30" Target="https://exporail.org/canrail/canadian_rail_1962_1989/canadian-rail-296-1976.pdf" TargetMode="External" /><Relationship Type="http://schemas.openxmlformats.org/officeDocument/2006/relationships/hyperlink" Id="rId45" Target="https://globalnews.ca/news/10868587/via-rail-judicial-review-cn-rail-speed-restrictions/" TargetMode="External" /><Relationship Type="http://schemas.openxmlformats.org/officeDocument/2006/relationships/hyperlink" Id="rId49" Target="https://journals.aau.dk/index.php/td/article/download/5554/4887" TargetMode="External" /><Relationship Type="http://schemas.openxmlformats.org/officeDocument/2006/relationships/hyperlink" Id="rId66" Target="https://media.viarail.ca/sites/default/files/publications/2025_VIA-Rail_First-Quarter-Report.pdf" TargetMode="External" /><Relationship Type="http://schemas.openxmlformats.org/officeDocument/2006/relationships/hyperlink" Id="rId64" Target="https://media.viarail.ca/sites/default/files/publications/VIA-Rail_Annual-Report_2024.pdf" TargetMode="External" /><Relationship Type="http://schemas.openxmlformats.org/officeDocument/2006/relationships/hyperlink" Id="rId57" Target="https://ouvert.canada.ca/data/fr/dataset/d0f54727-6c0b-4e5a-aa04-ea1463cf9f4c" TargetMode="External" /><Relationship Type="http://schemas.openxmlformats.org/officeDocument/2006/relationships/hyperlink" Id="rId43" Target="https://railroads.dot.gov/research-development/program-areas/train-control/ptc/incremental-train-control-system" TargetMode="External" /><Relationship Type="http://schemas.openxmlformats.org/officeDocument/2006/relationships/hyperlink" Id="rId41" Target="https://railroads.dot.gov/sites/fra.dot.gov/files/fra_net/19085/Superelevation.pdf" TargetMode="External" /><Relationship Type="http://schemas.openxmlformats.org/officeDocument/2006/relationships/hyperlink" Id="rId34" Target="https://railroads.dot.gov/sites/fra.dot.gov/files/fra_net/300/ord0917.pdf" TargetMode="External" /><Relationship Type="http://schemas.openxmlformats.org/officeDocument/2006/relationships/hyperlink" Id="rId32" Target="https://spacing.ca/toronto/2015/12/09/53711/" TargetMode="External" /><Relationship Type="http://schemas.openxmlformats.org/officeDocument/2006/relationships/hyperlink" Id="rId59" Target="https://tc.canada.ca/en/binder/3-pic-operating-restrictions-via-rail-quebec-city-windsor-corridor" TargetMode="External" /><Relationship Type="http://schemas.openxmlformats.org/officeDocument/2006/relationships/hyperlink" Id="rId55" Target="https://tc.canada.ca/en/rail-transportation/rules/2022-2023/rules-respecting-track-safety/subpart-c" TargetMode="External" /><Relationship Type="http://schemas.openxmlformats.org/officeDocument/2006/relationships/hyperlink" Id="rId26" Target="https://www.altotrain.ca/en/about-alto" TargetMode="External" /><Relationship Type="http://schemas.openxmlformats.org/officeDocument/2006/relationships/hyperlink" Id="rId37" Target="https://www.cbc.ca/news/canada/ottawa/via-montreal-toronto-pilot-that-skipped-eastern-ontario-postponed-1.7646512" TargetMode="External" /><Relationship Type="http://schemas.openxmlformats.org/officeDocument/2006/relationships/hyperlink" Id="rId39" Target="https://www.ecfr.gov/current/title-49/section-213.347" TargetMode="External" /><Relationship Type="http://schemas.openxmlformats.org/officeDocument/2006/relationships/hyperlink" Id="rId51" Target="https://www.sncf-reseau.com/medias-publics/2023-12/DRR2025-annexe-4-1.pdf" TargetMode="External" /><Relationship Type="http://schemas.openxmlformats.org/officeDocument/2006/relationships/hyperlink" Id="rId68" Target="https://www.viarail.ca/fr/developpeurs" TargetMode="External" /><Relationship Type="http://schemas.openxmlformats.org/officeDocument/2006/relationships/hyperlink" Id="rId62" Target="https://www.viarail.ca/sites/all/files/media/pdfs/About_VIA/our-company/capital-investment-plan/BK090501E%20-%20VIA%20LR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mtrakoig.gov/sites/default/files/reports/OIG-A-2020-001%20OTP%20mandate.pdf" TargetMode="External" /><Relationship Type="http://schemas.openxmlformats.org/officeDocument/2006/relationships/hyperlink" Id="rId53" Target="https://bransch.trafikverket.se/contentassets/6526f430ae7f489aae8e88c06f2eef6b/jnb-2027-2025-12-05.pdf" TargetMode="External" /><Relationship Type="http://schemas.openxmlformats.org/officeDocument/2006/relationships/hyperlink" Id="rId47" Target="https://download.geofabrik.de/" TargetMode="External" /><Relationship Type="http://schemas.openxmlformats.org/officeDocument/2006/relationships/hyperlink" Id="rId30" Target="https://exporail.org/canrail/canadian_rail_1962_1989/canadian-rail-296-1976.pdf" TargetMode="External" /><Relationship Type="http://schemas.openxmlformats.org/officeDocument/2006/relationships/hyperlink" Id="rId45" Target="https://globalnews.ca/news/10868587/via-rail-judicial-review-cn-rail-speed-restrictions/" TargetMode="External" /><Relationship Type="http://schemas.openxmlformats.org/officeDocument/2006/relationships/hyperlink" Id="rId49" Target="https://journals.aau.dk/index.php/td/article/download/5554/4887" TargetMode="External" /><Relationship Type="http://schemas.openxmlformats.org/officeDocument/2006/relationships/hyperlink" Id="rId66" Target="https://media.viarail.ca/sites/default/files/publications/2025_VIA-Rail_First-Quarter-Report.pdf" TargetMode="External" /><Relationship Type="http://schemas.openxmlformats.org/officeDocument/2006/relationships/hyperlink" Id="rId64" Target="https://media.viarail.ca/sites/default/files/publications/VIA-Rail_Annual-Report_2024.pdf" TargetMode="External" /><Relationship Type="http://schemas.openxmlformats.org/officeDocument/2006/relationships/hyperlink" Id="rId57" Target="https://ouvert.canada.ca/data/fr/dataset/d0f54727-6c0b-4e5a-aa04-ea1463cf9f4c" TargetMode="External" /><Relationship Type="http://schemas.openxmlformats.org/officeDocument/2006/relationships/hyperlink" Id="rId43" Target="https://railroads.dot.gov/research-development/program-areas/train-control/ptc/incremental-train-control-system" TargetMode="External" /><Relationship Type="http://schemas.openxmlformats.org/officeDocument/2006/relationships/hyperlink" Id="rId41" Target="https://railroads.dot.gov/sites/fra.dot.gov/files/fra_net/19085/Superelevation.pdf" TargetMode="External" /><Relationship Type="http://schemas.openxmlformats.org/officeDocument/2006/relationships/hyperlink" Id="rId34" Target="https://railroads.dot.gov/sites/fra.dot.gov/files/fra_net/300/ord0917.pdf" TargetMode="External" /><Relationship Type="http://schemas.openxmlformats.org/officeDocument/2006/relationships/hyperlink" Id="rId32" Target="https://spacing.ca/toronto/2015/12/09/53711/" TargetMode="External" /><Relationship Type="http://schemas.openxmlformats.org/officeDocument/2006/relationships/hyperlink" Id="rId59" Target="https://tc.canada.ca/en/binder/3-pic-operating-restrictions-via-rail-quebec-city-windsor-corridor" TargetMode="External" /><Relationship Type="http://schemas.openxmlformats.org/officeDocument/2006/relationships/hyperlink" Id="rId55" Target="https://tc.canada.ca/en/rail-transportation/rules/2022-2023/rules-respecting-track-safety/subpart-c" TargetMode="External" /><Relationship Type="http://schemas.openxmlformats.org/officeDocument/2006/relationships/hyperlink" Id="rId26" Target="https://www.altotrain.ca/en/about-alto" TargetMode="External" /><Relationship Type="http://schemas.openxmlformats.org/officeDocument/2006/relationships/hyperlink" Id="rId37" Target="https://www.cbc.ca/news/canada/ottawa/via-montreal-toronto-pilot-that-skipped-eastern-ontario-postponed-1.7646512" TargetMode="External" /><Relationship Type="http://schemas.openxmlformats.org/officeDocument/2006/relationships/hyperlink" Id="rId39" Target="https://www.ecfr.gov/current/title-49/section-213.347" TargetMode="External" /><Relationship Type="http://schemas.openxmlformats.org/officeDocument/2006/relationships/hyperlink" Id="rId51" Target="https://www.sncf-reseau.com/medias-publics/2023-12/DRR2025-annexe-4-1.pdf" TargetMode="External" /><Relationship Type="http://schemas.openxmlformats.org/officeDocument/2006/relationships/hyperlink" Id="rId68" Target="https://www.viarail.ca/fr/developpeurs" TargetMode="External" /><Relationship Type="http://schemas.openxmlformats.org/officeDocument/2006/relationships/hyperlink" Id="rId62" Target="https://www.viarail.ca/sites/all/files/media/pdfs/About_VIA/our-company/capital-investment-plan/BK090501E%20-%20VIA%20LR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Québec-Windsor : ce que la voie existante permet</dc:title>
  <dc:creator>Étude préparée pour François Rebello [AUTEUR À COMPLÉTER]</dc:creator>
  <dc:language>fr-CA</dc:language>
  <cp:keywords/>
  <dcterms:created xsi:type="dcterms:W3CDTF">2026-08-06T09:42:22Z</dcterms:created>
  <dcterms:modified xsi:type="dcterms:W3CDTF">2026-08-06T09:42:22Z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Brouillon, 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