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Corridor Québec-Toronto : ce que la voie existante permet</w:t>
      </w:r>
    </w:p>
    <w:p>
      <w:pPr>
        <w:pStyle w:val="Subtitle"/>
      </w:pPr>
      <w:r>
        <w:t xml:space="preserve">Temps de parcours par scénario de modernisation, et ce qui les retient : géométrie, passages à niveau, signalisation, doublement et régime de cohabitation</w:t>
      </w:r>
    </w:p>
    <w:p>
      <w:pPr>
        <w:pStyle w:val="Author"/>
      </w:pPr>
      <w:r>
        <w:t xml:space="preserve">Étude préparée pour Vision Transport (François Rebello) par Vincent Duguay</w:t>
      </w:r>
    </w:p>
    <w:p>
      <w:pPr>
        <w:pStyle w:val="Date"/>
      </w:pPr>
      <w:r>
        <w:t xml:space="preserve">Août 2026</w:t>
      </w:r>
    </w:p>
    <w:bookmarkStart w:id="12" w:name="synthèse"/>
    <w:p>
      <w:pPr>
        <w:pStyle w:val="Heading1"/>
      </w:pPr>
      <w:r>
        <w:t xml:space="preserve">Synthèse</w:t>
      </w:r>
    </w:p>
    <w:p>
      <w:pPr>
        <w:pStyle w:val="FirstParagraph"/>
      </w:pPr>
      <w:r>
        <w:t xml:space="preserve">Cette étude répond à une question simple : combien de temps le train peut-il prendre entre</w:t>
      </w:r>
      <w:r>
        <w:t xml:space="preserve"> </w:t>
      </w:r>
      <w:r>
        <w:t xml:space="preserve">les grandes villes du corridor, sur la voie qui existe déjà, selon ce qu’on accepte d’y</w:t>
      </w:r>
      <w:r>
        <w:t xml:space="preserve"> </w:t>
      </w:r>
      <w:r>
        <w:t xml:space="preserve">investir? La réponse est construite en additionnant quatre choses que l’on peut compter :</w:t>
      </w:r>
      <w:r>
        <w:t xml:space="preserve"> </w:t>
      </w:r>
      <w:r>
        <w:t xml:space="preserve">le temps que les courbes permettent, le temps des zones urbaines (figé à l’horaire</w:t>
      </w:r>
      <w:r>
        <w:t xml:space="preserve"> </w:t>
      </w:r>
      <w:r>
        <w:t xml:space="preserve">actuel), le temps des arrêts, et une marge d’exploitation que l’étude encadre entre deux</w:t>
      </w:r>
      <w:r>
        <w:t xml:space="preserve"> </w:t>
      </w:r>
      <w:r>
        <w:t xml:space="preserve">bornes au lieu de la deviner. La figure ci-dessous en donne la lecture d’ensemble, contre</w:t>
      </w:r>
      <w:r>
        <w:t xml:space="preserve"> </w:t>
      </w:r>
      <w:r>
        <w:t xml:space="preserve">le repère que tout décideur a en tête : l’auto ; la table complète des temps, par tronçon,</w:t>
      </w:r>
      <w:r>
        <w:t xml:space="preserve"> </w:t>
      </w:r>
      <w:r>
        <w:t xml:space="preserve">scénario et bande de vitesse, est en section 7.</w:t>
      </w:r>
    </w:p>
    <w:p>
      <w:pPr>
        <w:pStyle w:val="BodyText"/>
      </w:pPr>
      <w:r>
        <w:t xml:space="preserve">Trois scénarios de matériel et de voie (détail en section 3) :</w:t>
      </w:r>
      <w:r>
        <w:t xml:space="preserve"> </w:t>
      </w:r>
      <w:r>
        <w:rPr>
          <w:b/>
          <w:bCs/>
        </w:rPr>
        <w:t xml:space="preserve">S1</w:t>
      </w:r>
      <w:r>
        <w:t xml:space="preserve"> </w:t>
      </w:r>
      <w:r>
        <w:t xml:space="preserve">est la voie et le</w:t>
      </w:r>
      <w:r>
        <w:t xml:space="preserve"> </w:t>
      </w:r>
      <w:r>
        <w:t xml:space="preserve">train d’aujourd’hui ;</w:t>
      </w:r>
      <w:r>
        <w:t xml:space="preserve"> </w:t>
      </w:r>
      <w:r>
        <w:rPr>
          <w:b/>
          <w:bCs/>
        </w:rPr>
        <w:t xml:space="preserve">S2</w:t>
      </w:r>
      <w:r>
        <w:t xml:space="preserve"> </w:t>
      </w:r>
      <w:r>
        <w:t xml:space="preserve">est un train pendulaire exploité selon la méthode que le CN</w:t>
      </w:r>
      <w:r>
        <w:t xml:space="preserve"> </w:t>
      </w:r>
      <w:r>
        <w:t xml:space="preserve">applique déjà à ce type de train, avec le dévers maximal standard du CN (aucune dérogation</w:t>
      </w:r>
      <w:r>
        <w:t xml:space="preserve"> </w:t>
      </w:r>
      <w:r>
        <w:t xml:space="preserve">nécessaire) ;</w:t>
      </w:r>
      <w:r>
        <w:t xml:space="preserve"> </w:t>
      </w:r>
      <w:r>
        <w:rPr>
          <w:b/>
          <w:bCs/>
        </w:rPr>
        <w:t xml:space="preserve">S3</w:t>
      </w:r>
      <w:r>
        <w:t xml:space="preserve"> </w:t>
      </w:r>
      <w:r>
        <w:t xml:space="preserve">est un pendulaire moderne plus performant, qui sort du précédent</w:t>
      </w:r>
      <w:r>
        <w:t xml:space="preserve"> </w:t>
      </w:r>
      <w:r>
        <w:t xml:space="preserve">nord-américain et demanderait une approbation par équipement. La « bande » est le plafond</w:t>
      </w:r>
      <w:r>
        <w:t xml:space="preserve"> </w:t>
      </w:r>
      <w:r>
        <w:t xml:space="preserve">de vitesse qu’on s’autorise à exploiter (200 km/h exige de traiter les passages à niveau et</w:t>
      </w:r>
      <w:r>
        <w:t xml:space="preserve"> </w:t>
      </w:r>
      <w:r>
        <w:t xml:space="preserve">la signalisation ; 250 et plus exige de les éliminer, voir sections 5 et 6). Les</w:t>
      </w:r>
      <w:r>
        <w:t xml:space="preserve"> </w:t>
      </w:r>
      <w:r>
        <w:t xml:space="preserve">vitesses de ce document sont en km/h, suivies au besoin de l’équivalent en mi/h,</w:t>
      </w:r>
      <w:r>
        <w:t xml:space="preserve"> </w:t>
      </w:r>
      <w:r>
        <w:t xml:space="preserve">l’unité d’usage des chemins de fer nord-américains ; les bandes sont nommées par leur</w:t>
      </w:r>
      <w:r>
        <w:t xml:space="preserve"> </w:t>
      </w:r>
      <w:r>
        <w:t xml:space="preserve">valeur ronde en km/h (200 km/h = 124 mi/h ; 250 = 155 ; 300 = 186 ; 160 = 99).</w:t>
      </w:r>
    </w:p>
    <w:p>
      <w:pPr>
        <w:pStyle w:val="CaptionedFigure"/>
      </w:pPr>
      <w:r>
        <w:drawing>
          <wp:inline>
            <wp:extent cx="5334000" cy="1981816"/>
            <wp:effectExtent b="0" l="0" r="0" t="0"/>
            <wp:docPr descr="Le train contre l’auto : chaque barre est un temps avec marge, présenté en fourchette, et les pourcentages face à l’auto sont donc eux aussi des bornes. Temps auto : approximation de connaissance générale, en repère." title="" id="10" name="Picture"/>
            <a:graphic>
              <a:graphicData uri="http://schemas.openxmlformats.org/drawingml/2006/picture">
                <pic:pic>
                  <pic:nvPicPr>
                    <pic:cNvPr descr="livrables/figure_vs_auto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818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 train contre l’auto : chaque barre est un temps avec marge, présenté en fourchette, et les pourcentages face à l’auto sont donc eux aussi des bornes. Temps auto : approximation de connaissance générale, en repère.</w:t>
      </w:r>
    </w:p>
    <w:p>
      <w:pPr>
        <w:pStyle w:val="BodyText"/>
      </w:pPr>
      <w:r>
        <w:rPr>
          <w:b/>
          <w:bCs/>
        </w:rPr>
        <w:t xml:space="preserve">La lecture de la figure.</w:t>
      </w:r>
      <w:r>
        <w:t xml:space="preserve"> </w:t>
      </w:r>
      <w:r>
        <w:t xml:space="preserve">Aujourd’hui, le train fait à peu près jeu égal avec l’auto</w:t>
      </w:r>
      <w:r>
        <w:t xml:space="preserve"> </w:t>
      </w:r>
      <w:r>
        <w:t xml:space="preserve">sur Montréal-Toronto (539 km : 5 h 18 à l’horaire) et la perd nettement sur</w:t>
      </w:r>
      <w:r>
        <w:t xml:space="preserve"> </w:t>
      </w:r>
      <w:r>
        <w:t xml:space="preserve">Montréal-Québec (270 km : 3 h 23). Chaque barre de scénario est un temps « avec marge » :</w:t>
      </w:r>
      <w:r>
        <w:t xml:space="preserve"> </w:t>
      </w:r>
      <w:r>
        <w:t xml:space="preserve">le temps de base (courbes + zones urbaines figées + arrêts) majoré de la marge</w:t>
      </w:r>
      <w:r>
        <w:t xml:space="preserve"> </w:t>
      </w:r>
      <w:r>
        <w:t xml:space="preserve">d’exploitation, de la borne normative (9 pour cent) à la marge actuelle du tronçon ; les</w:t>
      </w:r>
      <w:r>
        <w:t xml:space="preserve"> </w:t>
      </w:r>
      <w:r>
        <w:t xml:space="preserve">pourcentages face à l’auto sont donc des bornes, pas des points. Dès S2 à la bande 200,</w:t>
      </w:r>
      <w:r>
        <w:t xml:space="preserve"> </w:t>
      </w:r>
      <w:r>
        <w:t xml:space="preserve">le train bat l’auto sur Montréal-Toronto (79 à 83 pour cent de son temps) et fait au</w:t>
      </w:r>
      <w:r>
        <w:t xml:space="preserve"> </w:t>
      </w:r>
      <w:r>
        <w:t xml:space="preserve">moins jeu égal sur Montréal-Québec (85 à 103 pour cent) ; en S3 à la bande 300, il tombe</w:t>
      </w:r>
      <w:r>
        <w:t xml:space="preserve"> </w:t>
      </w:r>
      <w:r>
        <w:t xml:space="preserve">à 64 à 67 pour cent du temps de l’auto sur Montréal-Toronto et à 72 à 88 pour cent sur</w:t>
      </w:r>
      <w:r>
        <w:t xml:space="preserve"> </w:t>
      </w:r>
      <w:r>
        <w:t xml:space="preserve">Montréal-Québec.</w:t>
      </w:r>
    </w:p>
    <w:p>
      <w:pPr>
        <w:pStyle w:val="BodyText"/>
      </w:pPr>
      <w:r>
        <w:t xml:space="preserve">La solution première est</w:t>
      </w:r>
      <w:r>
        <w:t xml:space="preserve"> </w:t>
      </w:r>
      <w:r>
        <w:rPr>
          <w:b/>
          <w:bCs/>
        </w:rPr>
        <w:t xml:space="preserve">S2 à la bande</w:t>
      </w:r>
      <w:r>
        <w:rPr>
          <w:b/>
          <w:bCs/>
        </w:rPr>
        <w:t xml:space="preserve"> </w:t>
      </w:r>
      <w:r>
        <w:rPr>
          <w:b/>
          <w:bCs/>
        </w:rPr>
        <w:t xml:space="preserve">200 km/h (124 mi/h)</w:t>
      </w:r>
      <w:r>
        <w:t xml:space="preserve"> : un train pendulaire exploité</w:t>
      </w:r>
      <w:r>
        <w:t xml:space="preserve"> </w:t>
      </w:r>
      <w:r>
        <w:t xml:space="preserve">exactement selon la méthode que le CN applique déjà, sans dérogation, sans franchir le</w:t>
      </w:r>
      <w:r>
        <w:t xml:space="preserve"> </w:t>
      </w:r>
      <w:r>
        <w:t xml:space="preserve">mur des passages à niveau ni changer la signalisation au-delà du contrôle en cabine</w:t>
      </w:r>
      <w:r>
        <w:t xml:space="preserve"> </w:t>
      </w:r>
      <w:r>
        <w:t xml:space="preserve">(sections 5 et 6). Si la marge est gérée de façon excellente (la borne basse normative,</w:t>
      </w:r>
      <w:r>
        <w:t xml:space="preserve"> </w:t>
      </w:r>
      <w:r>
        <w:t xml:space="preserve">9 pour cent), elle donne 4 h 21 sur Montréal-Toronto, soit 79 pour cent du temps de</w:t>
      </w:r>
      <w:r>
        <w:t xml:space="preserve"> </w:t>
      </w:r>
      <w:r>
        <w:t xml:space="preserve">l’auto, et 2 h 24 sur Montréal-Québec, soit 85 pour cent. Où le résultat tombe dans la</w:t>
      </w:r>
      <w:r>
        <w:t xml:space="preserve"> </w:t>
      </w:r>
      <w:r>
        <w:t xml:space="preserve">fourchette dépend surtout du régime de cohabitation, bien plus que du train ou de la</w:t>
      </w:r>
      <w:r>
        <w:t xml:space="preserve"> </w:t>
      </w:r>
      <w:r>
        <w:t xml:space="preserve">voie : c’est l’objet de la section 4. S3 (le même dévers, une insuffisance portée à</w:t>
      </w:r>
      <w:r>
        <w:t xml:space="preserve"> </w:t>
      </w:r>
      <w:r>
        <w:t xml:space="preserve">270 mm) et les bandes 250 et 300 sont des références : elles chiffrent ce que</w:t>
      </w:r>
      <w:r>
        <w:t xml:space="preserve"> </w:t>
      </w:r>
      <w:r>
        <w:t xml:space="preserve">l’approbation d’un matériel plus performant, l’élimination des passages et le contrôle</w:t>
      </w:r>
      <w:r>
        <w:t xml:space="preserve"> </w:t>
      </w:r>
      <w:r>
        <w:t xml:space="preserve">intégral achèteraient en plus.</w:t>
      </w:r>
    </w:p>
    <w:p>
      <w:pPr>
        <w:pStyle w:val="BodyText"/>
      </w:pPr>
      <w:r>
        <w:t xml:space="preserve">La fourchette de marge n’est pas une estimation : sa borne basse est la marge normative</w:t>
      </w:r>
      <w:r>
        <w:t xml:space="preserve"> </w:t>
      </w:r>
      <w:r>
        <w:t xml:space="preserve">internationale (9 pour cent du temps de parcours aux vitesses de 200 km/h (124 mi/h) et plus</w:t>
      </w:r>
      <w:r>
        <w:t xml:space="preserve"> </w:t>
      </w:r>
      <w:r>
        <w:t xml:space="preserve">(</w:t>
      </w:r>
      <w:hyperlink w:anchor="ref-schittenhelm2011">
        <w:r>
          <w:rPr>
            <w:rStyle w:val="Hyperlink"/>
          </w:rPr>
          <w:t xml:space="preserve">Schittenhelm, 2011</w:t>
        </w:r>
      </w:hyperlink>
      <w:r>
        <w:t xml:space="preserve">;</w:t>
      </w:r>
      <w:r>
        <w:t xml:space="preserve"> </w:t>
      </w:r>
      <w:hyperlink w:anchor="ref-uic2000f451">
        <w:r>
          <w:rPr>
            <w:rStyle w:val="Hyperlink"/>
          </w:rPr>
          <w:t xml:space="preserve">Union internationale des chemins de fer, 2000</w:t>
        </w:r>
      </w:hyperlink>
      <w:r>
        <w:t xml:space="preserve">)</w:t>
      </w:r>
      <w:r>
        <w:t xml:space="preserve">), sa borne haute est la marge que l’horaire actuel de VIA porte</w:t>
      </w:r>
      <w:r>
        <w:t xml:space="preserve"> </w:t>
      </w:r>
      <w:r>
        <w:t xml:space="preserve">aujourd’hui sur le tronçon concerné (mesurée dans cette étude : de 14 pour cent sur</w:t>
      </w:r>
      <w:r>
        <w:t xml:space="preserve"> </w:t>
      </w:r>
      <w:r>
        <w:t xml:space="preserve">Montréal-Toronto à 33 pour cent sur Montréal-Québec). La distance entre les deux bornes</w:t>
      </w:r>
      <w:r>
        <w:t xml:space="preserve"> </w:t>
      </w:r>
      <w:r>
        <w:t xml:space="preserve">est le coût du régime d’exploitation actuel ; la trancher est l’objet de l’étude de</w:t>
      </w:r>
      <w:r>
        <w:t xml:space="preserve"> </w:t>
      </w:r>
      <w:r>
        <w:t xml:space="preserve">circulation recommandée en conclusion.</w:t>
      </w:r>
    </w:p>
    <w:p>
      <w:pPr>
        <w:pStyle w:val="BodyText"/>
      </w:pPr>
      <w:r>
        <w:t xml:space="preserve">Mise en regard : le projet Alto propose environ 1 000 km de voies neuves dédiées pour</w:t>
      </w:r>
      <w:r>
        <w:t xml:space="preserve"> </w:t>
      </w:r>
      <w:r>
        <w:t xml:space="preserve">relier Québec à Toronto par un tracé nord à 300 km/h ou plus</w:t>
      </w:r>
      <w:r>
        <w:t xml:space="preserve"> </w:t>
      </w:r>
      <w:r>
        <w:t xml:space="preserve">(</w:t>
      </w:r>
      <w:hyperlink w:anchor="ref-alto2025">
        <w:r>
          <w:rPr>
            <w:rStyle w:val="Hyperlink"/>
          </w:rPr>
          <w:t xml:space="preserve">Alto, 2025</w:t>
        </w:r>
      </w:hyperlink>
      <w:r>
        <w:t xml:space="preserve">)</w:t>
      </w:r>
      <w:r>
        <w:t xml:space="preserve">. La présente</w:t>
      </w:r>
      <w:r>
        <w:t xml:space="preserve"> </w:t>
      </w:r>
      <w:r>
        <w:t xml:space="preserve">étude documente ce que le réseau existant du corridor riverain (environ 1 090 km de</w:t>
      </w:r>
      <w:r>
        <w:t xml:space="preserve"> </w:t>
      </w:r>
      <w:r>
        <w:t xml:space="preserve">voies physiques, parcourues en 1 431 km de trajets) peut donner, ainsi que les cinq obstacles qui les retiennent et le prix réglementaire</w:t>
      </w:r>
      <w:r>
        <w:t xml:space="preserve"> </w:t>
      </w:r>
      <w:r>
        <w:t xml:space="preserve">de chacun. Les deux exercices sont complémentaires : on ne peut comparer les options</w:t>
      </w:r>
      <w:r>
        <w:t xml:space="preserve"> </w:t>
      </w:r>
      <w:r>
        <w:t xml:space="preserve">qu’en connaissant les deux.</w:t>
      </w:r>
    </w:p>
    <w:p>
      <w:pPr>
        <w:pStyle w:val="BodyText"/>
      </w:pPr>
      <w:r>
        <w:t xml:space="preserve">Le précédent qui valide l’ordre de grandeur est britannique. La West Coast Main Line</w:t>
      </w:r>
      <w:r>
        <w:t xml:space="preserve"> </w:t>
      </w:r>
      <w:r>
        <w:t xml:space="preserve">(Londres-Manchester-Glasgow), une ligne victorienne partagée avec le fret, a été</w:t>
      </w:r>
      <w:r>
        <w:t xml:space="preserve"> </w:t>
      </w:r>
      <w:r>
        <w:t xml:space="preserve">modernisée de 1998 à 2008 plutôt que remplacée par une ligne neuve : des trains</w:t>
      </w:r>
      <w:r>
        <w:t xml:space="preserve"> </w:t>
      </w:r>
      <w:r>
        <w:t xml:space="preserve">pendulaires à 125 mi/h (201 km/h) sur la voie existante et une signalisation relevée,</w:t>
      </w:r>
      <w:r>
        <w:t xml:space="preserve"> </w:t>
      </w:r>
      <w:r>
        <w:t xml:space="preserve">pour un coût d’environ 8,6 milliards de livres selon l’audit national</w:t>
      </w:r>
      <w:r>
        <w:t xml:space="preserve"> </w:t>
      </w:r>
      <w:r>
        <w:t xml:space="preserve">(</w:t>
      </w:r>
      <w:hyperlink w:anchor="ref-nao2006wcml">
        <w:r>
          <w:rPr>
            <w:rStyle w:val="Hyperlink"/>
          </w:rPr>
          <w:t xml:space="preserve">National Audit Office, 2006</w:t>
        </w:r>
      </w:hyperlink>
      <w:r>
        <w:t xml:space="preserve">)</w:t>
      </w:r>
      <w:r>
        <w:t xml:space="preserve">.</w:t>
      </w:r>
      <w:r>
        <w:t xml:space="preserve"> </w:t>
      </w:r>
      <w:r>
        <w:t xml:space="preserve">Les gains mesurés sont de la même famille que ceux calculés ici : 36 minutes de moins</w:t>
      </w:r>
      <w:r>
        <w:t xml:space="preserve"> </w:t>
      </w:r>
      <w:r>
        <w:t xml:space="preserve">sur Londres-Manchester (296 km) et 42 sur Londres-Glasgow (environ 645 km)</w:t>
      </w:r>
      <w:r>
        <w:t xml:space="preserve"> </w:t>
      </w:r>
      <w:r>
        <w:t xml:space="preserve">(</w:t>
      </w:r>
      <w:hyperlink w:anchor="ref-nao2006wcml">
        <w:r>
          <w:rPr>
            <w:rStyle w:val="Hyperlink"/>
          </w:rPr>
          <w:t xml:space="preserve">National Audit Office, 2006</w:t>
        </w:r>
      </w:hyperlink>
      <w:r>
        <w:t xml:space="preserve">)</w:t>
      </w:r>
      <w:r>
        <w:t xml:space="preserve">, contre 44 à 57 minutes calculées sur Montréal-Toronto en S2 à la</w:t>
      </w:r>
      <w:r>
        <w:t xml:space="preserve"> </w:t>
      </w:r>
      <w:r>
        <w:t xml:space="preserve">bande 200. Le marché a suivi : sur Londres-Manchester, l’achalandage ferroviaire a crû</w:t>
      </w:r>
      <w:r>
        <w:t xml:space="preserve"> </w:t>
      </w:r>
      <w:r>
        <w:t xml:space="preserve">de 77 pour cent entre 2009 et 2017 pendant que le trafic aérien du même axe reculait de</w:t>
      </w:r>
      <w:r>
        <w:t xml:space="preserve"> </w:t>
      </w:r>
      <w:r>
        <w:t xml:space="preserve">27 pour cent</w:t>
      </w:r>
      <w:r>
        <w:t xml:space="preserve"> </w:t>
      </w:r>
      <w:r>
        <w:t xml:space="preserve">(</w:t>
      </w:r>
      <w:hyperlink w:anchor="ref-wcml2026wiki">
        <w:r>
          <w:rPr>
            <w:rStyle w:val="Hyperlink"/>
          </w:rPr>
          <w:t xml:space="preserve">Wikipédia, 2026</w:t>
        </w:r>
      </w:hyperlink>
      <w:r>
        <w:t xml:space="preserve">)</w:t>
      </w:r>
      <w:r>
        <w:t xml:space="preserve">. La mise en garde symétrique vaut aussi : le budget</w:t>
      </w:r>
      <w:r>
        <w:t xml:space="preserve"> </w:t>
      </w:r>
      <w:r>
        <w:t xml:space="preserve">britannique a plus que triplé en cours de programme, faute d’une portée verrouillée au</w:t>
      </w:r>
      <w:r>
        <w:t xml:space="preserve"> </w:t>
      </w:r>
      <w:r>
        <w:t xml:space="preserve">départ</w:t>
      </w:r>
      <w:r>
        <w:t xml:space="preserve"> </w:t>
      </w:r>
      <w:r>
        <w:t xml:space="preserve">(</w:t>
      </w:r>
      <w:hyperlink w:anchor="ref-nao2006wcml">
        <w:r>
          <w:rPr>
            <w:rStyle w:val="Hyperlink"/>
          </w:rPr>
          <w:t xml:space="preserve">National Audit Office, 2006</w:t>
        </w:r>
      </w:hyperlink>
      <w:r>
        <w:t xml:space="preserve">)</w:t>
      </w:r>
      <w:r>
        <w:t xml:space="preserve"> ; c’est précisément le rôle de l’étude de circulation recommandée</w:t>
      </w:r>
      <w:r>
        <w:t xml:space="preserve"> </w:t>
      </w:r>
      <w:r>
        <w:t xml:space="preserve">en conclusion.</w:t>
      </w:r>
    </w:p>
    <w:p>
      <w:pPr>
        <w:pStyle w:val="BodyText"/>
      </w:pPr>
      <w:r>
        <w:t xml:space="preserve">Les cinq constats principaux 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 géométrie n’est pas le problème principal.</w:t>
      </w:r>
      <w:r>
        <w:t xml:space="preserve"> </w:t>
      </w:r>
      <w:r>
        <w:t xml:space="preserve">Avec un pendulaire moderne (S3),</w:t>
      </w:r>
      <w:r>
        <w:t xml:space="preserve"> </w:t>
      </w:r>
      <w:r>
        <w:t xml:space="preserve">il ne reste que 186 km (13 pour cent du réseau parcouru) dont les courbes interdisent</w:t>
      </w:r>
      <w:r>
        <w:t xml:space="preserve"> </w:t>
      </w:r>
      <w:r>
        <w:t xml:space="preserve">200 km/h (124 mi/h), et plus aucun kilomètre sous 100 km/h (62 mi/h). Même en restant dans le strict</w:t>
      </w:r>
      <w:r>
        <w:t xml:space="preserve"> </w:t>
      </w:r>
      <w:r>
        <w:t xml:space="preserve">précédent CN (S2), le résidu sous 200 km/h est de 267 km.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 passages à niveau sont l’obstacle réglementaire dominant au-dessus de</w:t>
      </w:r>
      <w:r>
        <w:rPr>
          <w:b/>
          <w:bCs/>
        </w:rPr>
        <w:t xml:space="preserve"> </w:t>
      </w:r>
      <w:r>
        <w:rPr>
          <w:b/>
          <w:bCs/>
        </w:rPr>
        <w:t xml:space="preserve">200 km/h</w:t>
      </w:r>
      <w:r>
        <w:t xml:space="preserve"> : en scénario S3, 754 des 924 passages du corridor se trouvent sur des segments dont la</w:t>
      </w:r>
      <w:r>
        <w:t xml:space="preserve"> </w:t>
      </w:r>
      <w:r>
        <w:t xml:space="preserve">géométrie dépasserait ce seuil (695 en S2, 471 dès S1) ; le précédent américain y exige zéro passage</w:t>
      </w:r>
      <w:r>
        <w:t xml:space="preserve"> </w:t>
      </w:r>
      <w:r>
        <w:t xml:space="preserve">(</w:t>
      </w:r>
      <w:hyperlink w:anchor="ref-ecfr213-347">
        <w:r>
          <w:rPr>
            <w:rStyle w:val="Hyperlink"/>
          </w:rPr>
          <w:t xml:space="preserve">Federal Railroad Administration, s. d.-a</w:t>
        </w:r>
      </w:hyperlink>
      <w:r>
        <w:t xml:space="preserve">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 signalisation est une ligne de devis, pas un mur</w:t>
      </w:r>
      <w:r>
        <w:t xml:space="preserve"> : rien à faire jusqu’à</w:t>
      </w:r>
      <w:r>
        <w:t xml:space="preserve"> </w:t>
      </w:r>
      <w:r>
        <w:t xml:space="preserve">160 km/h (99 mi/h), une superposition de contrôle en cabine de 161 à 200 (précédent tarifé au</w:t>
      </w:r>
      <w:r>
        <w:t xml:space="preserve"> </w:t>
      </w:r>
      <w:r>
        <w:t xml:space="preserve">Michigan</w:t>
      </w:r>
      <w:r>
        <w:t xml:space="preserve"> </w:t>
      </w:r>
      <w:r>
        <w:t xml:space="preserve">(</w:t>
      </w:r>
      <w:hyperlink w:anchor="ref-fra2024itcs">
        <w:r>
          <w:rPr>
            <w:rStyle w:val="Hyperlink"/>
          </w:rPr>
          <w:t xml:space="preserve">Federal Railroad Administration, 2024</w:t>
        </w:r>
      </w:hyperlink>
      <w:r>
        <w:t xml:space="preserve">)</w:t>
      </w:r>
      <w:r>
        <w:t xml:space="preserve">), un système intégral au-delà (c’est le devis d’Alto).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 régime de cohabitation pèse plus que le nombre de voies.</w:t>
      </w:r>
      <w:r>
        <w:t xml:space="preserve"> </w:t>
      </w:r>
      <w:r>
        <w:t xml:space="preserve">Mesuré sur les</w:t>
      </w:r>
      <w:r>
        <w:t xml:space="preserve"> </w:t>
      </w:r>
      <w:r>
        <w:t xml:space="preserve">horaires de VIA à géométrie neutralisée : une voie simple coûte environ 5 points de marge</w:t>
      </w:r>
      <w:r>
        <w:t xml:space="preserve"> </w:t>
      </w:r>
      <w:r>
        <w:t xml:space="preserve">quand VIA est propriétaire, environ 28 points quand le CN l’est (stable de 3 à 6 et</w:t>
      </w:r>
      <w:r>
        <w:t xml:space="preserve"> </w:t>
      </w:r>
      <w:r>
        <w:t xml:space="preserve">de 27 à 33 selon la pénalité d’arrêt testée). Le même instrument</w:t>
      </w:r>
      <w:r>
        <w:t xml:space="preserve"> </w:t>
      </w:r>
      <w:r>
        <w:t xml:space="preserve">montre ce que le doublement achète chez le CN : environ 28 points, soit une vingtaine</w:t>
      </w:r>
      <w:r>
        <w:t xml:space="preserve"> </w:t>
      </w:r>
      <w:r>
        <w:t xml:space="preserve">de minutes sur Montréal-Québec.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 marge d’horaire est la grandeur que cette étude ne peut pas trancher.</w:t>
      </w:r>
      <w:r>
        <w:t xml:space="preserve"> </w:t>
      </w:r>
      <w:r>
        <w:t xml:space="preserve">Elle est</w:t>
      </w:r>
      <w:r>
        <w:t xml:space="preserve"> </w:t>
      </w:r>
      <w:r>
        <w:t xml:space="preserve">encadrée (7 à 9 pour cent en régime normatif, 37 à 65 pour cent mesurés aujourd’hui</w:t>
      </w:r>
      <w:r>
        <w:t xml:space="preserve"> </w:t>
      </w:r>
      <w:r>
        <w:t xml:space="preserve">selon la cellule) ; l’écart entre les deux est précisément ce qu’une étude de</w:t>
      </w:r>
      <w:r>
        <w:t xml:space="preserve"> </w:t>
      </w:r>
      <w:r>
        <w:t xml:space="preserve">circulation avec le propriétaire de la voie devra allouer.</w:t>
      </w:r>
    </w:p>
    <w:bookmarkEnd w:id="12"/>
    <w:bookmarkStart w:id="16" w:name="méthode-et-périmètre"/>
    <w:p>
      <w:pPr>
        <w:pStyle w:val="Heading1"/>
      </w:pPr>
      <w:r>
        <w:t xml:space="preserve">Méthode et périmètre</w:t>
      </w:r>
    </w:p>
    <w:bookmarkStart w:id="13" w:name="le-modèle"/>
    <w:p>
      <w:pPr>
        <w:pStyle w:val="Heading2"/>
      </w:pPr>
      <w:r>
        <w:t xml:space="preserve">Le modèle</w:t>
      </w:r>
    </w:p>
    <w:p>
      <w:pPr>
        <w:pStyle w:val="FirstParagraph"/>
      </w:pPr>
      <w:r>
        <w:t xml:space="preserve">Le temps de parcours d’un tronçon se calcule comme on planifie un long trajet en auto :</w:t>
      </w:r>
      <w:r>
        <w:t xml:space="preserve"> </w:t>
      </w:r>
      <w:r>
        <w:t xml:space="preserve">en additionnant des morceaux que l’on peut vérifier un à un. Quatre morceaux, pour une</w:t>
      </w:r>
      <w:r>
        <w:t xml:space="preserve"> </w:t>
      </w:r>
      <w:r>
        <w:t xml:space="preserve">bande de vitesse et un scénario de matériel donnés 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les zones urbaines</w:t>
      </w:r>
      <w:r>
        <w:t xml:space="preserve">, où l’étude ne promet aucun gain : leur temps est figé à</w:t>
      </w:r>
      <w:r>
        <w:t xml:space="preserve"> </w:t>
      </w:r>
      <w:r>
        <w:t xml:space="preserve">l’horaire actuel 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l’interurbain</w:t>
      </w:r>
      <w:r>
        <w:t xml:space="preserve">, calculé mètre par mètre le long du tracé : en chaque point, le</w:t>
      </w:r>
      <w:r>
        <w:t xml:space="preserve"> </w:t>
      </w:r>
      <w:r>
        <w:t xml:space="preserve">train roule à la plus basse de deux vitesses, celle que la courbe locale permet</w:t>
      </w:r>
      <w:r>
        <w:t xml:space="preserve"> </w:t>
      </w:r>
      <w:r>
        <w:t xml:space="preserve">(selon le scénario) et le plafond qu’on s’autorise (la « bande ») ; le temps du</w:t>
      </w:r>
      <w:r>
        <w:t xml:space="preserve"> </w:t>
      </w:r>
      <w:r>
        <w:t xml:space="preserve">tronçon est la somme de ces temps élémentaires 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les arrêts</w:t>
      </w:r>
      <w:r>
        <w:t xml:space="preserve"> : cinq minutes par arrêt intermédiaire 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 marge d’exploitation</w:t>
      </w:r>
      <w:r>
        <w:t xml:space="preserve">, jamais estimée : encadrée entre deux bornes.</w:t>
      </w:r>
    </w:p>
    <w:p>
      <w:pPr>
        <w:pStyle w:val="FirstParagraph"/>
      </w:pPr>
      <w:r>
        <w:t xml:space="preserve">En notation compacte 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nor/>
              <m:sty m:val="p"/>
            </m:rPr>
            <m:t>blocs urbains figés</m:t>
          </m:r>
          <m:r>
            <m:rPr>
              <m:sty m:val="p"/>
            </m:rPr>
            <m:t>+</m:t>
          </m:r>
          <m:r>
            <m:rPr>
              <m:sty m:val="p"/>
            </m:rPr>
            <m:t>∫</m:t>
          </m:r>
          <m:f>
            <m:fPr>
              <m:type m:val="bar"/>
            </m:fPr>
            <m:num>
              <m:r>
                <m:t>d</m:t>
              </m:r>
              <m:r>
                <m:t>x</m:t>
              </m:r>
            </m:num>
            <m:den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+</m:t>
          </m:r>
          <m:r>
            <m:rPr>
              <m:nor/>
              <m:sty m:val="p"/>
            </m:rPr>
            <m:t>arrêts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marge</m:t>
          </m:r>
        </m:oMath>
      </m:oMathPara>
    </w:p>
    <w:p>
      <w:pPr>
        <w:pStyle w:val="FirstParagraph"/>
      </w:pPr>
      <w:r>
        <w:t xml:space="preserve">avec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rPr>
            <m:nor/>
            <m:sty m:val="p"/>
          </m:rPr>
          <m:t>vitesse géométrique du scénario</m:t>
        </m:r>
        <m:r>
          <m:rPr>
            <m:sty m:val="p"/>
          </m:rPr>
          <m:t>,</m:t>
        </m:r>
        <m:r>
          <m:rPr>
            <m:nor/>
            <m:sty m:val="p"/>
          </m:rPr>
          <m:t>bande</m:t>
        </m:r>
        <m:r>
          <m:rPr>
            <m:sty m:val="p"/>
          </m:rPr>
          <m:t>)</m:t>
        </m:r>
      </m:oMath>
      <w:r>
        <w:t xml:space="preserve"> </w:t>
      </w:r>
      <w:r>
        <w:t xml:space="preserve">sur</w:t>
      </w:r>
      <w:r>
        <w:t xml:space="preserve"> </w:t>
      </w:r>
      <w:r>
        <w:t xml:space="preserve">l’interurbain. Le symbole</w:t>
      </w:r>
      <w:r>
        <w:t xml:space="preserve"> </w:t>
      </w:r>
      <m:oMath>
        <m:r>
          <m:rPr>
            <m:sty m:val="p"/>
          </m:rPr>
          <m:t>∫</m:t>
        </m:r>
        <m:r>
          <m:t>d</m:t>
        </m:r>
        <m:r>
          <m:t>x</m:t>
        </m:r>
        <m:r>
          <m:rPr>
            <m:sty m:val="p"/>
          </m:rPr>
          <m:t>/</m:t>
        </m:r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ne dit rien d’autre que « chaque mètre du</w:t>
      </w:r>
      <w:r>
        <w:t xml:space="preserve"> </w:t>
      </w:r>
      <w:r>
        <w:t xml:space="preserve">tracé est parcouru à la vitesse que ce mètre permet, et on additionne ».</w:t>
      </w:r>
    </w:p>
    <w:p>
      <w:pPr>
        <w:pStyle w:val="BodyText"/>
      </w:pPr>
      <w:r>
        <w:rPr>
          <w:b/>
          <w:bCs/>
        </w:rPr>
        <w:t xml:space="preserve">Vitesse géométrique</w:t>
      </w:r>
      <w:r>
        <w:t xml:space="preserve"> : le plafond que les courbes permettent. Une courbe de rayon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(en mètres) limite la vitesse à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k</m:t>
        </m:r>
        <m:rad>
          <m:radPr>
            <m:degHide m:val="on"/>
          </m:radPr>
          <m:deg/>
          <m:e>
            <m:r>
              <m:t>R</m:t>
            </m:r>
          </m:e>
        </m:rad>
      </m:oMath>
      <w:r>
        <w:t xml:space="preserve">, où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dépend du dévers (l’inclinaison</w:t>
      </w:r>
      <w:r>
        <w:t xml:space="preserve"> </w:t>
      </w:r>
      <w:r>
        <w:t xml:space="preserve">de la voie dans la courbe) et de l’insuffisance de dévers admise (l’inclinaison</w:t>
      </w:r>
      <w:r>
        <w:t xml:space="preserve"> </w:t>
      </w:r>
      <w:r>
        <w:t xml:space="preserve">« manquante » que le train et ses passagers acceptent de subir, ou que la caisse</w:t>
      </w:r>
      <w:r>
        <w:t xml:space="preserve"> </w:t>
      </w:r>
      <w:r>
        <w:t xml:space="preserve">pendulaire compense). C’est une borne physique, jamais une promesse d’horaire. Avec un</w:t>
      </w:r>
      <w:r>
        <w:t xml:space="preserve"> </w:t>
      </w:r>
      <w:r>
        <w:t xml:space="preserve">écartement effectif de 1 524 mm, cette formule reproduit exactement la méthode officielle</w:t>
      </w:r>
      <w:r>
        <w:t xml:space="preserve"> </w:t>
      </w:r>
      <w:r>
        <w:t xml:space="preserve">du CN</w:t>
      </w:r>
      <w:r>
        <w:t xml:space="preserve"> </w:t>
      </w:r>
      <w:r>
        <w:t xml:space="preserve">(</w:t>
      </w:r>
      <w:hyperlink w:anchor="ref-cn2002mr1305">
        <w:r>
          <w:rPr>
            <w:rStyle w:val="Hyperlink"/>
          </w:rPr>
          <w:t xml:space="preserve">Canadien National, 2002</w:t>
        </w:r>
      </w:hyperlink>
      <w: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Vitesse commerciale</w:t>
      </w:r>
      <w:r>
        <w:t xml:space="preserve"> : la vitesse résultante à l’horaire, une fois appliqués les</w:t>
      </w:r>
      <w:r>
        <w:t xml:space="preserve"> </w:t>
      </w:r>
      <w:r>
        <w:t xml:space="preserve">plafonds réglementaires (passages à niveau, signalisation), les blocs urbains, les arrêts</w:t>
      </w:r>
      <w:r>
        <w:t xml:space="preserve"> </w:t>
      </w:r>
      <w:r>
        <w:t xml:space="preserve">et la marge. Elle est calculée par l’intégration ci-dessus, jamais par un facteur</w:t>
      </w:r>
      <w:r>
        <w:t xml:space="preserve"> </w:t>
      </w:r>
      <w:r>
        <w:t xml:space="preserve">multiplicatif.</w:t>
      </w:r>
    </w:p>
    <w:p>
      <w:pPr>
        <w:pStyle w:val="BodyText"/>
      </w:pPr>
      <w:r>
        <w:rPr>
          <w:b/>
          <w:bCs/>
        </w:rPr>
        <w:t xml:space="preserve">Blocs urbains figés.</w:t>
      </w:r>
      <w:r>
        <w:t xml:space="preserve"> </w:t>
      </w:r>
      <w:r>
        <w:t xml:space="preserve">Aucun gain n’est compté dans les approches urbaines, quel que</w:t>
      </w:r>
      <w:r>
        <w:t xml:space="preserve"> </w:t>
      </w:r>
      <w:r>
        <w:t xml:space="preserve">soit le scénario : Montréal Central à Dorval (17,8 km), Montréal à Saint-Lambert par le</w:t>
      </w:r>
      <w:r>
        <w:t xml:space="preserve"> </w:t>
      </w:r>
      <w:r>
        <w:t xml:space="preserve">pont Victoria (6,1 km, tronçon de Québec), Sainte-Foy à Québec avec le pont de Québec</w:t>
      </w:r>
      <w:r>
        <w:t xml:space="preserve"> </w:t>
      </w:r>
      <w:r>
        <w:t xml:space="preserve">(19,9 km), Guildwood à Toronto Union (20,1 km), chacun figé à la médiane des horaires publiés</w:t>
      </w:r>
      <w:r>
        <w:t xml:space="preserve"> </w:t>
      </w:r>
      <w:r>
        <w:t xml:space="preserve">actuels (données ouvertes GTFS)</w:t>
      </w:r>
      <w:r>
        <w:t xml:space="preserve"> </w:t>
      </w:r>
      <w:r>
        <w:t xml:space="preserve">(</w:t>
      </w:r>
      <w:hyperlink w:anchor="ref-viarail2026gtfs">
        <w:r>
          <w:rPr>
            <w:rStyle w:val="Hyperlink"/>
          </w:rPr>
          <w:t xml:space="preserve">VIA Rail Canada, 2026</w:t>
        </w:r>
      </w:hyperlink>
      <w:r>
        <w:t xml:space="preserve">)</w:t>
      </w:r>
      <w:r>
        <w:t xml:space="preserve"> ; Ottawa, sans gare d’approche proche, est traité par une</w:t>
      </w:r>
      <w:r>
        <w:t xml:space="preserve"> </w:t>
      </w:r>
      <w:r>
        <w:t xml:space="preserve">fenêtre de 10 km de part et d’autre [HYPOTHÈSE, couverte par la sensibilité de ±20 pour</w:t>
      </w:r>
      <w:r>
        <w:t xml:space="preserve"> </w:t>
      </w:r>
      <w:r>
        <w:t xml:space="preserve">cent sur l’ensemble des blocs urbains].</w:t>
      </w:r>
    </w:p>
    <w:p>
      <w:pPr>
        <w:pStyle w:val="BodyText"/>
      </w:pPr>
      <w:r>
        <w:rPr>
          <w:b/>
          <w:bCs/>
        </w:rPr>
        <w:t xml:space="preserve">Arrêts.</w:t>
      </w:r>
      <w:r>
        <w:t xml:space="preserve"> </w:t>
      </w:r>
      <w:r>
        <w:t xml:space="preserve">Cinq minutes par arrêt intermédiaire hors blocs urbains. C’est une</w:t>
      </w:r>
      <w:r>
        <w:t xml:space="preserve"> </w:t>
      </w:r>
      <w:r>
        <w:t xml:space="preserve">normalisation volontairement favorable : le pilote de train sans arrêt de septembre 2025</w:t>
      </w:r>
      <w:r>
        <w:t xml:space="preserve"> </w:t>
      </w:r>
      <w:r>
        <w:t xml:space="preserve">annonçait un gain de 30 à 40 minutes pour quatre arrêts sautés, soit 7,5 à 10 minutes par</w:t>
      </w:r>
      <w:r>
        <w:t xml:space="preserve"> </w:t>
      </w:r>
      <w:r>
        <w:t xml:space="preserve">arrêt en conditions réelles</w:t>
      </w:r>
      <w:r>
        <w:t xml:space="preserve"> </w:t>
      </w:r>
      <w:r>
        <w:t xml:space="preserve">(</w:t>
      </w:r>
      <w:hyperlink w:anchor="ref-cbc2025pilote">
        <w:r>
          <w:rPr>
            <w:rStyle w:val="Hyperlink"/>
          </w:rPr>
          <w:t xml:space="preserve">CBC News, 2025</w:t>
        </w:r>
      </w:hyperlink>
      <w: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Marge.</w:t>
      </w:r>
      <w:r>
        <w:t xml:space="preserve"> </w:t>
      </w:r>
      <w:r>
        <w:t xml:space="preserve">Jamais estimée : encadrée entre une borne normative et une borne mesurée</w:t>
      </w:r>
      <w:r>
        <w:t xml:space="preserve"> </w:t>
      </w:r>
      <w:r>
        <w:t xml:space="preserve">(section 4.3).</w:t>
      </w:r>
    </w:p>
    <w:bookmarkEnd w:id="13"/>
    <w:bookmarkStart w:id="14" w:name="X1a1c4a7d8a19cc0ff7b825fa1ef270c3558115a"/>
    <w:p>
      <w:pPr>
        <w:pStyle w:val="Heading2"/>
      </w:pPr>
      <w:r>
        <w:t xml:space="preserve">Les données, et comment la géométrie a été mesurée</w:t>
      </w:r>
    </w:p>
    <w:p>
      <w:pPr>
        <w:pStyle w:val="FirstParagraph"/>
      </w:pPr>
      <w:r>
        <w:t xml:space="preserve">Deux sources publiques se complètent. Les données d’horaires ouvertes de VIA (le format</w:t>
      </w:r>
      <w:r>
        <w:t xml:space="preserve"> </w:t>
      </w:r>
      <w:r>
        <w:t xml:space="preserve">GTFS, celui qu’utilisent les applications de transport) disent quelles lignes le train</w:t>
      </w:r>
      <w:r>
        <w:t xml:space="preserve"> </w:t>
      </w:r>
      <w:r>
        <w:t xml:space="preserve">emprunte, dans quel ordre et avec quelles gares</w:t>
      </w:r>
      <w:r>
        <w:t xml:space="preserve"> </w:t>
      </w:r>
      <w:r>
        <w:t xml:space="preserve">(</w:t>
      </w:r>
      <w:hyperlink w:anchor="ref-viarail2026gtfs">
        <w:r>
          <w:rPr>
            <w:rStyle w:val="Hyperlink"/>
          </w:rPr>
          <w:t xml:space="preserve">VIA Rail Canada, 2026</w:t>
        </w:r>
      </w:hyperlink>
      <w:r>
        <w:t xml:space="preserve">)</w:t>
      </w:r>
      <w:r>
        <w:t xml:space="preserve">. La carte</w:t>
      </w:r>
      <w:r>
        <w:t xml:space="preserve"> </w:t>
      </w:r>
      <w:r>
        <w:t xml:space="preserve">collaborative OpenStreetMap dit où les rails passent physiquement, à quelques mètres</w:t>
      </w:r>
      <w:r>
        <w:t xml:space="preserve"> </w:t>
      </w:r>
      <w:r>
        <w:t xml:space="preserve">près</w:t>
      </w:r>
      <w:r>
        <w:t xml:space="preserve"> </w:t>
      </w:r>
      <w:r>
        <w:t xml:space="preserve">(</w:t>
      </w:r>
      <w:hyperlink w:anchor="ref-osm2026geofabrik">
        <w:r>
          <w:rPr>
            <w:rStyle w:val="Hyperlink"/>
          </w:rPr>
          <w:t xml:space="preserve">OpenStreetMap contributors, 2026</w:t>
        </w:r>
      </w:hyperlink>
      <w:r>
        <w:t xml:space="preserve">)</w:t>
      </w:r>
      <w:r>
        <w:t xml:space="preserve">. L’étude recolle la première sur la seconde : le tracé</w:t>
      </w:r>
      <w:r>
        <w:t xml:space="preserve"> </w:t>
      </w:r>
      <w:r>
        <w:t xml:space="preserve">schématique de VIA est verrouillé sur la voie réelle, et l’analyse suit cette voie comme</w:t>
      </w:r>
      <w:r>
        <w:t xml:space="preserve"> </w:t>
      </w:r>
      <w:r>
        <w:t xml:space="preserve">un train le ferait, sans en changer sauf à un aiguillage. Ce verrouillage est ce qui</w:t>
      </w:r>
      <w:r>
        <w:t xml:space="preserve"> </w:t>
      </w:r>
      <w:r>
        <w:t xml:space="preserve">évite les « courbes fantômes » qu’un appariement naïf fabrique en sautant entre deux</w:t>
      </w:r>
      <w:r>
        <w:t xml:space="preserve"> </w:t>
      </w:r>
      <w:r>
        <w:t xml:space="preserve">voies parallèles.</w:t>
      </w:r>
    </w:p>
    <w:p>
      <w:pPr>
        <w:pStyle w:val="BodyText"/>
      </w:pPr>
      <w:r>
        <w:t xml:space="preserve">Sur le tracé ainsi reconstruit, un point tous les 10 mètres. Le rayon de courbure en</w:t>
      </w:r>
      <w:r>
        <w:t xml:space="preserve"> </w:t>
      </w:r>
      <w:r>
        <w:t xml:space="preserve">chaque point est estimé en faisant passer au mieux un cercle à travers les quelque</w:t>
      </w:r>
      <w:r>
        <w:t xml:space="preserve"> </w:t>
      </w:r>
      <w:r>
        <w:t xml:space="preserve">80 points d’une fenêtre glissante de 900 mètres : moyenner autant de points efface le</w:t>
      </w:r>
      <w:r>
        <w:t xml:space="preserve"> </w:t>
      </w:r>
      <w:r>
        <w:t xml:space="preserve">bruit de la carte sans aplatir les vraies courbes. L’estimateur a été calibré sur des</w:t>
      </w:r>
      <w:r>
        <w:t xml:space="preserve"> </w:t>
      </w:r>
      <w:r>
        <w:t xml:space="preserve">cercles synthétiques de rayon connu, puis validé sur des zones-témoins du corridor</w:t>
      </w:r>
      <w:r>
        <w:t xml:space="preserve"> </w:t>
      </w:r>
      <w:r>
        <w:t xml:space="preserve">(vraies courbes serrées des approches d’Ottawa et de Montréal, longues lignes droites de</w:t>
      </w:r>
      <w:r>
        <w:t xml:space="preserve"> </w:t>
      </w:r>
      <w:r>
        <w:t xml:space="preserve">la ligne de Kingston), qui doivent ressortir correctement à chaque régénération. Chaque</w:t>
      </w:r>
      <w:r>
        <w:t xml:space="preserve"> </w:t>
      </w:r>
      <w:r>
        <w:t xml:space="preserve">courbe devient ensuite une vitesse par la formule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k</m:t>
        </m:r>
        <m:rad>
          <m:radPr>
            <m:degHide m:val="on"/>
          </m:radPr>
          <m:deg/>
          <m:e>
            <m:r>
              <m:t>R</m:t>
            </m:r>
          </m:e>
        </m:rad>
      </m:oMath>
      <w:r>
        <w:t xml:space="preserve"> </w:t>
      </w:r>
      <w:r>
        <w:t xml:space="preserve">de la section 3, et</w:t>
      </w:r>
      <w:r>
        <w:t xml:space="preserve"> </w:t>
      </w:r>
      <w:r>
        <w:t xml:space="preserve">chaque segment est classé de façon volontairement conservatrice : sa vitesse est fixée</w:t>
      </w:r>
      <w:r>
        <w:t xml:space="preserve"> </w:t>
      </w:r>
      <w:r>
        <w:t xml:space="preserve">par sa courbe la plus serrée qui se maintient sur la longueur d’un train (environ</w:t>
      </w:r>
      <w:r>
        <w:t xml:space="preserve"> </w:t>
      </w:r>
      <w:r>
        <w:t xml:space="preserve">150 mètres), pas par une moyenne ni par un point isolé possiblement bruité. C’est la</w:t>
      </w:r>
      <w:r>
        <w:t xml:space="preserve"> </w:t>
      </w:r>
      <w:r>
        <w:t xml:space="preserve">logique d’une vraie limite de vitesse ferroviaire. L’ensemble a été validé par quatre</w:t>
      </w:r>
      <w:r>
        <w:t xml:space="preserve"> </w:t>
      </w:r>
      <w:r>
        <w:t xml:space="preserve">passes de contre-vérification indépendantes lors des phases antérieures du projet.</w:t>
      </w:r>
    </w:p>
    <w:p>
      <w:pPr>
        <w:pStyle w:val="BodyText"/>
      </w:pPr>
      <w:r>
        <w:t xml:space="preserve">Le reste des données : nombre de voies par détection géométrique des voies parallèles</w:t>
      </w:r>
      <w:r>
        <w:t xml:space="preserve"> </w:t>
      </w:r>
      <w:r>
        <w:t xml:space="preserve">dans OpenStreetMap, corroborée par les rapports du Bureau de la sécurité des transports</w:t>
      </w:r>
      <w:r>
        <w:t xml:space="preserve"> </w:t>
      </w:r>
      <w:r>
        <w:t xml:space="preserve">(l’écart entre un tronçon double détecté et le même tronçon documenté par le BST est de</w:t>
      </w:r>
      <w:r>
        <w:t xml:space="preserve"> </w:t>
      </w:r>
      <w:r>
        <w:t xml:space="preserve">0,1 km sur 25) ; passages à niveau par l’inventaire officiel ouvert de Transports</w:t>
      </w:r>
      <w:r>
        <w:t xml:space="preserve"> </w:t>
      </w:r>
      <w:r>
        <w:t xml:space="preserve">Canada</w:t>
      </w:r>
      <w:r>
        <w:t xml:space="preserve"> </w:t>
      </w:r>
      <w:r>
        <w:t xml:space="preserve">(</w:t>
      </w:r>
      <w:hyperlink w:anchor="ref-tc2023inventairepn">
        <w:r>
          <w:rPr>
            <w:rStyle w:val="Hyperlink"/>
          </w:rPr>
          <w:t xml:space="preserve">Transports Canada, 2023</w:t>
        </w:r>
      </w:hyperlink>
      <w:r>
        <w:t xml:space="preserve">)</w:t>
      </w:r>
      <w:r>
        <w:t xml:space="preserve"> ; horaires par le flux GTFS de VIA, saison 2026</w:t>
      </w:r>
      <w:r>
        <w:t xml:space="preserve"> </w:t>
      </w:r>
      <w:r>
        <w:t xml:space="preserve">(</w:t>
      </w:r>
      <w:hyperlink w:anchor="ref-viarail2026gtfs">
        <w:r>
          <w:rPr>
            <w:rStyle w:val="Hyperlink"/>
          </w:rPr>
          <w:t xml:space="preserve">VIA Rail Canada, 2026</w:t>
        </w:r>
      </w:hyperlink>
      <w:r>
        <w:t xml:space="preserve">)</w:t>
      </w:r>
      <w:r>
        <w:t xml:space="preserve">.</w:t>
      </w:r>
    </w:p>
    <w:bookmarkEnd w:id="14"/>
    <w:bookmarkStart w:id="15" w:name="hors-périmètre-déclaré"/>
    <w:p>
      <w:pPr>
        <w:pStyle w:val="Heading2"/>
      </w:pPr>
      <w:r>
        <w:t xml:space="preserve">Hors périmètre, déclaré</w:t>
      </w:r>
    </w:p>
    <w:p>
      <w:pPr>
        <w:pStyle w:val="FirstParagraph"/>
      </w:pPr>
      <w:r>
        <w:t xml:space="preserve">La conception par site (clothoïdes, raccordements), le cantonnement fin, la simulation de</w:t>
      </w:r>
      <w:r>
        <w:t xml:space="preserve"> </w:t>
      </w:r>
      <w:r>
        <w:t xml:space="preserve">circulation (c’est l’étude à commander), les ponts, tunnels et l’état detaillé de la</w:t>
      </w:r>
      <w:r>
        <w:t xml:space="preserve"> </w:t>
      </w:r>
      <w:r>
        <w:t xml:space="preserve">voie, ainsi que les zones urbaines au-delà de leurs blocs figés. Les horaires mesurés</w:t>
      </w:r>
      <w:r>
        <w:t xml:space="preserve"> </w:t>
      </w:r>
      <w:r>
        <w:t xml:space="preserve">datent de la saison 2026, une période de restrictions exceptionnelles liées aux passages</w:t>
      </w:r>
      <w:r>
        <w:t xml:space="preserve"> </w:t>
      </w:r>
      <w:r>
        <w:t xml:space="preserve">à niveau (section 6) : les marges mesurées sont donc possiblement gonflées, ce qui est</w:t>
      </w:r>
      <w:r>
        <w:t xml:space="preserve"> </w:t>
      </w:r>
      <w:r>
        <w:t xml:space="preserve">signalé partout où cela joue.</w:t>
      </w:r>
    </w:p>
    <w:p>
      <w:pPr>
        <w:pStyle w:val="BodyText"/>
      </w:pPr>
      <w:r>
        <w:t xml:space="preserve">Règle d’écriture du document : des comptes et des seuils (« ce qui devrait être vrai »),</w:t>
      </w:r>
      <w:r>
        <w:t xml:space="preserve"> </w:t>
      </w:r>
      <w:r>
        <w:t xml:space="preserve">jamais des estimations d’auteur. On peut contester un coût ; on ne peut pas contester un</w:t>
      </w:r>
      <w:r>
        <w:t xml:space="preserve"> </w:t>
      </w:r>
      <w:r>
        <w:t xml:space="preserve">compte.</w:t>
      </w:r>
    </w:p>
    <w:bookmarkEnd w:id="15"/>
    <w:bookmarkEnd w:id="16"/>
    <w:bookmarkStart w:id="17" w:name="le-train-pendulaire-et-le-dévers"/>
    <w:p>
      <w:pPr>
        <w:pStyle w:val="Heading1"/>
      </w:pPr>
      <w:r>
        <w:t xml:space="preserve">Le train pendulaire et le dévers</w:t>
      </w:r>
    </w:p>
    <w:p>
      <w:pPr>
        <w:pStyle w:val="FirstParagraph"/>
      </w:pPr>
      <w:r>
        <w:t xml:space="preserve">Un train pendulaire incline sa caisse dans les courbes, ce qui permet de les franchir</w:t>
      </w:r>
      <w:r>
        <w:t xml:space="preserve"> </w:t>
      </w:r>
      <w:r>
        <w:t xml:space="preserve">plus vite sans inconfort pour les passagers. Le Canada en a déjà exploité un : le LRC,</w:t>
      </w:r>
      <w:r>
        <w:t xml:space="preserve"> </w:t>
      </w:r>
      <w:r>
        <w:t xml:space="preserve">auquel la méthode du CN accorde une insuffisance de dévers de 6 pouces (152 mm), contre</w:t>
      </w:r>
      <w:r>
        <w:t xml:space="preserve"> </w:t>
      </w:r>
      <w:r>
        <w:t xml:space="preserve">3 pouces pour un train ordinaire</w:t>
      </w:r>
      <w:r>
        <w:t xml:space="preserve"> </w:t>
      </w:r>
      <w:r>
        <w:t xml:space="preserve">(</w:t>
      </w:r>
      <w:hyperlink w:anchor="ref-cn2002mr1305">
        <w:r>
          <w:rPr>
            <w:rStyle w:val="Hyperlink"/>
          </w:rPr>
          <w:t xml:space="preserve">Canadien National, 2002</w:t>
        </w:r>
      </w:hyperlink>
      <w:r>
        <w:t xml:space="preserve">;</w:t>
      </w:r>
      <w:r>
        <w:t xml:space="preserve"> </w:t>
      </w:r>
      <w:hyperlink w:anchor="ref-fra-lrc-152">
        <w:r>
          <w:rPr>
            <w:rStyle w:val="Hyperlink"/>
          </w:rPr>
          <w:t xml:space="preserve">Federal Railroad Administration, s. d.-b</w:t>
        </w:r>
      </w:hyperlink>
      <w:r>
        <w:t xml:space="preserve">)</w:t>
      </w:r>
      <w:r>
        <w:t xml:space="preserve">. C’est un précédent</w:t>
      </w:r>
      <w:r>
        <w:t xml:space="preserve"> </w:t>
      </w:r>
      <w:r>
        <w:t xml:space="preserve">domestique, pas une hypothèse.</w:t>
      </w:r>
    </w:p>
    <w:p>
      <w:pPr>
        <w:pStyle w:val="BodyText"/>
      </w:pPr>
      <w:r>
        <w:t xml:space="preserve">Les trois scénarios 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Dévers</w:t>
            </w:r>
          </w:p>
        </w:tc>
        <w:tc>
          <w:tcPr/>
          <w:p>
            <w:pPr>
              <w:pStyle w:val="Compact"/>
            </w:pPr>
            <w:r>
              <w:t xml:space="preserve">Insuffisance</w:t>
            </w:r>
          </w:p>
        </w:tc>
        <w:tc>
          <w:tcPr/>
          <w:p>
            <w:pPr>
              <w:pStyle w:val="Compact"/>
            </w:pPr>
            <w:r>
              <w:t xml:space="preserve">k (v = k·√R)</w:t>
            </w:r>
          </w:p>
        </w:tc>
        <w:tc>
          <w:tcPr/>
          <w:p>
            <w:pPr>
              <w:pStyle w:val="Compact"/>
            </w:pPr>
            <w:r>
              <w:t xml:space="preserve">Statut réglementaire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 : voie et train actuels</w:t>
            </w:r>
          </w:p>
        </w:tc>
        <w:tc>
          <w:tcPr/>
          <w:p>
            <w:pPr>
              <w:pStyle w:val="Compact"/>
            </w:pPr>
            <w:r>
              <w:t xml:space="preserve">100 mm (supposé)</w:t>
            </w:r>
          </w:p>
        </w:tc>
        <w:tc>
          <w:tcPr/>
          <w:p>
            <w:pPr>
              <w:pStyle w:val="Compact"/>
            </w:pPr>
            <w:r>
              <w:t xml:space="preserve">76 mm</w:t>
            </w:r>
          </w:p>
        </w:tc>
        <w:tc>
          <w:tcPr/>
          <w:p>
            <w:pPr>
              <w:pStyle w:val="Compact"/>
            </w:pPr>
            <w:r>
              <w:t xml:space="preserve">3,83</w:t>
            </w:r>
          </w:p>
        </w:tc>
        <w:tc>
          <w:tcPr/>
          <w:p>
            <w:pPr>
              <w:pStyle w:val="Compact"/>
            </w:pPr>
            <w:r>
              <w:t xml:space="preserve">régime courant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 : pendulaire type LRC</w:t>
            </w:r>
          </w:p>
        </w:tc>
        <w:tc>
          <w:tcPr/>
          <w:p>
            <w:pPr>
              <w:pStyle w:val="Compact"/>
            </w:pPr>
            <w:r>
              <w:t xml:space="preserve">127 mm</w:t>
            </w:r>
          </w:p>
        </w:tc>
        <w:tc>
          <w:tcPr/>
          <w:p>
            <w:pPr>
              <w:pStyle w:val="Compact"/>
            </w:pPr>
            <w:r>
              <w:t xml:space="preserve">152 mm</w:t>
            </w:r>
          </w:p>
        </w:tc>
        <w:tc>
          <w:tcPr/>
          <w:p>
            <w:pPr>
              <w:pStyle w:val="Compact"/>
            </w:pPr>
            <w:r>
              <w:t xml:space="preserve">4,82</w:t>
            </w:r>
          </w:p>
        </w:tc>
        <w:tc>
          <w:tcPr/>
          <w:p>
            <w:pPr>
              <w:pStyle w:val="Compact"/>
            </w:pPr>
            <w:r>
              <w:t xml:space="preserve">100 % précédent CN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 : pendulaire moderne</w:t>
            </w:r>
          </w:p>
        </w:tc>
        <w:tc>
          <w:tcPr/>
          <w:p>
            <w:pPr>
              <w:pStyle w:val="Compact"/>
            </w:pPr>
            <w:r>
              <w:t xml:space="preserve">127 mm</w:t>
            </w:r>
          </w:p>
        </w:tc>
        <w:tc>
          <w:tcPr/>
          <w:p>
            <w:pPr>
              <w:pStyle w:val="Compact"/>
            </w:pPr>
            <w:r>
              <w:t xml:space="preserve">270 mm</w:t>
            </w:r>
          </w:p>
        </w:tc>
        <w:tc>
          <w:tcPr/>
          <w:p>
            <w:pPr>
              <w:pStyle w:val="Compact"/>
            </w:pPr>
            <w:r>
              <w:t xml:space="preserve">5,75</w:t>
            </w:r>
          </w:p>
        </w:tc>
        <w:tc>
          <w:tcPr/>
          <w:p>
            <w:pPr>
              <w:pStyle w:val="Compact"/>
            </w:pPr>
            <w:r>
              <w:t xml:space="preserve">hors précédent NA</w:t>
            </w:r>
          </w:p>
        </w:tc>
      </w:tr>
    </w:tbl>
    <w:p>
      <w:pPr>
        <w:pStyle w:val="BodyText"/>
      </w:pPr>
      <w:r>
        <w:t xml:space="preserve">Le dévers de S2 et S3 (127 mm, soit 5 pouces) est le maximum standard du CN pour trafic</w:t>
      </w:r>
      <w:r>
        <w:t xml:space="preserve"> </w:t>
      </w:r>
      <w:r>
        <w:t xml:space="preserve">mixte</w:t>
      </w:r>
      <w:r>
        <w:t xml:space="preserve"> </w:t>
      </w:r>
      <w:r>
        <w:t xml:space="preserve">(</w:t>
      </w:r>
      <w:hyperlink w:anchor="ref-cn2002mr1305">
        <w:r>
          <w:rPr>
            <w:rStyle w:val="Hyperlink"/>
          </w:rPr>
          <w:t xml:space="preserve">Canadien National, 2002</w:t>
        </w:r>
      </w:hyperlink>
      <w:r>
        <w:t xml:space="preserve">)</w:t>
      </w:r>
      <w:r>
        <w:t xml:space="preserve"> : il ne demande aucune dérogation et n’exclut pas le fret. S1 porte</w:t>
      </w:r>
      <w:r>
        <w:t xml:space="preserve"> </w:t>
      </w:r>
      <w:r>
        <w:t xml:space="preserve">un dévers supposé (le réseau réel n’a pas été relevé), signalé comme tel partout.</w:t>
      </w:r>
    </w:p>
    <w:p>
      <w:pPr>
        <w:pStyle w:val="BodyText"/>
      </w:pPr>
      <w:r>
        <w:rPr>
          <w:b/>
          <w:bCs/>
        </w:rPr>
        <w:t xml:space="preserve">Ce que chaque scénario achète</w:t>
      </w:r>
      <w:r>
        <w:t xml:space="preserve">, en kilomètres de tracé dont le plafond géométrique</w:t>
      </w:r>
      <w:r>
        <w:t xml:space="preserve"> </w:t>
      </w:r>
      <w:r>
        <w:t xml:space="preserve">reste sous la cible (somme des quatre trajets analysés, 1 431 km) 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Cible</w:t>
            </w:r>
          </w:p>
        </w:tc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S3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Sous 200 km/h / 124 mi/h (rectification requise pour la grande vitesse)</w:t>
            </w:r>
          </w:p>
        </w:tc>
        <w:tc>
          <w:tcPr/>
          <w:p>
            <w:pPr>
              <w:pStyle w:val="Compact"/>
            </w:pPr>
            <w:r>
              <w:t xml:space="preserve">620 km</w:t>
            </w:r>
          </w:p>
        </w:tc>
        <w:tc>
          <w:tcPr/>
          <w:p>
            <w:pPr>
              <w:pStyle w:val="Compact"/>
            </w:pPr>
            <w:r>
              <w:t xml:space="preserve">267 km</w:t>
            </w:r>
          </w:p>
        </w:tc>
        <w:tc>
          <w:tcPr/>
          <w:p>
            <w:pPr>
              <w:pStyle w:val="Compact"/>
            </w:pPr>
            <w:r>
              <w:t xml:space="preserve">186 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Sous 160 km/h / 99 mi/h</w:t>
            </w:r>
          </w:p>
        </w:tc>
        <w:tc>
          <w:tcPr/>
          <w:p>
            <w:pPr>
              <w:pStyle w:val="Compact"/>
            </w:pPr>
            <w:r>
              <w:t xml:space="preserve">326 km</w:t>
            </w:r>
          </w:p>
        </w:tc>
        <w:tc>
          <w:tcPr/>
          <w:p>
            <w:pPr>
              <w:pStyle w:val="Compact"/>
            </w:pPr>
            <w:r>
              <w:t xml:space="preserve">122 km</w:t>
            </w:r>
          </w:p>
        </w:tc>
        <w:tc>
          <w:tcPr/>
          <w:p>
            <w:pPr>
              <w:pStyle w:val="Compact"/>
            </w:pPr>
            <w:r>
              <w:t xml:space="preserve">59 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Sous 100 km/h / 62 mi/h (sections sévères)</w:t>
            </w:r>
          </w:p>
        </w:tc>
        <w:tc>
          <w:tcPr/>
          <w:p>
            <w:pPr>
              <w:pStyle w:val="Compact"/>
            </w:pPr>
            <w:r>
              <w:t xml:space="preserve">41 km</w:t>
            </w:r>
          </w:p>
        </w:tc>
        <w:tc>
          <w:tcPr/>
          <w:p>
            <w:pPr>
              <w:pStyle w:val="Compact"/>
            </w:pPr>
            <w:r>
              <w:t xml:space="preserve">18 km</w:t>
            </w:r>
          </w:p>
        </w:tc>
        <w:tc>
          <w:tcPr/>
          <w:p>
            <w:pPr>
              <w:pStyle w:val="Compact"/>
            </w:pPr>
            <w:r>
              <w:t xml:space="preserve">0 km</w:t>
            </w:r>
          </w:p>
        </w:tc>
      </w:tr>
    </w:tbl>
    <w:p>
      <w:pPr>
        <w:pStyle w:val="BodyText"/>
      </w:pPr>
      <w:r>
        <w:t xml:space="preserve">La lecture décisionnelle : la géométrie du corridor n’a pas besoin d’être reconstruite,</w:t>
      </w:r>
      <w:r>
        <w:t xml:space="preserve"> </w:t>
      </w:r>
      <w:r>
        <w:t xml:space="preserve">elle a besoin d’un meilleur train. En S3, 87 pour cent du tracé atteint 200 km/h (124 mi/h) ou plus</w:t>
      </w:r>
      <w:r>
        <w:t xml:space="preserve"> </w:t>
      </w:r>
      <w:r>
        <w:t xml:space="preserve">sans toucher une seule courbe ; le résidu de 186 km est listé section par section dans</w:t>
      </w:r>
      <w:r>
        <w:t xml:space="preserve"> </w:t>
      </w:r>
      <w:r>
        <w:t xml:space="preserve">les annexes numériques du projet, avec le rayon à ouvrir pour chaque site.</w:t>
      </w:r>
    </w:p>
    <w:p>
      <w:pPr>
        <w:pStyle w:val="BodyText"/>
      </w:pPr>
      <w:r>
        <w:rPr>
          <w:b/>
          <w:bCs/>
        </w:rPr>
        <w:t xml:space="preserve">Ce qu’il faut dire honnêtement de S3.</w:t>
      </w:r>
      <w:r>
        <w:t xml:space="preserve"> </w:t>
      </w:r>
      <w:r>
        <w:t xml:space="preserve">Aucun matériel n’est exploité en Amérique du</w:t>
      </w:r>
      <w:r>
        <w:t xml:space="preserve"> </w:t>
      </w:r>
      <w:r>
        <w:t xml:space="preserve">Nord à 270 mm d’insuffisance ; la voie d’approbation existe (l’article 4.3 du règlement</w:t>
      </w:r>
      <w:r>
        <w:t xml:space="preserve"> </w:t>
      </w:r>
      <w:r>
        <w:t xml:space="preserve">canadien permet d’approuver un équipement désigné au-delà de 3 pouces</w:t>
      </w:r>
      <w:r>
        <w:t xml:space="preserve"> </w:t>
      </w:r>
      <w:r>
        <w:t xml:space="preserve">(</w:t>
      </w:r>
      <w:hyperlink w:anchor="ref-tc2022rrts">
        <w:r>
          <w:rPr>
            <w:rStyle w:val="Hyperlink"/>
          </w:rPr>
          <w:t xml:space="preserve">Transports Canada, 2022</w:t>
        </w:r>
      </w:hyperlink>
      <w:r>
        <w:t xml:space="preserve">)</w:t>
      </w:r>
      <w:r>
        <w:t xml:space="preserve">),</w:t>
      </w:r>
      <w:r>
        <w:t xml:space="preserve"> </w:t>
      </w:r>
      <w:r>
        <w:t xml:space="preserve">mais elle reste à parcourir. Une position de repli à 225 mm est calculée en sensibilité</w:t>
      </w:r>
      <w:r>
        <w:t xml:space="preserve"> </w:t>
      </w:r>
      <w:r>
        <w:t xml:space="preserve">dans les annexes. Par ailleurs, la caisse pendulaire protège le passager, pas le rail :</w:t>
      </w:r>
      <w:r>
        <w:t xml:space="preserve"> </w:t>
      </w:r>
      <w:r>
        <w:t xml:space="preserve">les efforts en voie croissent avec la vitesse en courbe, ce qui implique un standard</w:t>
      </w:r>
      <w:r>
        <w:t xml:space="preserve"> </w:t>
      </w:r>
      <w:r>
        <w:t xml:space="preserve">d’entretien renforcé (un point de veto potentiel du propriétaire, et un coût récurrent).</w:t>
      </w:r>
      <w:r>
        <w:t xml:space="preserve"> </w:t>
      </w:r>
      <w:r>
        <w:t xml:space="preserve">L’histoire du LRC le rappelle : son système d’inclinaison, coûteux en entretien, a été retiré lors de la remise à</w:t>
      </w:r>
      <w:r>
        <w:t xml:space="preserve"> </w:t>
      </w:r>
      <w:r>
        <w:t xml:space="preserve">neuf de la flotte engagée à partir de 2007-2009, VIA justifiant ce retrait par la</w:t>
      </w:r>
      <w:r>
        <w:t xml:space="preserve"> </w:t>
      </w:r>
      <w:r>
        <w:t xml:space="preserve">réduction des coûts d’entretien et un allègement de deux tonnes par voiture</w:t>
      </w:r>
      <w:r>
        <w:t xml:space="preserve"> </w:t>
      </w:r>
      <w:r>
        <w:t xml:space="preserve">(</w:t>
      </w:r>
      <w:hyperlink w:anchor="ref-via2009lrc">
        <w:r>
          <w:rPr>
            <w:rStyle w:val="Hyperlink"/>
          </w:rPr>
          <w:t xml:space="preserve">VIA Rail Canada, 2009</w:t>
        </w:r>
      </w:hyperlink>
      <w:r>
        <w:t xml:space="preserve">)</w:t>
      </w:r>
      <w:r>
        <w:t xml:space="preserve">. S2 reste, pour cette raison, le scénario pivot de</w:t>
      </w:r>
      <w:r>
        <w:t xml:space="preserve"> </w:t>
      </w:r>
      <w:r>
        <w:t xml:space="preserve">l’argumentaire : tout y tient dans la méthode que le CN applique déjà.</w:t>
      </w:r>
    </w:p>
    <w:p>
      <w:pPr>
        <w:pStyle w:val="BodyText"/>
      </w:pPr>
      <w:r>
        <w:rPr>
          <w:b/>
          <w:bCs/>
        </w:rPr>
        <w:t xml:space="preserve">Pourquoi 81 kilomètres d’écart ne font que deux à quatre minutes.</w:t>
      </w:r>
      <w:r>
        <w:t xml:space="preserve"> </w:t>
      </w:r>
      <w:r>
        <w:t xml:space="preserve">La table</w:t>
      </w:r>
      <w:r>
        <w:t xml:space="preserve"> </w:t>
      </w:r>
      <w:r>
        <w:t xml:space="preserve">ci-dessus et celle de la section 7 semblent se contredire : S3 réduit le résidu sous</w:t>
      </w:r>
      <w:r>
        <w:t xml:space="preserve"> </w:t>
      </w:r>
      <w:r>
        <w:t xml:space="preserve">200 km/h de 267 à 186 km, un écart de 81 km, mais il ne gagne que 2 minutes sur S2 sur</w:t>
      </w:r>
      <w:r>
        <w:t xml:space="preserve"> </w:t>
      </w:r>
      <w:r>
        <w:t xml:space="preserve">Montréal-Toronto (4 sur Montréal-Québec). La réconciliation tient à l’endroit où ces</w:t>
      </w:r>
      <w:r>
        <w:t xml:space="preserve"> </w:t>
      </w:r>
      <w:r>
        <w:t xml:space="preserve">kilomètres se trouvent sur l’échelle des vitesses. Les kilomètres que S3 fait passer</w:t>
      </w:r>
      <w:r>
        <w:t xml:space="preserve"> </w:t>
      </w:r>
      <w:r>
        <w:t xml:space="preserve">au-dessus de 200 km/h sont précisément ceux où S2 permet déjà 160 à 199 km/h (99 à 124 mi/h) : des</w:t>
      </w:r>
      <w:r>
        <w:t xml:space="preserve"> </w:t>
      </w:r>
      <w:r>
        <w:t xml:space="preserve">courbes amples, où le train ne perd presque rien. Rouler 81 km à 180 km/h (112 mi/h) plutôt qu’à</w:t>
      </w:r>
      <w:r>
        <w:t xml:space="preserve"> </w:t>
      </w:r>
      <w:r>
        <w:t xml:space="preserve">200 coûte environ 3 minutes ; c’est tout l’écart. Le temps, lui, se perd dans les</w:t>
      </w:r>
      <w:r>
        <w:t xml:space="preserve"> </w:t>
      </w:r>
      <w:r>
        <w:t xml:space="preserve">courbes serrées et dans les zones lentes, et là-dessus les deux scénarios font</w:t>
      </w:r>
      <w:r>
        <w:t xml:space="preserve"> </w:t>
      </w:r>
      <w:r>
        <w:t xml:space="preserve">pratiquement le même travail, puisque tous deux sont plafonnés par la même bande de</w:t>
      </w:r>
      <w:r>
        <w:t xml:space="preserve"> </w:t>
      </w:r>
      <w:r>
        <w:t xml:space="preserve">200 km/h sur l’essentiel du tracé. Autrement dit, à la bande 200, S3 achète des</w:t>
      </w:r>
      <w:r>
        <w:t xml:space="preserve"> </w:t>
      </w:r>
      <w:r>
        <w:t xml:space="preserve">kilomètres conformes, pas des minutes. Sa valeur en temps n’apparaît qu’aux bandes</w:t>
      </w:r>
      <w:r>
        <w:t xml:space="preserve"> </w:t>
      </w:r>
      <w:r>
        <w:t xml:space="preserve">supérieures, où son plafond géométrique cesse d’être bridé par la bande (6 minutes</w:t>
      </w:r>
      <w:r>
        <w:t xml:space="preserve"> </w:t>
      </w:r>
      <w:r>
        <w:t xml:space="preserve">d’avance sur S2 à la bande 250 sur Montréal-Toronto, 10 à la bande 300) ; à la bande</w:t>
      </w:r>
      <w:r>
        <w:t xml:space="preserve"> </w:t>
      </w:r>
      <w:r>
        <w:t xml:space="preserve">200, S2 fait déjà l’essentiel du travail.</w:t>
      </w:r>
    </w:p>
    <w:bookmarkEnd w:id="17"/>
    <w:bookmarkStart w:id="24" w:name="X42a82ebb192afdbd87b7e7f59c353876bbe630b"/>
    <w:p>
      <w:pPr>
        <w:pStyle w:val="Heading1"/>
      </w:pPr>
      <w:r>
        <w:t xml:space="preserve">Doublement des voies et régime de cohabitation</w:t>
      </w:r>
    </w:p>
    <w:p>
      <w:pPr>
        <w:pStyle w:val="FirstParagraph"/>
      </w:pPr>
      <w:r>
        <w:t xml:space="preserve">Ces deux questions se mesurent avec le même instrument, lu dans deux directions. Le</w:t>
      </w:r>
      <w:r>
        <w:t xml:space="preserve"> </w:t>
      </w:r>
      <w:r>
        <w:t xml:space="preserve">corridor offre une expérience naturelle : des tronçons en voie simple appartenant à VIA</w:t>
      </w:r>
      <w:r>
        <w:t xml:space="preserve"> </w:t>
      </w:r>
      <w:r>
        <w:t xml:space="preserve">(croisements planifiés entre trains VIA), des tronçons en voie simple appartenant au CN</w:t>
      </w:r>
      <w:r>
        <w:t xml:space="preserve"> </w:t>
      </w:r>
      <w:r>
        <w:t xml:space="preserve">(croisements subis, le fret étant prioritaire chez lui), et des tronçons en voie double</w:t>
      </w:r>
      <w:r>
        <w:t xml:space="preserve"> </w:t>
      </w:r>
      <w:r>
        <w:t xml:space="preserve">du CN (croisements éliminés, dépassements subis). En comparant la marge d’horaire de ces</w:t>
      </w:r>
      <w:r>
        <w:t xml:space="preserve"> </w:t>
      </w:r>
      <w:r>
        <w:t xml:space="preserve">trois familles, à géométrie neutralisée, on lit séparément le prix de la voie manquante</w:t>
      </w:r>
      <w:r>
        <w:t xml:space="preserve"> </w:t>
      </w:r>
      <w:r>
        <w:t xml:space="preserve">et le prix du régime.</w:t>
      </w:r>
    </w:p>
    <w:bookmarkStart w:id="21" w:name="la-mesure"/>
    <w:p>
      <w:pPr>
        <w:pStyle w:val="Heading2"/>
      </w:pPr>
      <w:r>
        <w:t xml:space="preserve">La mesure</w:t>
      </w:r>
    </w:p>
    <w:p>
      <w:pPr>
        <w:pStyle w:val="FirstParagraph"/>
      </w:pPr>
      <w:r>
        <w:t xml:space="preserve">Pour chacune des paires de gares adjacentes du corridor, la marge est l’écart entre le</w:t>
      </w:r>
      <w:r>
        <w:t xml:space="preserve"> </w:t>
      </w:r>
      <w:r>
        <w:t xml:space="preserve">temps à l’horaire (médiane de tous les sillons, un sillon étant le créneau horaire d’un train donné) et le temps que la géométrie</w:t>
      </w:r>
      <w:r>
        <w:t xml:space="preserve"> </w:t>
      </w:r>
      <w:r>
        <w:t xml:space="preserve">permet au régime actuel (intégration à vitesse plafonnée à 160 km/h, soit 99 mi/h), rapporté à ce</w:t>
      </w:r>
      <w:r>
        <w:t xml:space="preserve"> </w:t>
      </w:r>
      <w:r>
        <w:t xml:space="preserve">dernier. Les paires contaminées par un nœud (blocs urbains, ponts Victoria et de Québec,</w:t>
      </w:r>
      <w:r>
        <w:t xml:space="preserve"> </w:t>
      </w:r>
      <w:r>
        <w:t xml:space="preserve">approches d’Ottawa, chevauchements de frontière de propriétaire) sont exclues, chacune</w:t>
      </w:r>
      <w:r>
        <w:t xml:space="preserve"> </w:t>
      </w:r>
      <w:r>
        <w:t xml:space="preserve">avec son motif documenté. Résultat, sur le cœur du corridor (classe de voie homogène,</w:t>
      </w:r>
      <w:r>
        <w:t xml:space="preserve"> </w:t>
      </w:r>
      <w:r>
        <w:t xml:space="preserve">95 à 100 mi/h, soit 153 à 161 km/h, permis sur les lignes du CN et 80 à 95 mi/h, soit 129 à 153 km/h, sur celles de VIA) 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Cellule</w:t>
            </w:r>
          </w:p>
        </w:tc>
        <w:tc>
          <w:tcPr/>
          <w:p>
            <w:pPr>
              <w:pStyle w:val="Compact"/>
            </w:pPr>
            <w:r>
              <w:t xml:space="preserve">Longueur mesurée</w:t>
            </w:r>
          </w:p>
        </w:tc>
        <w:tc>
          <w:tcPr/>
          <w:p>
            <w:pPr>
              <w:pStyle w:val="Compact"/>
            </w:pPr>
            <w:r>
              <w:t xml:space="preserve">Marge médiane</w:t>
            </w:r>
          </w:p>
        </w:tc>
        <w:tc>
          <w:tcPr/>
          <w:p>
            <w:pPr>
              <w:pStyle w:val="Compact"/>
            </w:pPr>
            <w:r>
              <w:t xml:space="preserve">Dispersion entre sillons</w:t>
            </w:r>
          </w:p>
        </w:tc>
        <w:tc>
          <w:tcPr/>
          <w:p>
            <w:pPr>
              <w:pStyle w:val="Compact"/>
            </w:pPr>
            <w:r>
              <w:t xml:space="preserve">Trafic (trains/jour)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Voie double, CN</w:t>
            </w:r>
          </w:p>
        </w:tc>
        <w:tc>
          <w:tcPr/>
          <w:p>
            <w:pPr>
              <w:pStyle w:val="Compact"/>
            </w:pPr>
            <w:r>
              <w:t xml:space="preserve">515 km (11 paires)</w:t>
            </w:r>
          </w:p>
        </w:tc>
        <w:tc>
          <w:tcPr/>
          <w:p>
            <w:pPr>
              <w:pStyle w:val="Compact"/>
            </w:pPr>
            <w:r>
              <w:t xml:space="preserve">37 %</w:t>
            </w:r>
          </w:p>
        </w:tc>
        <w:tc>
          <w:tcPr/>
          <w:p>
            <w:pPr>
              <w:pStyle w:val="Compact"/>
            </w:pPr>
            <w:r>
              <w:t xml:space="preserve">5 %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Voie simple, VIA</w:t>
            </w:r>
          </w:p>
        </w:tc>
        <w:tc>
          <w:tcPr/>
          <w:p>
            <w:pPr>
              <w:pStyle w:val="Compact"/>
            </w:pPr>
            <w:r>
              <w:t xml:space="preserve">218 km (5 paires)</w:t>
            </w:r>
          </w:p>
        </w:tc>
        <w:tc>
          <w:tcPr/>
          <w:p>
            <w:pPr>
              <w:pStyle w:val="Compact"/>
            </w:pPr>
            <w:r>
              <w:t xml:space="preserve">42 %</w:t>
            </w:r>
          </w:p>
        </w:tc>
        <w:tc>
          <w:tcPr/>
          <w:p>
            <w:pPr>
              <w:pStyle w:val="Compact"/>
            </w:pPr>
            <w:r>
              <w:t xml:space="preserve">10 %</w:t>
            </w:r>
          </w:p>
        </w:tc>
        <w:tc>
          <w:tcPr/>
          <w:p>
            <w:pPr>
              <w:pStyle w:val="Compact"/>
            </w:pPr>
            <w:r>
              <w:t xml:space="preserve">12 à 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Voie simple, CN</w:t>
            </w:r>
          </w:p>
        </w:tc>
        <w:tc>
          <w:tcPr/>
          <w:p>
            <w:pPr>
              <w:pStyle w:val="Compact"/>
            </w:pPr>
            <w:r>
              <w:t xml:space="preserve">192 km (2 paires)</w:t>
            </w:r>
          </w:p>
        </w:tc>
        <w:tc>
          <w:tcPr/>
          <w:p>
            <w:pPr>
              <w:pStyle w:val="Compact"/>
            </w:pPr>
            <w:r>
              <w:t xml:space="preserve">65 %</w:t>
            </w:r>
          </w:p>
        </w:tc>
        <w:tc>
          <w:tcPr/>
          <w:p>
            <w:pPr>
              <w:pStyle w:val="Compact"/>
            </w:pPr>
            <w:r>
              <w:t xml:space="preserve">21 %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</w:tr>
    </w:tbl>
    <w:p>
      <w:pPr>
        <w:pStyle w:val="CaptionedFigure"/>
      </w:pPr>
      <w:r>
        <w:drawing>
          <wp:inline>
            <wp:extent cx="5334000" cy="3067855"/>
            <wp:effectExtent b="0" l="0" r="0" t="0"/>
            <wp:docPr descr="Le 2×2 du corridor : chaque inter-gare colorée selon sa cellule voie × propriétaire, avec la marge médiane mesurée par cellule. En gris, les paires exclues de la mesure (blocs urbains, ponts, frontières de propriétaire)." title="" id="19" name="Picture"/>
            <a:graphic>
              <a:graphicData uri="http://schemas.openxmlformats.org/drawingml/2006/picture">
                <pic:pic>
                  <pic:nvPicPr>
                    <pic:cNvPr descr="livrables/figure_cellules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8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 2×2 du corridor : chaque inter-gare colorée selon sa cellule voie × propriétaire, avec la marge médiane mesurée par cellule. En gris, les paires exclues de la mesure (blocs urbains, ponts, frontières de propriétaire).</w:t>
      </w:r>
    </w:p>
    <w:p>
      <w:pPr>
        <w:pStyle w:val="BodyText"/>
      </w:pPr>
      <w:r>
        <w:t xml:space="preserve">Trois lignes, trois faits :</w:t>
      </w:r>
    </w:p>
    <w:p>
      <w:pPr>
        <w:pStyle w:val="BodyText"/>
      </w:pPr>
      <w:r>
        <w:rPr>
          <w:b/>
          <w:bCs/>
        </w:rPr>
        <w:t xml:space="preserve">Ce que le doublement achète, chez le CN</w:t>
      </w:r>
      <w:r>
        <w:t xml:space="preserve"> : environ 28 points de marge (65 contre 37),</w:t>
      </w:r>
      <w:r>
        <w:t xml:space="preserve"> </w:t>
      </w:r>
      <w:r>
        <w:t xml:space="preserve">soit une vingtaine de minutes sur Montréal-Québec. L’échantillon de voie simple CN est</w:t>
      </w:r>
      <w:r>
        <w:t xml:space="preserve"> </w:t>
      </w:r>
      <w:r>
        <w:t xml:space="preserve">mince (192 km, mais en deux paires seulement, celles du tronçon de Québec) : le chiffre</w:t>
      </w:r>
      <w:r>
        <w:t xml:space="preserve"> </w:t>
      </w:r>
      <w:r>
        <w:t xml:space="preserve">se publie en fourchette, pas au point. Il est en revanche robuste aux deux objections classiques, et cela se</w:t>
      </w:r>
      <w:r>
        <w:t xml:space="preserve"> </w:t>
      </w:r>
      <w:r>
        <w:t xml:space="preserve">vérifie dans la table : la classe de voie est la même que sur la ligne double (95 contre</w:t>
      </w:r>
      <w:r>
        <w:t xml:space="preserve"> </w:t>
      </w:r>
      <w:r>
        <w:t xml:space="preserve">95 à 100 mi/h permis), et la ligne double porte davantage de trafic (40 trains par jour</w:t>
      </w:r>
      <w:r>
        <w:t xml:space="preserve"> </w:t>
      </w:r>
      <w:r>
        <w:t xml:space="preserve">contre 27) tout en affichant moins de marge. Ni l’état de la voie ni le volume</w:t>
      </w:r>
      <w:r>
        <w:t xml:space="preserve"> </w:t>
      </w:r>
      <w:r>
        <w:t xml:space="preserve">n’expliquent l’écart ; les croisements l’expliquent.</w:t>
      </w:r>
    </w:p>
    <w:p>
      <w:pPr>
        <w:pStyle w:val="BodyText"/>
      </w:pPr>
      <w:r>
        <w:rPr>
          <w:b/>
          <w:bCs/>
        </w:rPr>
        <w:t xml:space="preserve">Ce que le régime pèse</w:t>
      </w:r>
      <w:r>
        <w:t xml:space="preserve"> : sous propriétaire VIA, la voie simple ne coûte qu’environ</w:t>
      </w:r>
      <w:r>
        <w:t xml:space="preserve"> </w:t>
      </w:r>
      <w:r>
        <w:t xml:space="preserve">5 points de marge par rapport à la voie double du CN ; sous propriétaire CN, elle en</w:t>
      </w:r>
      <w:r>
        <w:t xml:space="preserve"> </w:t>
      </w:r>
      <w:r>
        <w:t xml:space="preserve">coûte environ 28 (les fourchettes 3 à 6 et 27 à 33 couvrent les pénalités d’arrêt testées). Le rapport est d’environ sept pour un, et il résiste aux tests de</w:t>
      </w:r>
      <w:r>
        <w:t xml:space="preserve"> </w:t>
      </w:r>
      <w:r>
        <w:t xml:space="preserve">sensibilité (pénalité d’arrêt de 0 à 3 minutes par paire). Une réserve honnête : les</w:t>
      </w:r>
      <w:r>
        <w:t xml:space="preserve"> </w:t>
      </w:r>
      <w:r>
        <w:t xml:space="preserve">lignes de VIA portent environ deux fois moins de trains que celles du CN ; ce qu’on</w:t>
      </w:r>
      <w:r>
        <w:t xml:space="preserve"> </w:t>
      </w:r>
      <w:r>
        <w:t xml:space="preserve">mesure est donc l’effet du régime au sens large, densité de fret comprise. C’est</w:t>
      </w:r>
      <w:r>
        <w:t xml:space="preserve"> </w:t>
      </w:r>
      <w:r>
        <w:t xml:space="preserve">précisément ce que le doublement seul ne change pas.</w:t>
      </w:r>
    </w:p>
    <w:p>
      <w:pPr>
        <w:pStyle w:val="BodyText"/>
      </w:pPr>
      <w:r>
        <w:rPr>
          <w:b/>
          <w:bCs/>
        </w:rPr>
        <w:t xml:space="preserve">La dispersion raconte la même histoire.</w:t>
      </w:r>
      <w:r>
        <w:t xml:space="preserve"> </w:t>
      </w:r>
      <w:r>
        <w:t xml:space="preserve">Sur voie double, tous les trains d’une même</w:t>
      </w:r>
      <w:r>
        <w:t xml:space="preserve"> </w:t>
      </w:r>
      <w:r>
        <w:t xml:space="preserve">paire font le même temps (écart interquartile de 5 pour cent). Sur la voie simple du CN,</w:t>
      </w:r>
      <w:r>
        <w:t xml:space="preserve"> </w:t>
      </w:r>
      <w:r>
        <w:t xml:space="preserve">l’horaire d’une même paire varie de 8 à 16 minutes selon le sillon : les croisements avec</w:t>
      </w:r>
      <w:r>
        <w:t xml:space="preserve"> </w:t>
      </w:r>
      <w:r>
        <w:t xml:space="preserve">le fret sont écrits dans la grille de VIA elle-même. Le passager de Montréal-Québec paie</w:t>
      </w:r>
      <w:r>
        <w:t xml:space="preserve"> </w:t>
      </w:r>
      <w:r>
        <w:t xml:space="preserve">jusqu’à 24 minutes selon l’heure de son départ.</w:t>
      </w:r>
    </w:p>
    <w:bookmarkEnd w:id="21"/>
    <w:bookmarkStart w:id="22" w:name="contre-épreuve-le-sud-ouest-ontarien"/>
    <w:p>
      <w:pPr>
        <w:pStyle w:val="Heading2"/>
      </w:pPr>
      <w:r>
        <w:t xml:space="preserve">Contre-épreuve : le sud-ouest ontarien</w:t>
      </w:r>
    </w:p>
    <w:p>
      <w:pPr>
        <w:pStyle w:val="FirstParagraph"/>
      </w:pPr>
      <w:r>
        <w:t xml:space="preserve">L’étude a étendu la mesure aux lignes Toronto-Windsor et Toronto-Sarnia. Cette région ne</w:t>
      </w:r>
      <w:r>
        <w:t xml:space="preserve"> </w:t>
      </w:r>
      <w:r>
        <w:t xml:space="preserve">se compare pas au cœur (la voie y est de classe inférieure, avec des vitesses permises de</w:t>
      </w:r>
      <w:r>
        <w:t xml:space="preserve"> </w:t>
      </w:r>
      <w:r>
        <w:t xml:space="preserve">42 à 70 mi/h (68 à 113 km/h) sur les lignes simples du CN : la marge y mesure d’abord l’état de la voie),</w:t>
      </w:r>
      <w:r>
        <w:t xml:space="preserve"> </w:t>
      </w:r>
      <w:r>
        <w:t xml:space="preserve">mais son contraste interne vaut la démonstration : le seul segment où le train roule à</w:t>
      </w:r>
      <w:r>
        <w:t xml:space="preserve"> </w:t>
      </w:r>
      <w:r>
        <w:t xml:space="preserve">vitesse normale (moyenne de 95 km/h ou 59 mi/h, sur une voie entretenue à 100 mi/h ou</w:t>
      </w:r>
      <w:r>
        <w:t xml:space="preserve"> </w:t>
      </w:r>
      <w:r>
        <w:t xml:space="preserve">161 km/h permis) est le segment</w:t>
      </w:r>
      <w:r>
        <w:t xml:space="preserve"> </w:t>
      </w:r>
      <w:r>
        <w:t xml:space="preserve">Chatham-Windsor, précisément celui que VIA possède. Les lignes simples voisines du CN,</w:t>
      </w:r>
      <w:r>
        <w:t xml:space="preserve"> </w:t>
      </w:r>
      <w:r>
        <w:t xml:space="preserve">presque vides (8 trains par jour), roulent à 40-60 km/h (25 à 37 mi/h) de moyenne sur des voies</w:t>
      </w:r>
      <w:r>
        <w:t xml:space="preserve"> </w:t>
      </w:r>
      <w:r>
        <w:t xml:space="preserve">laissées à 42-70 mi/h. Le propriétaire qui vit du service passager entretient sa voie ;</w:t>
      </w:r>
      <w:r>
        <w:t xml:space="preserve"> </w:t>
      </w:r>
      <w:r>
        <w:t xml:space="preserve">la conclusion du cœur se réplique dans une seconde région, par un autre mécanisme.</w:t>
      </w:r>
    </w:p>
    <w:bookmarkEnd w:id="22"/>
    <w:bookmarkStart w:id="23" w:name="lencadrement-de-la-marge"/>
    <w:p>
      <w:pPr>
        <w:pStyle w:val="Heading2"/>
      </w:pPr>
      <w:r>
        <w:t xml:space="preserve">L’encadrement de la marge</w:t>
      </w:r>
    </w:p>
    <w:p>
      <w:pPr>
        <w:pStyle w:val="FirstParagraph"/>
      </w:pPr>
      <w:r>
        <w:t xml:space="preserve">La marge d’horaire est la grandeur que cette étude ne peut pas trancher ; voici</w:t>
      </w:r>
      <w:r>
        <w:t xml:space="preserve"> </w:t>
      </w:r>
      <w:r>
        <w:t xml:space="preserve">l’intervalle où elle tombe nécessairement, et pourquoi.</w:t>
      </w:r>
    </w:p>
    <w:p>
      <w:pPr>
        <w:pStyle w:val="BodyText"/>
      </w:pPr>
      <w:r>
        <w:rPr>
          <w:b/>
          <w:bCs/>
        </w:rPr>
        <w:t xml:space="preserve">Borne basse, normative.</w:t>
      </w:r>
      <w:r>
        <w:t xml:space="preserve"> </w:t>
      </w:r>
      <w:r>
        <w:t xml:space="preserve">La fiche UIC 451-1 recommande, pour un train de voyageurs,</w:t>
      </w:r>
      <w:r>
        <w:t xml:space="preserve"> </w:t>
      </w:r>
      <w:r>
        <w:t xml:space="preserve">un supplément fixe plus un pourcentage selon la vitesse : au total environ 7 pour cent du</w:t>
      </w:r>
      <w:r>
        <w:t xml:space="preserve"> </w:t>
      </w:r>
      <w:r>
        <w:t xml:space="preserve">temps de parcours à 160 km/h (99 mi/h) et 9 pour cent à 200 (124 mi/h)</w:t>
      </w:r>
      <w:r>
        <w:t xml:space="preserve"> </w:t>
      </w:r>
      <w:r>
        <w:t xml:space="preserve">(</w:t>
      </w:r>
      <w:hyperlink w:anchor="ref-schittenhelm2011">
        <w:r>
          <w:rPr>
            <w:rStyle w:val="Hyperlink"/>
          </w:rPr>
          <w:t xml:space="preserve">Schittenhelm, 2011</w:t>
        </w:r>
      </w:hyperlink>
      <w:r>
        <w:t xml:space="preserve">;</w:t>
      </w:r>
      <w:r>
        <w:t xml:space="preserve"> </w:t>
      </w:r>
      <w:hyperlink w:anchor="ref-uic2000f451">
        <w:r>
          <w:rPr>
            <w:rStyle w:val="Hyperlink"/>
          </w:rPr>
          <w:t xml:space="preserve">Union internationale des chemins de fer, 2000</w:t>
        </w:r>
      </w:hyperlink>
      <w:r>
        <w:t xml:space="preserve">)</w:t>
      </w:r>
      <w:r>
        <w:t xml:space="preserve">.</w:t>
      </w:r>
      <w:r>
        <w:t xml:space="preserve"> </w:t>
      </w:r>
      <w:r>
        <w:t xml:space="preserve">Les règles publiées des gestionnaires nationaux se situent au même ordre : SNCF Réseau</w:t>
      </w:r>
      <w:r>
        <w:t xml:space="preserve"> </w:t>
      </w:r>
      <w:r>
        <w:t xml:space="preserve">impose 4,5 minutes par 100 km sur ligne classique et 5 pour cent sur ligne à grande</w:t>
      </w:r>
      <w:r>
        <w:t xml:space="preserve"> </w:t>
      </w:r>
      <w:r>
        <w:t xml:space="preserve">vitesse</w:t>
      </w:r>
      <w:r>
        <w:t xml:space="preserve"> </w:t>
      </w:r>
      <w:r>
        <w:t xml:space="preserve">(</w:t>
      </w:r>
      <w:hyperlink w:anchor="ref-sncf2023drr">
        <w:r>
          <w:rPr>
            <w:rStyle w:val="Hyperlink"/>
          </w:rPr>
          <w:t xml:space="preserve">SNCF Réseau, 2023</w:t>
        </w:r>
      </w:hyperlink>
      <w:r>
        <w:t xml:space="preserve">)</w:t>
      </w:r>
      <w:r>
        <w:t xml:space="preserve"> ; le gestionnaire suédois publie même le différentiel qui nous</w:t>
      </w:r>
      <w:r>
        <w:t xml:space="preserve"> </w:t>
      </w:r>
      <w:r>
        <w:t xml:space="preserve">intéresse : 3 minutes par 100 km en voie simple contre 2 en voie double, plus 60 secondes</w:t>
      </w:r>
      <w:r>
        <w:t xml:space="preserve"> </w:t>
      </w:r>
      <w:r>
        <w:t xml:space="preserve">par croisement</w:t>
      </w:r>
      <w:r>
        <w:t xml:space="preserve"> </w:t>
      </w:r>
      <w:r>
        <w:t xml:space="preserve">(</w:t>
      </w:r>
      <w:hyperlink w:anchor="ref-trafikverket2025jnb">
        <w:r>
          <w:rPr>
            <w:rStyle w:val="Hyperlink"/>
          </w:rPr>
          <w:t xml:space="preserve">Trafikverket, 2025</w:t>
        </w:r>
      </w:hyperlink>
      <w:r>
        <w:t xml:space="preserve">)</w:t>
      </w:r>
      <w:r>
        <w:t xml:space="preserve">. Aucune règle publiée ne dépasse 15 pour cent.</w:t>
      </w:r>
    </w:p>
    <w:p>
      <w:pPr>
        <w:pStyle w:val="BodyText"/>
      </w:pPr>
      <w:r>
        <w:rPr>
          <w:b/>
          <w:bCs/>
        </w:rPr>
        <w:t xml:space="preserve">Borne haute, mesurée.</w:t>
      </w:r>
      <w:r>
        <w:t xml:space="preserve"> </w:t>
      </w:r>
      <w:r>
        <w:t xml:space="preserve">Le corridor porte aujourd’hui de 37 à 65 pour cent de marge</w:t>
      </w:r>
      <w:r>
        <w:t xml:space="preserve"> </w:t>
      </w:r>
      <w:r>
        <w:t xml:space="preserve">selon la cellule (table ci-dessus). L’écart entre les deux bornes n’est pas de la</w:t>
      </w:r>
      <w:r>
        <w:t xml:space="preserve"> </w:t>
      </w:r>
      <w:r>
        <w:t xml:space="preserve">prudence d’horairiste : c’est le prix, en minutes, du régime de cohabitation actuel.</w:t>
      </w:r>
    </w:p>
    <w:p>
      <w:pPr>
        <w:pStyle w:val="BodyText"/>
      </w:pPr>
      <w:r>
        <w:rPr>
          <w:b/>
          <w:bCs/>
        </w:rPr>
        <w:t xml:space="preserve">Le précédent continental.</w:t>
      </w:r>
      <w:r>
        <w:t xml:space="preserve"> </w:t>
      </w:r>
      <w:r>
        <w:t xml:space="preserve">L’inspecteur général d’Amtrak a documenté le même</w:t>
      </w:r>
      <w:r>
        <w:t xml:space="preserve"> </w:t>
      </w:r>
      <w:r>
        <w:t xml:space="preserve">phénomène : environ 70 pour cent du temps additionnel des horaires d’Amtrak est</w:t>
      </w:r>
      <w:r>
        <w:t xml:space="preserve"> </w:t>
      </w:r>
      <w:r>
        <w:t xml:space="preserve">provisionné pour les retards anticipés des chemins de fer hôtes, et le fret cause</w:t>
      </w:r>
      <w:r>
        <w:t xml:space="preserve"> </w:t>
      </w:r>
      <w:r>
        <w:t xml:space="preserve">59 pour cent des retards des longs parcours</w:t>
      </w:r>
      <w:r>
        <w:t xml:space="preserve"> </w:t>
      </w:r>
      <w:r>
        <w:t xml:space="preserve">(</w:t>
      </w:r>
      <w:hyperlink w:anchor="ref-amtrakoig2019">
        <w:r>
          <w:rPr>
            <w:rStyle w:val="Hyperlink"/>
          </w:rPr>
          <w:t xml:space="preserve">Amtrak Office of Inspector General, 2019</w:t>
        </w:r>
      </w:hyperlink>
      <w:r>
        <w:t xml:space="preserve">)</w:t>
      </w:r>
      <w:r>
        <w:t xml:space="preserve">. La situation du corridor</w:t>
      </w:r>
      <w:r>
        <w:t xml:space="preserve"> </w:t>
      </w:r>
      <w:r>
        <w:t xml:space="preserve">n’est pas une exception canadienne, c’est la condition générale du train de voyageurs</w:t>
      </w:r>
      <w:r>
        <w:t xml:space="preserve"> </w:t>
      </w:r>
      <w:r>
        <w:t xml:space="preserve">invité chez un propriétaire de fret.</w:t>
      </w:r>
    </w:p>
    <w:p>
      <w:pPr>
        <w:pStyle w:val="BodyText"/>
      </w:pPr>
      <w:r>
        <w:rPr>
          <w:b/>
          <w:bCs/>
        </w:rPr>
        <w:t xml:space="preserve">Pièces au dossier</w:t>
      </w:r>
      <w:r>
        <w:t xml:space="preserve">, sans récit d’intention : le 11 octobre 2024, le CN a imposé aux</w:t>
      </w:r>
      <w:r>
        <w:t xml:space="preserve"> </w:t>
      </w:r>
      <w:r>
        <w:t xml:space="preserve">rames neuves de VIA un ralentissement à 72 km/h (45 mi/h) aux passages munis de prédicteurs, les circuits qui déclenchent les barrières à</w:t>
      </w:r>
      <w:r>
        <w:t xml:space="preserve"> </w:t>
      </w:r>
      <w:r>
        <w:t xml:space="preserve">l’approche d’un train (304 passages visés), déclenchant des retards de 30 à 45 minutes ; VIA a demandé le</w:t>
      </w:r>
      <w:r>
        <w:t xml:space="preserve"> </w:t>
      </w:r>
      <w:r>
        <w:t xml:space="preserve">contrôle judiciaire en Cour fédérale le 12 novembre 2024</w:t>
      </w:r>
      <w:r>
        <w:t xml:space="preserve"> </w:t>
      </w:r>
      <w:r>
        <w:t xml:space="preserve">(</w:t>
      </w:r>
      <w:hyperlink w:anchor="ref-via2024requete">
        <w:r>
          <w:rPr>
            <w:rStyle w:val="Hyperlink"/>
          </w:rPr>
          <w:t xml:space="preserve">La Presse Canadienne, 2024</w:t>
        </w:r>
      </w:hyperlink>
      <w:r>
        <w:t xml:space="preserve">)</w:t>
      </w:r>
      <w:r>
        <w:t xml:space="preserve"> ; l’ordre</w:t>
      </w:r>
      <w:r>
        <w:t xml:space="preserve"> </w:t>
      </w:r>
      <w:r>
        <w:t xml:space="preserve">ministériel de décembre 2024 était une demande d’information au CN, pas un</w:t>
      </w:r>
      <w:r>
        <w:t xml:space="preserve"> </w:t>
      </w:r>
      <w:r>
        <w:t xml:space="preserve">rétablissement des vitesses, et l’allègement négocié n’est entré en vigueur que le</w:t>
      </w:r>
      <w:r>
        <w:t xml:space="preserve"> </w:t>
      </w:r>
      <w:r>
        <w:t xml:space="preserve">28 août 2025</w:t>
      </w:r>
      <w:r>
        <w:t xml:space="preserve"> </w:t>
      </w:r>
      <w:r>
        <w:t xml:space="preserve">(</w:t>
      </w:r>
      <w:hyperlink w:anchor="ref-tc2025gcp">
        <w:r>
          <w:rPr>
            <w:rStyle w:val="Hyperlink"/>
          </w:rPr>
          <w:t xml:space="preserve">Transports Canada, 2025</w:t>
        </w:r>
      </w:hyperlink>
      <w:r>
        <w:t xml:space="preserve">)</w:t>
      </w:r>
      <w:r>
        <w:t xml:space="preserve">. Le pilote sans arrêt Montréal-Toronto a été suspendu le jour</w:t>
      </w:r>
      <w:r>
        <w:t xml:space="preserve"> </w:t>
      </w:r>
      <w:r>
        <w:t xml:space="preserve">prévu de son lancement, VIA invoquant des contraintes opérationnelles chez son hôte</w:t>
      </w:r>
      <w:r>
        <w:t xml:space="preserve"> </w:t>
      </w:r>
      <w:r>
        <w:t xml:space="preserve">(</w:t>
      </w:r>
      <w:hyperlink w:anchor="ref-cbc2025pilote">
        <w:r>
          <w:rPr>
            <w:rStyle w:val="Hyperlink"/>
          </w:rPr>
          <w:t xml:space="preserve">CBC News, 2025</w:t>
        </w:r>
      </w:hyperlink>
      <w:r>
        <w:t xml:space="preserve">)</w:t>
      </w:r>
      <w:r>
        <w:t xml:space="preserve">. La ponctualité du réseau est passée de 71-72 pour cent (2020-2021) à</w:t>
      </w:r>
      <w:r>
        <w:t xml:space="preserve"> </w:t>
      </w:r>
      <w:r>
        <w:t xml:space="preserve">57-59 (2022-2023), 51 (2024) puis 30 pour cent au premier trimestre 2025</w:t>
      </w:r>
      <w:r>
        <w:t xml:space="preserve"> </w:t>
      </w:r>
      <w:r>
        <w:t xml:space="preserve">(</w:t>
      </w:r>
      <w:hyperlink w:anchor="ref-via2025rapportannuel">
        <w:r>
          <w:rPr>
            <w:rStyle w:val="Hyperlink"/>
          </w:rPr>
          <w:t xml:space="preserve">VIA Rail Canada, 2025a</w:t>
        </w:r>
      </w:hyperlink>
      <w:r>
        <w:t xml:space="preserve">,</w:t>
      </w:r>
      <w:r>
        <w:t xml:space="preserve"> </w:t>
      </w:r>
      <w:hyperlink w:anchor="ref-via2025t1">
        <w:r>
          <w:rPr>
            <w:rStyle w:val="Hyperlink"/>
          </w:rPr>
          <w:t xml:space="preserve">2025b</w:t>
        </w:r>
      </w:hyperlink>
      <w: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Sur Montréal-Toronto, déjà doublé, « doubler » n’est pas la demande pertinente.</w:t>
      </w:r>
      <w:r>
        <w:t xml:space="preserve"> </w:t>
      </w:r>
      <w:r>
        <w:t xml:space="preserve">La</w:t>
      </w:r>
      <w:r>
        <w:t xml:space="preserve"> </w:t>
      </w:r>
      <w:r>
        <w:t xml:space="preserve">voie double élimine les croisements, pas les dépassements. L’intervention utile y est</w:t>
      </w:r>
      <w:r>
        <w:t xml:space="preserve"> </w:t>
      </w:r>
      <w:r>
        <w:t xml:space="preserve">l’ajout de liaisons rapides entre les deux voies (un dépassement se règle à basse ou à haute vitesse selon le type d’aiguillage</w:t>
      </w:r>
      <w:r>
        <w:t xml:space="preserve"> </w:t>
      </w:r>
      <w:r>
        <w:t xml:space="preserve">installé, ce qui change tout son coût en temps [ordres de grandeur 15 vs 45-50 mi/h, soit 24 vs 72-80 km/h,</w:t>
      </w:r>
      <w:r>
        <w:t xml:space="preserve"> </w:t>
      </w:r>
      <w:r>
        <w:t xml:space="preserve">À VÉRIFIER en étude de circulation]) et les sections de</w:t>
      </w:r>
      <w:r>
        <w:t xml:space="preserve"> </w:t>
      </w:r>
      <w:r>
        <w:t xml:space="preserve">troisième voie aux points de friction. Le dimensionnement précis relève de l’étude de</w:t>
      </w:r>
      <w:r>
        <w:t xml:space="preserve"> </w:t>
      </w:r>
      <w:r>
        <w:t xml:space="preserve">circulation.</w:t>
      </w:r>
    </w:p>
    <w:bookmarkEnd w:id="23"/>
    <w:bookmarkEnd w:id="24"/>
    <w:bookmarkStart w:id="25" w:name="passages-à-niveau"/>
    <w:p>
      <w:pPr>
        <w:pStyle w:val="Heading1"/>
      </w:pPr>
      <w:r>
        <w:t xml:space="preserve">Passages à niveau</w:t>
      </w:r>
    </w:p>
    <w:p>
      <w:pPr>
        <w:pStyle w:val="FirstParagraph"/>
      </w:pPr>
      <w:r>
        <w:t xml:space="preserve">Un passage à niveau est un croisement rail-route à niveau. Sa tolérance réglementaire</w:t>
      </w:r>
      <w:r>
        <w:t xml:space="preserve"> </w:t>
      </w:r>
      <w:r>
        <w:t xml:space="preserve">décroît par paliers de vitesse ; le précédent nord-américain le plus structuré est</w:t>
      </w:r>
      <w:r>
        <w:t xml:space="preserve"> </w:t>
      </w:r>
      <w:r>
        <w:t xml:space="preserve">américain</w:t>
      </w:r>
      <w:r>
        <w:t xml:space="preserve"> </w:t>
      </w:r>
      <w:r>
        <w:t xml:space="preserve">(</w:t>
      </w:r>
      <w:hyperlink w:anchor="ref-ecfr213-347">
        <w:r>
          <w:rPr>
            <w:rStyle w:val="Hyperlink"/>
          </w:rPr>
          <w:t xml:space="preserve">Federal Railroad Administration, s. d.-a</w:t>
        </w:r>
      </w:hyperlink>
      <w:r>
        <w:t xml:space="preserve">)</w:t>
      </w:r>
      <w:r>
        <w:t xml:space="preserve">, cité ici comme référence de seuils, non comme droit applicable</w:t>
      </w:r>
      <w:r>
        <w:t xml:space="preserve"> </w:t>
      </w:r>
      <w:r>
        <w:t xml:space="preserve">au Canada 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jusqu’à 153 km/h (95 mi/h)</w:t>
      </w:r>
      <w:r>
        <w:t xml:space="preserve"> : régime actuel (le précédent domestique est le Turbo, plafonné</w:t>
      </w:r>
      <w:r>
        <w:t xml:space="preserve"> </w:t>
      </w:r>
      <w:r>
        <w:t xml:space="preserve">en service à 153 km/h notamment à cause de ses quelque 300 passages à niveau</w:t>
      </w:r>
      <w:r>
        <w:t xml:space="preserve"> </w:t>
      </w:r>
      <w:r>
        <w:t xml:space="preserve">(</w:t>
      </w:r>
      <w:hyperlink w:anchor="ref-bateman2015">
        <w:r>
          <w:rPr>
            <w:rStyle w:val="Hyperlink"/>
          </w:rPr>
          <w:t xml:space="preserve">Bateman, 2015</w:t>
        </w:r>
      </w:hyperlink>
      <w:r>
        <w:t xml:space="preserve">)</w:t>
      </w:r>
      <w:r>
        <w:t xml:space="preserve">, alors qu’il détenait le record canadien de 140,6 mi/h (226 km/h), établi en</w:t>
      </w:r>
      <w:r>
        <w:t xml:space="preserve"> </w:t>
      </w:r>
      <w:r>
        <w:t xml:space="preserve">conditions d’essai non reproductibles et sans effet sur le temps commercial</w:t>
      </w:r>
      <w:r>
        <w:t xml:space="preserve"> </w:t>
      </w:r>
      <w:r>
        <w:t xml:space="preserve">(</w:t>
      </w:r>
      <w:hyperlink w:anchor="ref-canadianrail1976">
        <w:r>
          <w:rPr>
            <w:rStyle w:val="Hyperlink"/>
          </w:rPr>
          <w:t xml:space="preserve">Association canadienne d’histoire ferroviaire, 1976</w:t>
        </w:r>
      </w:hyperlink>
      <w:r>
        <w:t xml:space="preserve">)</w:t>
      </w:r>
      <w:r>
        <w:t xml:space="preserve">) 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154 à 177 km/h (96 à 110 mi/h)</w:t>
      </w:r>
      <w:r>
        <w:t xml:space="preserve"> : corridor « scellé » : traiter ou fermer chaque passage</w:t>
      </w:r>
      <w:r>
        <w:t xml:space="preserve"> </w:t>
      </w:r>
      <w:r>
        <w:t xml:space="preserve">(barrières quatre-quadrants, terre-pleins, détection). Le programme de référence, en</w:t>
      </w:r>
      <w:r>
        <w:t xml:space="preserve"> </w:t>
      </w:r>
      <w:r>
        <w:t xml:space="preserve">Caroline du Nord, a été évalué par la FRA : au moins 19 vies sauvées de 1995 à 2004 et</w:t>
      </w:r>
      <w:r>
        <w:t xml:space="preserve"> </w:t>
      </w:r>
      <w:r>
        <w:t xml:space="preserve">une réduction projetée d’environ 52 pour cent de la mortalité du corridor</w:t>
      </w:r>
      <w:r>
        <w:t xml:space="preserve"> </w:t>
      </w:r>
      <w:r>
        <w:t xml:space="preserve">(</w:t>
      </w:r>
      <w:hyperlink w:anchor="ref-bienaime2009sealed">
        <w:r>
          <w:rPr>
            <w:rStyle w:val="Hyperlink"/>
          </w:rPr>
          <w:t xml:space="preserve">Bien-Aime, 2009</w:t>
        </w:r>
      </w:hyperlink>
      <w:r>
        <w:t xml:space="preserve">)</w:t>
      </w:r>
      <w:r>
        <w:t xml:space="preserve"> 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178 à 201 km/h (111 à 125 mi/h)</w:t>
      </w:r>
      <w:r>
        <w:t xml:space="preserve"> : système complet d’avertissement et de barrières approuvé et</w:t>
      </w:r>
      <w:r>
        <w:t xml:space="preserve"> </w:t>
      </w:r>
      <w:r>
        <w:t xml:space="preserve">fonctionnel (classe 7 américaine) 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au-delà de 201 km/h (125 mi/h) : zéro passage à niveau</w:t>
      </w:r>
      <w:r>
        <w:t xml:space="preserve"> </w:t>
      </w:r>
      <w:r>
        <w:t xml:space="preserve">(classes 8 et 9 américaines).</w:t>
      </w:r>
    </w:p>
    <w:p>
      <w:pPr>
        <w:pStyle w:val="FirstParagraph"/>
      </w:pPr>
      <w:r>
        <w:rPr>
          <w:b/>
          <w:bCs/>
        </w:rPr>
        <w:t xml:space="preserve">Le compte.</w:t>
      </w:r>
      <w:r>
        <w:t xml:space="preserve"> </w:t>
      </w:r>
      <w:r>
        <w:t xml:space="preserve">L’inventaire ouvert de Transports Canada</w:t>
      </w:r>
      <w:r>
        <w:t xml:space="preserve"> </w:t>
      </w:r>
      <w:r>
        <w:t xml:space="preserve">(</w:t>
      </w:r>
      <w:hyperlink w:anchor="ref-tc2023inventairepn">
        <w:r>
          <w:rPr>
            <w:rStyle w:val="Hyperlink"/>
          </w:rPr>
          <w:t xml:space="preserve">Transports Canada, 2023</w:t>
        </w:r>
      </w:hyperlink>
      <w:r>
        <w:t xml:space="preserve">)</w:t>
      </w:r>
      <w:r>
        <w:t xml:space="preserve">, joint au</w:t>
      </w:r>
      <w:r>
        <w:t xml:space="preserve"> </w:t>
      </w:r>
      <w:r>
        <w:t xml:space="preserve">tracé, donne 924 passages physiques sur le corridor (dédoublonnés entre trajets), dont</w:t>
      </w:r>
      <w:r>
        <w:t xml:space="preserve"> </w:t>
      </w:r>
      <w:r>
        <w:t xml:space="preserve">352 passages publics à protection active : le même ordre de grandeur que les 304 passages</w:t>
      </w:r>
      <w:r>
        <w:t xml:space="preserve"> </w:t>
      </w:r>
      <w:r>
        <w:t xml:space="preserve">à prédicteurs du dossier judiciaire de VIA</w:t>
      </w:r>
      <w:r>
        <w:t xml:space="preserve"> </w:t>
      </w:r>
      <w:r>
        <w:t xml:space="preserve">(</w:t>
      </w:r>
      <w:hyperlink w:anchor="ref-via2024requete">
        <w:r>
          <w:rPr>
            <w:rStyle w:val="Hyperlink"/>
          </w:rPr>
          <w:t xml:space="preserve">La Presse Canadienne, 2024</w:t>
        </w:r>
      </w:hyperlink>
      <w:r>
        <w:t xml:space="preserve">)</w:t>
      </w:r>
      <w:r>
        <w:t xml:space="preserve">, qui couvre un périmètre</w:t>
      </w:r>
      <w:r>
        <w:t xml:space="preserve"> </w:t>
      </w:r>
      <w:r>
        <w:t xml:space="preserve">plus étroit (l’écart est expliqué dans les annexes numériques).</w:t>
      </w:r>
    </w:p>
    <w:p>
      <w:pPr>
        <w:pStyle w:val="BodyText"/>
      </w:pPr>
      <w:r>
        <w:rPr>
          <w:b/>
          <w:bCs/>
        </w:rPr>
        <w:t xml:space="preserve">Le compte par bande</w:t>
      </w:r>
      <w:r>
        <w:t xml:space="preserve">, selon la vitesse que la géométrie permettrait en S3 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Bande du segment porteur</w:t>
            </w:r>
          </w:p>
        </w:tc>
        <w:tc>
          <w:tcPr/>
          <w:p>
            <w:pPr>
              <w:pStyle w:val="Compact"/>
            </w:pPr>
            <w:r>
              <w:t xml:space="preserve">Passages (corridor dédoublonné)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≤ 153 km/h (95 mi/h)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154-177 km/h (96-110 mi/h)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178-201 km/h (111-125 mi/h)</w:t>
            </w:r>
          </w:p>
        </w:tc>
        <w:tc>
          <w:tcPr/>
          <w:p>
            <w:pPr>
              <w:pStyle w:val="Compact"/>
            </w:pPr>
            <w:r>
              <w:t xml:space="preserve">137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 201 km/h (&gt; 125 mi/h)</w:t>
            </w:r>
          </w:p>
        </w:tc>
        <w:tc>
          <w:tcPr/>
          <w:p>
            <w:pPr>
              <w:pStyle w:val="Compact"/>
            </w:pPr>
            <w:r>
              <w:t xml:space="preserve">754</w:t>
            </w:r>
          </w:p>
        </w:tc>
      </w:tr>
    </w:tbl>
    <w:p>
      <w:pPr>
        <w:pStyle w:val="BodyText"/>
      </w:pPr>
      <w:r>
        <w:t xml:space="preserve">La lecture : si l’on veut exploiter la géométrie que le pendulaire libère, 754 passages</w:t>
      </w:r>
      <w:r>
        <w:t xml:space="preserve"> </w:t>
      </w:r>
      <w:r>
        <w:t xml:space="preserve">tombent dans la bande « zéro passage » du précédent américain. C’est le vrai mur</w:t>
      </w:r>
      <w:r>
        <w:t xml:space="preserve"> </w:t>
      </w:r>
      <w:r>
        <w:t xml:space="preserve">au-dessus de 200 km/h, très loin devant la signalisation.</w:t>
      </w:r>
    </w:p>
    <w:p>
      <w:pPr>
        <w:pStyle w:val="BodyText"/>
      </w:pPr>
      <w:r>
        <w:rPr>
          <w:b/>
          <w:bCs/>
        </w:rPr>
        <w:t xml:space="preserve">Le tri</w:t>
      </w:r>
      <w:r>
        <w:t xml:space="preserve">, sur données ouvertes (le lecteur applique ses coûts unitaires) : 569 passages</w:t>
      </w:r>
      <w:r>
        <w:t xml:space="preserve"> </w:t>
      </w:r>
      <w:r>
        <w:t xml:space="preserve">privés ou de ferme, candidats à la fermeture [HYPOTHÈSE : l’existence d’une alternative</w:t>
      </w:r>
      <w:r>
        <w:t xml:space="preserve"> </w:t>
      </w:r>
      <w:r>
        <w:t xml:space="preserve">routière à moins de 2 km n’a pas été vérifiée] ; 233 passages municipaux simples,</w:t>
      </w:r>
      <w:r>
        <w:t xml:space="preserve"> </w:t>
      </w:r>
      <w:r>
        <w:t xml:space="preserve">traitement standard ; 122 passages urbains, multi-voies ou provinciaux, complexes.</w:t>
      </w:r>
    </w:p>
    <w:bookmarkEnd w:id="25"/>
    <w:bookmarkStart w:id="26" w:name="signalisation"/>
    <w:p>
      <w:pPr>
        <w:pStyle w:val="Heading1"/>
      </w:pPr>
      <w:r>
        <w:t xml:space="preserve">Signalisation</w:t>
      </w:r>
    </w:p>
    <w:p>
      <w:pPr>
        <w:pStyle w:val="FirstParagraph"/>
      </w:pPr>
      <w:r>
        <w:t xml:space="preserve">La signalisation se traite en un escalier de trois marches, chacune étant un compte et</w:t>
      </w:r>
      <w:r>
        <w:t xml:space="preserve"> </w:t>
      </w:r>
      <w:r>
        <w:t xml:space="preserve">une ligne de devis, pas une carte 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Jusqu’à 160 km/h (99 mi/h) : effet nul.</w:t>
      </w:r>
      <w:r>
        <w:t xml:space="preserve"> </w:t>
      </w:r>
      <w:r>
        <w:t xml:space="preserve">Le corridor s’exploite déjà à 160 km/h sous sa signalisation actuelle (la commande</w:t>
      </w:r>
      <w:r>
        <w:t xml:space="preserve"> </w:t>
      </w:r>
      <w:r>
        <w:t xml:space="preserve">centralisée de la circulation, ou CTC), sans qu’aucune règle canadienne n’impose de</w:t>
      </w:r>
      <w:r>
        <w:t xml:space="preserve"> </w:t>
      </w:r>
      <w:r>
        <w:t xml:space="preserve">plafond du type « 79 mi/h » (127 km/h) américain.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 161 à 200 km/h (100 à 124 mi/h) : superposition de contrôle en cabine.</w:t>
      </w:r>
      <w:r>
        <w:t xml:space="preserve"> </w:t>
      </w:r>
      <w:r>
        <w:t xml:space="preserve">C’est la marche du</w:t>
      </w:r>
      <w:r>
        <w:t xml:space="preserve"> </w:t>
      </w:r>
      <w:r>
        <w:t xml:space="preserve">scénario retenu (bande 200), elle mérite deux phrases de plus. Au-delà de 160 km/h,</w:t>
      </w:r>
      <w:r>
        <w:t xml:space="preserve"> </w:t>
      </w:r>
      <w:r>
        <w:t xml:space="preserve">on considère que le conducteur ne peut plus conduire aux seuls signaux plantés le</w:t>
      </w:r>
      <w:r>
        <w:t xml:space="preserve"> </w:t>
      </w:r>
      <w:r>
        <w:t xml:space="preserve">long de la voie : à cette vitesse, l’intervalle entre le moment où un signal devient</w:t>
      </w:r>
      <w:r>
        <w:t xml:space="preserve"> </w:t>
      </w:r>
      <w:r>
        <w:t xml:space="preserve">lisible et le moment où il faut avoir réagi devient trop court pour reposer sur</w:t>
      </w:r>
      <w:r>
        <w:t xml:space="preserve"> </w:t>
      </w:r>
      <w:r>
        <w:t xml:space="preserve">l’œil humain seul. Un système de contrôle en cabine répond en affichant l’état de la</w:t>
      </w:r>
      <w:r>
        <w:t xml:space="preserve"> </w:t>
      </w:r>
      <w:r>
        <w:t xml:space="preserve">voie directement devant le conducteur, en continu, et en freinant automatiquement le</w:t>
      </w:r>
      <w:r>
        <w:t xml:space="preserve"> </w:t>
      </w:r>
      <w:r>
        <w:t xml:space="preserve">train si la vitesse permise est dépassée. « Superposition » signifie que ce système</w:t>
      </w:r>
      <w:r>
        <w:t xml:space="preserve"> </w:t>
      </w:r>
      <w:r>
        <w:t xml:space="preserve">s’ajoute par-dessus la signalisation existante sans la remplacer : la voie garde ses</w:t>
      </w:r>
      <w:r>
        <w:t xml:space="preserve"> </w:t>
      </w:r>
      <w:r>
        <w:t xml:space="preserve">signaux, les trains de fret circulent comme avant, seuls les trains rapides</w:t>
      </w:r>
      <w:r>
        <w:t xml:space="preserve"> </w:t>
      </w:r>
      <w:r>
        <w:t xml:space="preserve">embarquent l’équipement. Le précédent est opérationnel et tarifé : la ligne Amtrak</w:t>
      </w:r>
      <w:r>
        <w:t xml:space="preserve"> </w:t>
      </w:r>
      <w:r>
        <w:t xml:space="preserve">du Michigan exploite 110 mi/h (177 km/h) avec un tel système incrémental superposé à</w:t>
      </w:r>
      <w:r>
        <w:t xml:space="preserve"> </w:t>
      </w:r>
      <w:r>
        <w:t xml:space="preserve">la signalisation existante</w:t>
      </w:r>
      <w:r>
        <w:t xml:space="preserve"> </w:t>
      </w:r>
      <w:r>
        <w:t xml:space="preserve">(</w:t>
      </w:r>
      <w:hyperlink w:anchor="ref-fra2024itcs">
        <w:r>
          <w:rPr>
            <w:rStyle w:val="Hyperlink"/>
          </w:rPr>
          <w:t xml:space="preserve">Federal Railroad Administration, 2024</w:t>
        </w:r>
      </w:hyperlink>
      <w:r>
        <w:t xml:space="preserve">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Au-delà de 200 km/h (124 mi/h) : contrôle intégral</w:t>
      </w:r>
      <w:r>
        <w:t xml:space="preserve"> </w:t>
      </w:r>
      <w:r>
        <w:t xml:space="preserve">de type ETCS (le standard européen de</w:t>
      </w:r>
      <w:r>
        <w:t xml:space="preserve"> </w:t>
      </w:r>
      <w:r>
        <w:t xml:space="preserve">contrôle des trains). C’est le devis d’Alto</w:t>
      </w:r>
      <w:r>
        <w:t xml:space="preserve"> </w:t>
      </w:r>
      <w:r>
        <w:t xml:space="preserve">(</w:t>
      </w:r>
      <w:hyperlink w:anchor="ref-alto2025">
        <w:r>
          <w:rPr>
            <w:rStyle w:val="Hyperlink"/>
          </w:rPr>
          <w:t xml:space="preserve">Alto, 2025</w:t>
        </w:r>
      </w:hyperlink>
      <w:r>
        <w:t xml:space="preserve">)</w:t>
      </w:r>
      <w:r>
        <w:t xml:space="preserve">, et</w:t>
      </w:r>
      <w:r>
        <w:t xml:space="preserve"> </w:t>
      </w:r>
      <w:r>
        <w:t xml:space="preserve">l’argument économique pour ne pas viser cette bande sur la voie partagée.</w:t>
      </w:r>
    </w:p>
    <w:p>
      <w:pPr>
        <w:pStyle w:val="FirstParagraph"/>
      </w:pPr>
      <w:r>
        <w:t xml:space="preserve">La signalisation a une seconde fonction, le débit (longueur des cantons, liaisons) : elle</w:t>
      </w:r>
      <w:r>
        <w:t xml:space="preserve"> </w:t>
      </w:r>
      <w:r>
        <w:t xml:space="preserve">vit dans le paquet capacité de l’étude de circulation, pas ici. Cette étude compte, elle</w:t>
      </w:r>
      <w:r>
        <w:t xml:space="preserve"> </w:t>
      </w:r>
      <w:r>
        <w:t xml:space="preserve">ne dimensionne pas.</w:t>
      </w:r>
    </w:p>
    <w:bookmarkEnd w:id="26"/>
    <w:bookmarkStart w:id="27" w:name="résultats-intégrés"/>
    <w:p>
      <w:pPr>
        <w:pStyle w:val="Heading1"/>
      </w:pPr>
      <w:r>
        <w:t xml:space="preserve">Résultats intégrés</w:t>
      </w:r>
    </w:p>
    <w:p>
      <w:pPr>
        <w:pStyle w:val="FirstParagraph"/>
      </w:pPr>
      <w:r>
        <w:t xml:space="preserve">Deux tables. La première donne les temps de base par tronçon, scénario et bande :</w:t>
      </w:r>
      <w:r>
        <w:t xml:space="preserve"> </w:t>
      </w:r>
      <w:r>
        <w:t xml:space="preserve">courbes, blocs urbains figés et arrêts, sans marge. La seconde applique la marge en</w:t>
      </w:r>
      <w:r>
        <w:t xml:space="preserve"> </w:t>
      </w:r>
      <w:r>
        <w:t xml:space="preserve">fourchette : c’est elle qui se compare à l’horaire actuel.</w:t>
      </w:r>
    </w:p>
    <w:p>
      <w:pPr>
        <w:pStyle w:val="BodyText"/>
      </w:pPr>
      <w:r>
        <w:rPr>
          <w:b/>
          <w:bCs/>
        </w:rPr>
        <w:t xml:space="preserve">Temps de base (sans marge).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Tronçon</w:t>
            </w:r>
          </w:p>
        </w:tc>
        <w:tc>
          <w:tcPr/>
          <w:p>
            <w:pPr>
              <w:pStyle w:val="Compact"/>
            </w:pPr>
            <w:r>
              <w:t xml:space="preserve">Horaire actuel</w:t>
            </w:r>
          </w:p>
        </w:tc>
        <w:tc>
          <w:tcPr/>
          <w:p>
            <w:pPr>
              <w:pStyle w:val="Compact"/>
            </w:pPr>
            <w:r>
              <w:t xml:space="preserve">S1, plafond 160</w:t>
            </w:r>
          </w:p>
        </w:tc>
        <w:tc>
          <w:tcPr/>
          <w:p>
            <w:pPr>
              <w:pStyle w:val="Compact"/>
            </w:pPr>
            <w:r>
              <w:t xml:space="preserve">S2, 200</w:t>
            </w:r>
          </w:p>
        </w:tc>
        <w:tc>
          <w:tcPr/>
          <w:p>
            <w:pPr>
              <w:pStyle w:val="Compact"/>
            </w:pPr>
            <w:r>
              <w:t xml:space="preserve">S3, 200</w:t>
            </w:r>
          </w:p>
        </w:tc>
        <w:tc>
          <w:tcPr/>
          <w:p>
            <w:pPr>
              <w:pStyle w:val="Compact"/>
            </w:pPr>
            <w:r>
              <w:t xml:space="preserve">S3, 250</w:t>
            </w:r>
          </w:p>
        </w:tc>
        <w:tc>
          <w:tcPr/>
          <w:p>
            <w:pPr>
              <w:pStyle w:val="Compact"/>
            </w:pPr>
            <w:r>
              <w:t xml:space="preserve">S3, 300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Montréal-Québec (270 km)</w:t>
            </w:r>
          </w:p>
        </w:tc>
        <w:tc>
          <w:tcPr/>
          <w:p>
            <w:pPr>
              <w:pStyle w:val="Compact"/>
            </w:pPr>
            <w:r>
              <w:t xml:space="preserve">3 h 23</w:t>
            </w:r>
          </w:p>
        </w:tc>
        <w:tc>
          <w:tcPr/>
          <w:p>
            <w:pPr>
              <w:pStyle w:val="Compact"/>
            </w:pPr>
            <w:r>
              <w:t xml:space="preserve">2 h 33</w:t>
            </w:r>
          </w:p>
        </w:tc>
        <w:tc>
          <w:tcPr/>
          <w:p>
            <w:pPr>
              <w:pStyle w:val="Compact"/>
            </w:pPr>
            <w:r>
              <w:t xml:space="preserve">2 h 12</w:t>
            </w:r>
          </w:p>
        </w:tc>
        <w:tc>
          <w:tcPr/>
          <w:p>
            <w:pPr>
              <w:pStyle w:val="Compact"/>
            </w:pPr>
            <w:r>
              <w:t xml:space="preserve">2 h 08</w:t>
            </w:r>
          </w:p>
        </w:tc>
        <w:tc>
          <w:tcPr/>
          <w:p>
            <w:pPr>
              <w:pStyle w:val="Compact"/>
            </w:pPr>
            <w:r>
              <w:t xml:space="preserve">1 h 58</w:t>
            </w:r>
          </w:p>
        </w:tc>
        <w:tc>
          <w:tcPr/>
          <w:p>
            <w:pPr>
              <w:pStyle w:val="Compact"/>
            </w:pPr>
            <w:r>
              <w:t xml:space="preserve">1 h 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Montréal-Ottawa (185 km)</w:t>
            </w:r>
          </w:p>
        </w:tc>
        <w:tc>
          <w:tcPr/>
          <w:p>
            <w:pPr>
              <w:pStyle w:val="Compact"/>
            </w:pPr>
            <w:r>
              <w:t xml:space="preserve">2 h 02</w:t>
            </w:r>
          </w:p>
        </w:tc>
        <w:tc>
          <w:tcPr/>
          <w:p>
            <w:pPr>
              <w:pStyle w:val="Compact"/>
            </w:pPr>
            <w:r>
              <w:t xml:space="preserve">1 h 47</w:t>
            </w:r>
          </w:p>
        </w:tc>
        <w:tc>
          <w:tcPr/>
          <w:p>
            <w:pPr>
              <w:pStyle w:val="Compact"/>
            </w:pPr>
            <w:r>
              <w:t xml:space="preserve">1 h 33</w:t>
            </w:r>
          </w:p>
        </w:tc>
        <w:tc>
          <w:tcPr/>
          <w:p>
            <w:pPr>
              <w:pStyle w:val="Compact"/>
            </w:pPr>
            <w:r>
              <w:t xml:space="preserve">1 h 31</w:t>
            </w:r>
          </w:p>
        </w:tc>
        <w:tc>
          <w:tcPr/>
          <w:p>
            <w:pPr>
              <w:pStyle w:val="Compact"/>
            </w:pPr>
            <w:r>
              <w:t xml:space="preserve">1 h 24</w:t>
            </w:r>
          </w:p>
        </w:tc>
        <w:tc>
          <w:tcPr/>
          <w:p>
            <w:pPr>
              <w:pStyle w:val="Compact"/>
            </w:pPr>
            <w:r>
              <w:t xml:space="preserve">1 h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Ottawa-Toronto (444 km)</w:t>
            </w:r>
          </w:p>
        </w:tc>
        <w:tc>
          <w:tcPr/>
          <w:p>
            <w:pPr>
              <w:pStyle w:val="Compact"/>
            </w:pPr>
            <w:r>
              <w:t xml:space="preserve">4 h 35</w:t>
            </w:r>
          </w:p>
        </w:tc>
        <w:tc>
          <w:tcPr/>
          <w:p>
            <w:pPr>
              <w:pStyle w:val="Compact"/>
            </w:pPr>
            <w:r>
              <w:t xml:space="preserve">3 h 53</w:t>
            </w:r>
          </w:p>
        </w:tc>
        <w:tc>
          <w:tcPr/>
          <w:p>
            <w:pPr>
              <w:pStyle w:val="Compact"/>
            </w:pPr>
            <w:r>
              <w:t xml:space="preserve">3 h 21</w:t>
            </w:r>
          </w:p>
        </w:tc>
        <w:tc>
          <w:tcPr/>
          <w:p>
            <w:pPr>
              <w:pStyle w:val="Compact"/>
            </w:pPr>
            <w:r>
              <w:t xml:space="preserve">3 h 19</w:t>
            </w:r>
          </w:p>
        </w:tc>
        <w:tc>
          <w:tcPr/>
          <w:p>
            <w:pPr>
              <w:pStyle w:val="Compact"/>
            </w:pPr>
            <w:r>
              <w:t xml:space="preserve">2 h 56</w:t>
            </w:r>
          </w:p>
        </w:tc>
        <w:tc>
          <w:tcPr/>
          <w:p>
            <w:pPr>
              <w:pStyle w:val="Compact"/>
            </w:pPr>
            <w:r>
              <w:t xml:space="preserve">2 h 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Montréal-Toronto (539 km)</w:t>
            </w:r>
          </w:p>
        </w:tc>
        <w:tc>
          <w:tcPr/>
          <w:p>
            <w:pPr>
              <w:pStyle w:val="Compact"/>
            </w:pPr>
            <w:r>
              <w:t xml:space="preserve">5 h 18</w:t>
            </w:r>
          </w:p>
        </w:tc>
        <w:tc>
          <w:tcPr/>
          <w:p>
            <w:pPr>
              <w:pStyle w:val="Compact"/>
            </w:pPr>
            <w:r>
              <w:t xml:space="preserve">4 h 38</w:t>
            </w:r>
          </w:p>
        </w:tc>
        <w:tc>
          <w:tcPr/>
          <w:p>
            <w:pPr>
              <w:pStyle w:val="Compact"/>
            </w:pPr>
            <w:r>
              <w:t xml:space="preserve">4 h 00</w:t>
            </w:r>
          </w:p>
        </w:tc>
        <w:tc>
          <w:tcPr/>
          <w:p>
            <w:pPr>
              <w:pStyle w:val="Compact"/>
            </w:pPr>
            <w:r>
              <w:t xml:space="preserve">3 h 58</w:t>
            </w:r>
          </w:p>
        </w:tc>
        <w:tc>
          <w:tcPr/>
          <w:p>
            <w:pPr>
              <w:pStyle w:val="Compact"/>
            </w:pPr>
            <w:r>
              <w:t xml:space="preserve">3 h 30</w:t>
            </w:r>
          </w:p>
        </w:tc>
        <w:tc>
          <w:tcPr/>
          <w:p>
            <w:pPr>
              <w:pStyle w:val="Compact"/>
            </w:pPr>
            <w:r>
              <w:t xml:space="preserve">3 h 15</w:t>
            </w:r>
          </w:p>
        </w:tc>
      </w:tr>
    </w:tbl>
    <w:p>
      <w:pPr>
        <w:pStyle w:val="BodyText"/>
      </w:pPr>
      <w:r>
        <w:rPr>
          <w:b/>
          <w:bCs/>
        </w:rPr>
        <w:t xml:space="preserve">Temps avec marge (fourchette).</w:t>
      </w:r>
      <w:r>
        <w:t xml:space="preserve"> </w:t>
      </w:r>
      <w:r>
        <w:t xml:space="preserve">Borne basse : la marge normative (7 pour cent du</w:t>
      </w:r>
      <w:r>
        <w:t xml:space="preserve"> </w:t>
      </w:r>
      <w:r>
        <w:t xml:space="preserve">temps de base à la bande 160, 9 pour cent aux bandes 200 et plus</w:t>
      </w:r>
      <w:r>
        <w:t xml:space="preserve"> </w:t>
      </w:r>
      <w:r>
        <w:t xml:space="preserve">(</w:t>
      </w:r>
      <w:hyperlink w:anchor="ref-uic2000f451">
        <w:r>
          <w:rPr>
            <w:rStyle w:val="Hyperlink"/>
          </w:rPr>
          <w:t xml:space="preserve">Union internationale des chemins de fer, 2000</w:t>
        </w:r>
      </w:hyperlink>
      <w:r>
        <w:t xml:space="preserve">,  ;</w:t>
      </w:r>
      <w:r>
        <w:t xml:space="preserve"> </w:t>
      </w:r>
      <w:hyperlink w:anchor="ref-schittenhelm2011">
        <w:r>
          <w:rPr>
            <w:rStyle w:val="Hyperlink"/>
          </w:rPr>
          <w:t xml:space="preserve">Schittenhelm, 2011</w:t>
        </w:r>
      </w:hyperlink>
      <w:r>
        <w:t xml:space="preserve">)</w:t>
      </w:r>
      <w:r>
        <w:t xml:space="preserve">). Borne haute : la marge que l’horaire actuel du tronçon porte</w:t>
      </w:r>
      <w:r>
        <w:t xml:space="preserve"> </w:t>
      </w:r>
      <w:r>
        <w:t xml:space="preserve">aujourd’hui, mesurée dans cette étude (14 pour cent sur Montréal-Toronto et</w:t>
      </w:r>
      <w:r>
        <w:t xml:space="preserve"> </w:t>
      </w:r>
      <w:r>
        <w:t xml:space="preserve">Montréal-Ottawa, 18 pour cent sur Ottawa-Toronto, 33 pour cent sur Montréal-Québec).</w:t>
      </w:r>
      <w:r>
        <w:t xml:space="preserve"> </w:t>
      </w:r>
      <w:r>
        <w:t xml:space="preserve">Par construction, la borne haute de la colonne « S1, 160 » retombe sur l’horaire</w:t>
      </w:r>
      <w:r>
        <w:t xml:space="preserve"> </w:t>
      </w:r>
      <w:r>
        <w:t xml:space="preserve">actuel : c’est un contrôle interne de la méthode, pas une coïncidence.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Tronçon (horaire actuel)</w:t>
            </w:r>
          </w:p>
        </w:tc>
        <w:tc>
          <w:tcPr/>
          <w:p>
            <w:pPr>
              <w:pStyle w:val="Compact"/>
            </w:pPr>
            <w:r>
              <w:t xml:space="preserve">S1, 160</w:t>
            </w:r>
          </w:p>
        </w:tc>
        <w:tc>
          <w:tcPr/>
          <w:p>
            <w:pPr>
              <w:pStyle w:val="Compact"/>
            </w:pPr>
            <w:r>
              <w:t xml:space="preserve">S2, 200</w:t>
            </w:r>
          </w:p>
        </w:tc>
        <w:tc>
          <w:tcPr/>
          <w:p>
            <w:pPr>
              <w:pStyle w:val="Compact"/>
            </w:pPr>
            <w:r>
              <w:t xml:space="preserve">S3, 200</w:t>
            </w:r>
          </w:p>
        </w:tc>
        <w:tc>
          <w:tcPr/>
          <w:p>
            <w:pPr>
              <w:pStyle w:val="Compact"/>
            </w:pPr>
            <w:r>
              <w:t xml:space="preserve">S3, 250</w:t>
            </w:r>
          </w:p>
        </w:tc>
        <w:tc>
          <w:tcPr/>
          <w:p>
            <w:pPr>
              <w:pStyle w:val="Compact"/>
            </w:pPr>
            <w:r>
              <w:t xml:space="preserve">S3, 300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Montréal-Québec (3 h 23)</w:t>
            </w:r>
          </w:p>
        </w:tc>
        <w:tc>
          <w:tcPr/>
          <w:p>
            <w:pPr>
              <w:pStyle w:val="Compact"/>
            </w:pPr>
            <w:r>
              <w:t xml:space="preserve">2 h 43 à 3 h 23</w:t>
            </w:r>
          </w:p>
        </w:tc>
        <w:tc>
          <w:tcPr/>
          <w:p>
            <w:pPr>
              <w:pStyle w:val="Compact"/>
            </w:pPr>
            <w:r>
              <w:t xml:space="preserve">2 h 24 à 2 h 56</w:t>
            </w:r>
          </w:p>
        </w:tc>
        <w:tc>
          <w:tcPr/>
          <w:p>
            <w:pPr>
              <w:pStyle w:val="Compact"/>
            </w:pPr>
            <w:r>
              <w:t xml:space="preserve">2 h 20 à 2 h 50</w:t>
            </w:r>
          </w:p>
        </w:tc>
        <w:tc>
          <w:tcPr/>
          <w:p>
            <w:pPr>
              <w:pStyle w:val="Compact"/>
            </w:pPr>
            <w:r>
              <w:t xml:space="preserve">2 h 09 à 2 h 37</w:t>
            </w:r>
          </w:p>
        </w:tc>
        <w:tc>
          <w:tcPr/>
          <w:p>
            <w:pPr>
              <w:pStyle w:val="Compact"/>
            </w:pPr>
            <w:r>
              <w:t xml:space="preserve">2 h 03 à 2 h 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Montréal-Ottawa (2 h 02)</w:t>
            </w:r>
          </w:p>
        </w:tc>
        <w:tc>
          <w:tcPr/>
          <w:p>
            <w:pPr>
              <w:pStyle w:val="Compact"/>
            </w:pPr>
            <w:r>
              <w:t xml:space="preserve">1 h 54 à 2 h 02</w:t>
            </w:r>
          </w:p>
        </w:tc>
        <w:tc>
          <w:tcPr/>
          <w:p>
            <w:pPr>
              <w:pStyle w:val="Compact"/>
            </w:pPr>
            <w:r>
              <w:t xml:space="preserve">1 h 42 à 1 h 47</w:t>
            </w:r>
          </w:p>
        </w:tc>
        <w:tc>
          <w:tcPr/>
          <w:p>
            <w:pPr>
              <w:pStyle w:val="Compact"/>
            </w:pPr>
            <w:r>
              <w:t xml:space="preserve">1 h 39 à 1 h 44</w:t>
            </w:r>
          </w:p>
        </w:tc>
        <w:tc>
          <w:tcPr/>
          <w:p>
            <w:pPr>
              <w:pStyle w:val="Compact"/>
            </w:pPr>
            <w:r>
              <w:t xml:space="preserve">1 h 31 à 1 h 36</w:t>
            </w:r>
          </w:p>
        </w:tc>
        <w:tc>
          <w:tcPr/>
          <w:p>
            <w:pPr>
              <w:pStyle w:val="Compact"/>
            </w:pPr>
            <w:r>
              <w:t xml:space="preserve">1 h 26 à 1 h 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Ottawa-Toronto (4 h 35)</w:t>
            </w:r>
          </w:p>
        </w:tc>
        <w:tc>
          <w:tcPr/>
          <w:p>
            <w:pPr>
              <w:pStyle w:val="Compact"/>
            </w:pPr>
            <w:r>
              <w:t xml:space="preserve">4 h 10 à 4 h 35</w:t>
            </w:r>
          </w:p>
        </w:tc>
        <w:tc>
          <w:tcPr/>
          <w:p>
            <w:pPr>
              <w:pStyle w:val="Compact"/>
            </w:pPr>
            <w:r>
              <w:t xml:space="preserve">3 h 39 à 3 h 57</w:t>
            </w:r>
          </w:p>
        </w:tc>
        <w:tc>
          <w:tcPr/>
          <w:p>
            <w:pPr>
              <w:pStyle w:val="Compact"/>
            </w:pPr>
            <w:r>
              <w:t xml:space="preserve">3 h 36 à 3 h 54</w:t>
            </w:r>
          </w:p>
        </w:tc>
        <w:tc>
          <w:tcPr/>
          <w:p>
            <w:pPr>
              <w:pStyle w:val="Compact"/>
            </w:pPr>
            <w:r>
              <w:t xml:space="preserve">3 h 12 à 3 h 28</w:t>
            </w:r>
          </w:p>
        </w:tc>
        <w:tc>
          <w:tcPr/>
          <w:p>
            <w:pPr>
              <w:pStyle w:val="Compact"/>
            </w:pPr>
            <w:r>
              <w:t xml:space="preserve">3 h 00 à 3 h 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Montréal-Toronto (5 h 18)</w:t>
            </w:r>
          </w:p>
        </w:tc>
        <w:tc>
          <w:tcPr/>
          <w:p>
            <w:pPr>
              <w:pStyle w:val="Compact"/>
            </w:pPr>
            <w:r>
              <w:t xml:space="preserve">4 h 57 à 5 h 18</w:t>
            </w:r>
          </w:p>
        </w:tc>
        <w:tc>
          <w:tcPr/>
          <w:p>
            <w:pPr>
              <w:pStyle w:val="Compact"/>
            </w:pPr>
            <w:r>
              <w:t xml:space="preserve">4 h 21 à 4 h 34</w:t>
            </w:r>
          </w:p>
        </w:tc>
        <w:tc>
          <w:tcPr/>
          <w:p>
            <w:pPr>
              <w:pStyle w:val="Compact"/>
            </w:pPr>
            <w:r>
              <w:t xml:space="preserve">4 h 19 à 4 h 32</w:t>
            </w:r>
          </w:p>
        </w:tc>
        <w:tc>
          <w:tcPr/>
          <w:p>
            <w:pPr>
              <w:pStyle w:val="Compact"/>
            </w:pPr>
            <w:r>
              <w:t xml:space="preserve">3 h 49 à 4 h 00</w:t>
            </w:r>
          </w:p>
        </w:tc>
        <w:tc>
          <w:tcPr/>
          <w:p>
            <w:pPr>
              <w:pStyle w:val="Compact"/>
            </w:pPr>
            <w:r>
              <w:t xml:space="preserve">3 h 32 à 3 h 43</w:t>
            </w:r>
          </w:p>
        </w:tc>
      </w:tr>
    </w:tbl>
    <w:p>
      <w:pPr>
        <w:pStyle w:val="BodyText"/>
      </w:pPr>
      <w:r>
        <w:t xml:space="preserve">Sensibilités : blocs urbains ±20 pour cent (déjà dans les fourchettes) ; le bruit sur les</w:t>
      </w:r>
      <w:r>
        <w:t xml:space="preserve"> </w:t>
      </w:r>
      <w:r>
        <w:t xml:space="preserve">rayons de courbure est absorbé par la publication en classes de vitesse plutôt qu’au</w:t>
      </w:r>
      <w:r>
        <w:t xml:space="preserve"> </w:t>
      </w:r>
      <w:r>
        <w:t xml:space="preserve">km/h près ; la pénalité d’arrêt (5 minutes par arrêt, borne basse volontaire) peut être</w:t>
      </w:r>
      <w:r>
        <w:t xml:space="preserve"> </w:t>
      </w:r>
      <w:r>
        <w:t xml:space="preserve">portée à 7,5-10 minutes sans changer l’ordre des scénarios.</w:t>
      </w:r>
    </w:p>
    <w:p>
      <w:pPr>
        <w:pStyle w:val="BodyText"/>
      </w:pPr>
      <w:r>
        <w:t xml:space="preserve">Deux garde-fous internes : chaque segment publié vérifie par construction la cohérence</w:t>
      </w:r>
      <w:r>
        <w:t xml:space="preserve"> </w:t>
      </w:r>
      <w:r>
        <w:t xml:space="preserve">entre sa classe et sa vitesse (zéro violation sur 5 040 contrôles), et les zones-témoins</w:t>
      </w:r>
      <w:r>
        <w:t xml:space="preserve"> </w:t>
      </w:r>
      <w:r>
        <w:t xml:space="preserve">(courbes réelles d’Ottawa et de Montréal, vitesse de la ligne Kingston) ressortent</w:t>
      </w:r>
      <w:r>
        <w:t xml:space="preserve"> </w:t>
      </w:r>
      <w:r>
        <w:t xml:space="preserve">correctement à chaque régénération.</w:t>
      </w:r>
    </w:p>
    <w:bookmarkEnd w:id="27"/>
    <w:bookmarkStart w:id="28" w:name="limites-et-létude-quil-faut-commander"/>
    <w:p>
      <w:pPr>
        <w:pStyle w:val="Heading1"/>
      </w:pPr>
      <w:r>
        <w:t xml:space="preserve">Limites, et l’étude qu’il faut commander</w:t>
      </w:r>
    </w:p>
    <w:p>
      <w:pPr>
        <w:pStyle w:val="FirstParagraph"/>
      </w:pPr>
      <w:r>
        <w:t xml:space="preserve">Ce que cette méthode ne voit pas, elle le déclare : elle ne simule pas la circulation</w:t>
      </w:r>
      <w:r>
        <w:t xml:space="preserve"> </w:t>
      </w:r>
      <w:r>
        <w:t xml:space="preserve">(croisements réels, sillons de fret, robustesse d’horaire), elle ne conçoit aucun site,</w:t>
      </w:r>
      <w:r>
        <w:t xml:space="preserve"> </w:t>
      </w:r>
      <w:r>
        <w:t xml:space="preserve">elle ne chiffre aucun coût. Ses horaires de référence datent d’une saison de restrictions exceptionnelles ; le</w:t>
      </w:r>
      <w:r>
        <w:t xml:space="preserve"> </w:t>
      </w:r>
      <w:r>
        <w:t xml:space="preserve">biais a été testé en rejouant la mesure sur les horaires de janvier 2023, antérieurs à</w:t>
      </w:r>
      <w:r>
        <w:t xml:space="preserve"> </w:t>
      </w:r>
      <w:r>
        <w:t xml:space="preserve">la crise : la hiérarchie entre cellules et les niveaux de marge y sont pratiquement</w:t>
      </w:r>
      <w:r>
        <w:t xml:space="preserve"> </w:t>
      </w:r>
      <w:r>
        <w:t xml:space="preserve">identiques (voie simple CN à 67 pour cent dès 2023). La structure précède la crise.</w:t>
      </w:r>
    </w:p>
    <w:p>
      <w:pPr>
        <w:pStyle w:val="BodyText"/>
      </w:pPr>
      <w:r>
        <w:t xml:space="preserve">C’est précisément pourquoi sa conclusion opérationnelle est une commande d’étude : une</w:t>
      </w:r>
      <w:r>
        <w:t xml:space="preserve"> </w:t>
      </w:r>
      <w:r>
        <w:t xml:space="preserve">étude de circulation, menée avec le propriétaire de la voie, qui alloue la marge entre</w:t>
      </w:r>
      <w:r>
        <w:t xml:space="preserve"> </w:t>
      </w:r>
      <w:r>
        <w:t xml:space="preserve">ses causes (fret, état de voie, passages à niveau, terminaux) et dimensionne les</w:t>
      </w:r>
      <w:r>
        <w:t xml:space="preserve"> </w:t>
      </w:r>
      <w:r>
        <w:t xml:space="preserve">interventions de capacité (liaisons rapides, sections de troisième voie, allongement</w:t>
      </w:r>
      <w:r>
        <w:t xml:space="preserve"> </w:t>
      </w:r>
      <w:r>
        <w:t xml:space="preserve">d’évitements). Tout ce que la présente étude compte en est l’intrant direct ; ses fourchettes en</w:t>
      </w:r>
      <w:r>
        <w:t xml:space="preserve"> </w:t>
      </w:r>
      <w:r>
        <w:t xml:space="preserve">bornent d’avance le résultat.</w:t>
      </w:r>
    </w:p>
    <w:bookmarkEnd w:id="28"/>
    <w:bookmarkStart w:id="78" w:name="références"/>
    <w:p>
      <w:pPr>
        <w:pStyle w:val="Heading1"/>
      </w:pPr>
      <w:r>
        <w:t xml:space="preserve">Références</w:t>
      </w:r>
    </w:p>
    <w:bookmarkStart w:id="77" w:name="refs"/>
    <w:bookmarkStart w:id="30" w:name="ref-alto2025"/>
    <w:p>
      <w:pPr>
        <w:pStyle w:val="Bibliography"/>
      </w:pPr>
      <w:r>
        <w:t xml:space="preserve">Alto. (2025).</w:t>
      </w:r>
      <w:r>
        <w:t xml:space="preserve"> </w:t>
      </w:r>
      <w:r>
        <w:rPr>
          <w:i/>
          <w:iCs/>
        </w:rPr>
        <w:t xml:space="preserve">About Alto</w:t>
      </w:r>
      <w:r>
        <w:t xml:space="preserve">.</w:t>
      </w:r>
      <w:r>
        <w:t xml:space="preserve"> </w:t>
      </w:r>
      <w:hyperlink r:id="rId29">
        <w:r>
          <w:rPr>
            <w:rStyle w:val="Hyperlink"/>
          </w:rPr>
          <w:t xml:space="preserve">https://www.altotrain.ca/en/about-alto</w:t>
        </w:r>
      </w:hyperlink>
    </w:p>
    <w:bookmarkEnd w:id="30"/>
    <w:bookmarkStart w:id="32" w:name="ref-amtrakoig2019"/>
    <w:p>
      <w:pPr>
        <w:pStyle w:val="Bibliography"/>
      </w:pPr>
      <w:r>
        <w:t xml:space="preserve">Amtrak Office of Inspector General. (2019).</w:t>
      </w:r>
      <w:r>
        <w:t xml:space="preserve"> </w:t>
      </w:r>
      <w:r>
        <w:rPr>
          <w:i/>
          <w:iCs/>
        </w:rPr>
        <w:t xml:space="preserve">Train operations : Better estimates needed of the financial impacts of poor on-time performance</w:t>
      </w:r>
      <w:r>
        <w:t xml:space="preserve"> </w:t>
      </w:r>
      <w:r>
        <w:t xml:space="preserve">(OIG-A-2020-001). Amtrak OIG.</w:t>
      </w:r>
      <w:r>
        <w:t xml:space="preserve"> </w:t>
      </w:r>
      <w:hyperlink r:id="rId31">
        <w:r>
          <w:rPr>
            <w:rStyle w:val="Hyperlink"/>
          </w:rPr>
          <w:t xml:space="preserve">https://amtrakoig.gov/sites/default/files/reports/OIG-A-2020-001%20OTP%20mandate.pdf</w:t>
        </w:r>
      </w:hyperlink>
    </w:p>
    <w:bookmarkEnd w:id="32"/>
    <w:bookmarkStart w:id="34" w:name="ref-canadianrail1976"/>
    <w:p>
      <w:pPr>
        <w:pStyle w:val="Bibliography"/>
      </w:pPr>
      <w:r>
        <w:t xml:space="preserve">Association canadienne d’histoire ferroviaire. (1976). The business car.</w:t>
      </w:r>
      <w:r>
        <w:t xml:space="preserve"> </w:t>
      </w:r>
      <w:r>
        <w:rPr>
          <w:i/>
          <w:iCs/>
        </w:rPr>
        <w:t xml:space="preserve">Canadian Rail</w:t>
      </w:r>
      <w:r>
        <w:t xml:space="preserve">, (296), 274.</w:t>
      </w:r>
      <w:r>
        <w:t xml:space="preserve"> </w:t>
      </w:r>
      <w:hyperlink r:id="rId33">
        <w:r>
          <w:rPr>
            <w:rStyle w:val="Hyperlink"/>
          </w:rPr>
          <w:t xml:space="preserve">https://exporail.org/canrail/canadian_rail_1962_1989/canadian-rail-296-1976.pdf</w:t>
        </w:r>
      </w:hyperlink>
    </w:p>
    <w:bookmarkEnd w:id="34"/>
    <w:bookmarkStart w:id="36" w:name="ref-bateman2015"/>
    <w:p>
      <w:pPr>
        <w:pStyle w:val="Bibliography"/>
      </w:pPr>
      <w:r>
        <w:t xml:space="preserve">Bateman, C. (2015).</w:t>
      </w:r>
      <w:r>
        <w:t xml:space="preserve"> </w:t>
      </w:r>
      <w:r>
        <w:rPr>
          <w:i/>
          <w:iCs/>
        </w:rPr>
        <w:t xml:space="preserve">Remembering the ill-fated</w:t>
      </w:r>
      <w:r>
        <w:rPr>
          <w:i/>
          <w:iCs/>
        </w:rPr>
        <w:t xml:space="preserve"> </w:t>
      </w:r>
      <w:r>
        <w:rPr>
          <w:i/>
          <w:iCs/>
        </w:rPr>
        <w:t xml:space="preserve">CN</w:t>
      </w:r>
      <w:r>
        <w:rPr>
          <w:i/>
          <w:iCs/>
        </w:rPr>
        <w:t xml:space="preserve"> </w:t>
      </w:r>
      <w:r>
        <w:rPr>
          <w:i/>
          <w:iCs/>
        </w:rPr>
        <w:t xml:space="preserve">Turbo train</w:t>
      </w:r>
      <w:r>
        <w:t xml:space="preserve">. Spacing Toronto.</w:t>
      </w:r>
      <w:r>
        <w:t xml:space="preserve"> </w:t>
      </w:r>
      <w:hyperlink r:id="rId35">
        <w:r>
          <w:rPr>
            <w:rStyle w:val="Hyperlink"/>
          </w:rPr>
          <w:t xml:space="preserve">https://spacing.ca/toronto/2015/12/09/53711/</w:t>
        </w:r>
      </w:hyperlink>
    </w:p>
    <w:bookmarkEnd w:id="36"/>
    <w:bookmarkStart w:id="38" w:name="ref-bienaime2009sealed"/>
    <w:p>
      <w:pPr>
        <w:pStyle w:val="Bibliography"/>
      </w:pPr>
      <w:r>
        <w:t xml:space="preserve">Bien-Aime, P. (2009).</w:t>
      </w:r>
      <w:r>
        <w:t xml:space="preserve"> </w:t>
      </w:r>
      <w:r>
        <w:rPr>
          <w:i/>
          <w:iCs/>
        </w:rPr>
        <w:t xml:space="preserve">North Carolina</w:t>
      </w:r>
      <w:r>
        <w:rPr>
          <w:i/>
          <w:iCs/>
        </w:rPr>
        <w:t xml:space="preserve"> </w:t>
      </w:r>
      <w:r>
        <w:rPr>
          <w:i/>
          <w:iCs/>
        </w:rPr>
        <w:t xml:space="preserve">«</w:t>
      </w:r>
      <w:r>
        <w:rPr>
          <w:i/>
          <w:iCs/>
        </w:rPr>
        <w:t xml:space="preserve"> </w:t>
      </w:r>
      <w:r>
        <w:rPr>
          <w:i/>
          <w:iCs/>
        </w:rPr>
        <w:t xml:space="preserve">Sealed Corridor</w:t>
      </w:r>
      <w:r>
        <w:rPr>
          <w:i/>
          <w:iCs/>
        </w:rPr>
        <w:t xml:space="preserve"> </w:t>
      </w:r>
      <w:r>
        <w:rPr>
          <w:i/>
          <w:iCs/>
        </w:rPr>
        <w:t xml:space="preserve">»</w:t>
      </w:r>
      <w:r>
        <w:rPr>
          <w:i/>
          <w:iCs/>
        </w:rPr>
        <w:t xml:space="preserve"> </w:t>
      </w:r>
      <w:r>
        <w:rPr>
          <w:i/>
          <w:iCs/>
        </w:rPr>
        <w:t xml:space="preserve">Phase I, II, and III assessment</w:t>
      </w:r>
      <w:r>
        <w:t xml:space="preserve"> </w:t>
      </w:r>
      <w:r>
        <w:t xml:space="preserve">(DOT/FRA/ORD-09/17). Federal Railroad Administration, U.S. Department of Transportation.</w:t>
      </w:r>
      <w:r>
        <w:t xml:space="preserve"> </w:t>
      </w:r>
      <w:hyperlink r:id="rId37">
        <w:r>
          <w:rPr>
            <w:rStyle w:val="Hyperlink"/>
          </w:rPr>
          <w:t xml:space="preserve">https://railroads.dot.gov/sites/fra.dot.gov/files/fra_net/300/ord0917.pdf</w:t>
        </w:r>
      </w:hyperlink>
    </w:p>
    <w:bookmarkEnd w:id="38"/>
    <w:bookmarkStart w:id="39" w:name="ref-cn2002mr1305"/>
    <w:p>
      <w:pPr>
        <w:pStyle w:val="Bibliography"/>
      </w:pPr>
      <w:r>
        <w:t xml:space="preserve">Canadien National. (2002).</w:t>
      </w:r>
      <w:r>
        <w:t xml:space="preserve"> </w:t>
      </w:r>
      <w:r>
        <w:rPr>
          <w:i/>
          <w:iCs/>
        </w:rPr>
        <w:t xml:space="preserve">MR 1305-0 : méthode de calcul des vitesses en courbe</w:t>
      </w:r>
      <w:r>
        <w:t xml:space="preserve"> </w:t>
      </w:r>
      <w:r>
        <w:t xml:space="preserve">[Circulaire technique interne]. Compagnie des chemins de fer nationaux du Canada.</w:t>
      </w:r>
    </w:p>
    <w:bookmarkEnd w:id="39"/>
    <w:bookmarkStart w:id="41" w:name="ref-cbc2025pilote"/>
    <w:p>
      <w:pPr>
        <w:pStyle w:val="Bibliography"/>
      </w:pPr>
      <w:r>
        <w:t xml:space="preserve">CBC News. (2025).</w:t>
      </w:r>
      <w:r>
        <w:t xml:space="preserve"> </w:t>
      </w:r>
      <w:r>
        <w:rPr>
          <w:i/>
          <w:iCs/>
        </w:rPr>
        <w:t xml:space="preserve">Via postpones direct</w:t>
      </w:r>
      <w:r>
        <w:rPr>
          <w:i/>
          <w:iCs/>
        </w:rPr>
        <w:t xml:space="preserve"> </w:t>
      </w:r>
      <w:r>
        <w:rPr>
          <w:i/>
          <w:iCs/>
        </w:rPr>
        <w:t xml:space="preserve">Montreal-Toronto</w:t>
      </w:r>
      <w:r>
        <w:rPr>
          <w:i/>
          <w:iCs/>
        </w:rPr>
        <w:t xml:space="preserve"> </w:t>
      </w:r>
      <w:r>
        <w:rPr>
          <w:i/>
          <w:iCs/>
        </w:rPr>
        <w:t xml:space="preserve">pilot</w:t>
      </w:r>
      <w:r>
        <w:t xml:space="preserve">.</w:t>
      </w:r>
      <w:r>
        <w:t xml:space="preserve"> </w:t>
      </w:r>
      <w:hyperlink r:id="rId40">
        <w:r>
          <w:rPr>
            <w:rStyle w:val="Hyperlink"/>
          </w:rPr>
          <w:t xml:space="preserve">https://www.cbc.ca/news/canada/ottawa/via-montreal-toronto-pilot-that-skipped-eastern-ontario-postponed-1.7646512</w:t>
        </w:r>
      </w:hyperlink>
    </w:p>
    <w:bookmarkEnd w:id="41"/>
    <w:bookmarkStart w:id="43" w:name="ref-ecfr213-347"/>
    <w:p>
      <w:pPr>
        <w:pStyle w:val="Bibliography"/>
      </w:pPr>
      <w:r>
        <w:t xml:space="preserve">Federal Railroad Administration. (s. d.-a).</w:t>
      </w:r>
      <w:r>
        <w:t xml:space="preserve"> </w:t>
      </w:r>
      <w:r>
        <w:rPr>
          <w:i/>
          <w:iCs/>
        </w:rPr>
        <w:t xml:space="preserve">Automotive or railroad crossings at grade, 49 C.F.R. §213.347</w:t>
      </w:r>
      <w:r>
        <w:t xml:space="preserve">. Electronic Code of Federal Regulations. Consulté</w:t>
      </w:r>
      <w:r>
        <w:t xml:space="preserve"> </w:t>
      </w:r>
      <w:hyperlink r:id="rId42">
        <w:r>
          <w:rPr>
            <w:rStyle w:val="Hyperlink"/>
          </w:rPr>
          <w:t xml:space="preserve">https://www.ecfr.gov/current/title-49/section-213.347</w:t>
        </w:r>
      </w:hyperlink>
    </w:p>
    <w:bookmarkEnd w:id="43"/>
    <w:bookmarkStart w:id="45" w:name="ref-fra-lrc-152"/>
    <w:p>
      <w:pPr>
        <w:pStyle w:val="Bibliography"/>
      </w:pPr>
      <w:r>
        <w:t xml:space="preserve">Federal Railroad Administration. (s. d.-b).</w:t>
      </w:r>
      <w:r>
        <w:t xml:space="preserve"> </w:t>
      </w:r>
      <w:r>
        <w:rPr>
          <w:i/>
          <w:iCs/>
        </w:rPr>
        <w:t xml:space="preserve">Mixed freight and higher-speed passenger trains : Superelevation</w:t>
      </w:r>
      <w:r>
        <w:t xml:space="preserve">. U.S. Department of Transportation. Consulté</w:t>
      </w:r>
      <w:r>
        <w:t xml:space="preserve"> </w:t>
      </w:r>
      <w:hyperlink r:id="rId44">
        <w:r>
          <w:rPr>
            <w:rStyle w:val="Hyperlink"/>
          </w:rPr>
          <w:t xml:space="preserve">https://railroads.dot.gov/sites/fra.dot.gov/files/fra_net/19085/Superelevation.pdf</w:t>
        </w:r>
      </w:hyperlink>
    </w:p>
    <w:bookmarkEnd w:id="45"/>
    <w:bookmarkStart w:id="47" w:name="ref-fra2024itcs"/>
    <w:p>
      <w:pPr>
        <w:pStyle w:val="Bibliography"/>
      </w:pPr>
      <w:r>
        <w:t xml:space="preserve">Federal Railroad Administration. (2024).</w:t>
      </w:r>
      <w:r>
        <w:t xml:space="preserve"> </w:t>
      </w:r>
      <w:r>
        <w:rPr>
          <w:i/>
          <w:iCs/>
        </w:rPr>
        <w:t xml:space="preserve">Incremental Train Control System</w:t>
      </w:r>
      <w:r>
        <w:t xml:space="preserve">. U.S. Department of Transportation.</w:t>
      </w:r>
      <w:r>
        <w:t xml:space="preserve"> </w:t>
      </w:r>
      <w:hyperlink r:id="rId46">
        <w:r>
          <w:rPr>
            <w:rStyle w:val="Hyperlink"/>
          </w:rPr>
          <w:t xml:space="preserve">https://railroads.dot.gov/research-development/program-areas/train-control/ptc/incremental-train-control-system</w:t>
        </w:r>
      </w:hyperlink>
    </w:p>
    <w:bookmarkEnd w:id="47"/>
    <w:bookmarkStart w:id="49" w:name="ref-via2024requete"/>
    <w:p>
      <w:pPr>
        <w:pStyle w:val="Bibliography"/>
      </w:pPr>
      <w:r>
        <w:t xml:space="preserve">La Presse Canadienne. (2024).</w:t>
      </w:r>
      <w:r>
        <w:t xml:space="preserve"> </w:t>
      </w:r>
      <w:r>
        <w:rPr>
          <w:i/>
          <w:iCs/>
        </w:rPr>
        <w:t xml:space="preserve">Via Rail seeks judicial review of</w:t>
      </w:r>
      <w:r>
        <w:rPr>
          <w:i/>
          <w:iCs/>
        </w:rPr>
        <w:t xml:space="preserve"> </w:t>
      </w:r>
      <w:r>
        <w:rPr>
          <w:i/>
          <w:iCs/>
        </w:rPr>
        <w:t xml:space="preserve">CN</w:t>
      </w:r>
      <w:r>
        <w:rPr>
          <w:i/>
          <w:iCs/>
        </w:rPr>
        <w:t xml:space="preserve"> </w:t>
      </w:r>
      <w:r>
        <w:rPr>
          <w:i/>
          <w:iCs/>
        </w:rPr>
        <w:t xml:space="preserve">Rail’s speed restrictions</w:t>
      </w:r>
      <w:r>
        <w:t xml:space="preserve">. Global News.</w:t>
      </w:r>
      <w:r>
        <w:t xml:space="preserve"> </w:t>
      </w:r>
      <w:hyperlink r:id="rId48">
        <w:r>
          <w:rPr>
            <w:rStyle w:val="Hyperlink"/>
          </w:rPr>
          <w:t xml:space="preserve">https://globalnews.ca/news/10868587/via-rail-judicial-review-cn-rail-speed-restrictions/</w:t>
        </w:r>
      </w:hyperlink>
    </w:p>
    <w:bookmarkEnd w:id="49"/>
    <w:bookmarkStart w:id="51" w:name="ref-nao2006wcml"/>
    <w:p>
      <w:pPr>
        <w:pStyle w:val="Bibliography"/>
      </w:pPr>
      <w:r>
        <w:t xml:space="preserve">National Audit Office. (2006).</w:t>
      </w:r>
      <w:r>
        <w:t xml:space="preserve"> </w:t>
      </w:r>
      <w:r>
        <w:rPr>
          <w:i/>
          <w:iCs/>
        </w:rPr>
        <w:t xml:space="preserve">The modernisation of the</w:t>
      </w:r>
      <w:r>
        <w:rPr>
          <w:i/>
          <w:iCs/>
        </w:rPr>
        <w:t xml:space="preserve"> </w:t>
      </w:r>
      <w:r>
        <w:rPr>
          <w:i/>
          <w:iCs/>
        </w:rPr>
        <w:t xml:space="preserve">West Coast Main Line</w:t>
      </w:r>
      <w:r>
        <w:t xml:space="preserve"> </w:t>
      </w:r>
      <w:r>
        <w:t xml:space="preserve">(HC 22, session 2006-2007). National Audit Office.</w:t>
      </w:r>
      <w:r>
        <w:t xml:space="preserve"> </w:t>
      </w:r>
      <w:hyperlink r:id="rId50">
        <w:r>
          <w:rPr>
            <w:rStyle w:val="Hyperlink"/>
          </w:rPr>
          <w:t xml:space="preserve">https://www.nao.org.uk/reports/the-modernisation-of-the-west-coast-main-line/</w:t>
        </w:r>
      </w:hyperlink>
    </w:p>
    <w:bookmarkEnd w:id="51"/>
    <w:bookmarkStart w:id="53" w:name="ref-osm2026geofabrik"/>
    <w:p>
      <w:pPr>
        <w:pStyle w:val="Bibliography"/>
      </w:pPr>
      <w:r>
        <w:t xml:space="preserve">OpenStreetMap contributors. (2026).</w:t>
      </w:r>
      <w:r>
        <w:t xml:space="preserve"> </w:t>
      </w:r>
      <w:r>
        <w:rPr>
          <w:i/>
          <w:iCs/>
        </w:rPr>
        <w:t xml:space="preserve">Extraits</w:t>
      </w:r>
      <w:r>
        <w:rPr>
          <w:i/>
          <w:iCs/>
        </w:rPr>
        <w:t xml:space="preserve"> </w:t>
      </w:r>
      <w:r>
        <w:rPr>
          <w:i/>
          <w:iCs/>
        </w:rPr>
        <w:t xml:space="preserve">Ontario</w:t>
      </w:r>
      <w:r>
        <w:rPr>
          <w:i/>
          <w:iCs/>
        </w:rPr>
        <w:t xml:space="preserve"> </w:t>
      </w:r>
      <w:r>
        <w:rPr>
          <w:i/>
          <w:iCs/>
        </w:rPr>
        <w:t xml:space="preserve">et</w:t>
      </w:r>
      <w:r>
        <w:rPr>
          <w:i/>
          <w:iCs/>
        </w:rPr>
        <w:t xml:space="preserve"> </w:t>
      </w:r>
      <w:r>
        <w:rPr>
          <w:i/>
          <w:iCs/>
        </w:rPr>
        <w:t xml:space="preserve">Québec</w:t>
      </w:r>
      <w:r>
        <w:t xml:space="preserve">. Données cartographiques, Geofabrik.</w:t>
      </w:r>
      <w:r>
        <w:t xml:space="preserve"> </w:t>
      </w:r>
      <w:hyperlink r:id="rId52">
        <w:r>
          <w:rPr>
            <w:rStyle w:val="Hyperlink"/>
          </w:rPr>
          <w:t xml:space="preserve">https://download.geofabrik.de/</w:t>
        </w:r>
      </w:hyperlink>
    </w:p>
    <w:bookmarkEnd w:id="53"/>
    <w:bookmarkStart w:id="55" w:name="ref-schittenhelm2011"/>
    <w:p>
      <w:pPr>
        <w:pStyle w:val="Bibliography"/>
      </w:pPr>
      <w:r>
        <w:t xml:space="preserve">Schittenhelm, B. (2011). Planning with timetable supplements in railway timetables.</w:t>
      </w:r>
      <w:r>
        <w:t xml:space="preserve"> </w:t>
      </w:r>
      <w:r>
        <w:rPr>
          <w:i/>
          <w:iCs/>
        </w:rPr>
        <w:t xml:space="preserve">Trafikdage på Aalborg Universitet 2011</w:t>
      </w:r>
      <w:r>
        <w:t xml:space="preserve">.</w:t>
      </w:r>
      <w:r>
        <w:t xml:space="preserve"> </w:t>
      </w:r>
      <w:hyperlink r:id="rId54">
        <w:r>
          <w:rPr>
            <w:rStyle w:val="Hyperlink"/>
          </w:rPr>
          <w:t xml:space="preserve">https://journals.aau.dk/index.php/td/article/download/5554/4887</w:t>
        </w:r>
      </w:hyperlink>
    </w:p>
    <w:bookmarkEnd w:id="55"/>
    <w:bookmarkStart w:id="57" w:name="ref-sncf2023drr"/>
    <w:p>
      <w:pPr>
        <w:pStyle w:val="Bibliography"/>
      </w:pPr>
      <w:r>
        <w:t xml:space="preserve">SNCF Réseau. (2023).</w:t>
      </w:r>
      <w:r>
        <w:t xml:space="preserve"> </w:t>
      </w:r>
      <w:r>
        <w:rPr>
          <w:i/>
          <w:iCs/>
        </w:rPr>
        <w:t xml:space="preserve">Document de référence du réseau : annexe 4.1, horaire de service 2025</w:t>
      </w:r>
      <w:r>
        <w:t xml:space="preserve">. SNCF Réseau.</w:t>
      </w:r>
      <w:r>
        <w:t xml:space="preserve"> </w:t>
      </w:r>
      <w:hyperlink r:id="rId56">
        <w:r>
          <w:rPr>
            <w:rStyle w:val="Hyperlink"/>
          </w:rPr>
          <w:t xml:space="preserve">https://www.sncf-reseau.com/medias-publics/2023-12/DRR2025-annexe-4-1.pdf</w:t>
        </w:r>
      </w:hyperlink>
    </w:p>
    <w:bookmarkEnd w:id="57"/>
    <w:bookmarkStart w:id="59" w:name="ref-trafikverket2025jnb"/>
    <w:p>
      <w:pPr>
        <w:pStyle w:val="Bibliography"/>
      </w:pPr>
      <w:r>
        <w:t xml:space="preserve">Trafikverket. (2025).</w:t>
      </w:r>
      <w:r>
        <w:t xml:space="preserve"> </w:t>
      </w:r>
      <w:r>
        <w:rPr>
          <w:i/>
          <w:iCs/>
        </w:rPr>
        <w:t xml:space="preserve">Järnvägsnätsbeskrivning 2027, annexe 4 D : Kvalitetstillägg</w:t>
      </w:r>
      <w:r>
        <w:t xml:space="preserve">. Trafikverket.</w:t>
      </w:r>
      <w:r>
        <w:t xml:space="preserve"> </w:t>
      </w:r>
      <w:hyperlink r:id="rId58">
        <w:r>
          <w:rPr>
            <w:rStyle w:val="Hyperlink"/>
          </w:rPr>
          <w:t xml:space="preserve">https://bransch.trafikverket.se/contentassets/6526f430ae7f489aae8e88c06f2eef6b/jnb-2027-2025-12-05.pdf</w:t>
        </w:r>
      </w:hyperlink>
    </w:p>
    <w:bookmarkEnd w:id="59"/>
    <w:bookmarkStart w:id="61" w:name="ref-tc2022rrts"/>
    <w:p>
      <w:pPr>
        <w:pStyle w:val="Bibliography"/>
      </w:pPr>
      <w:r>
        <w:t xml:space="preserve">Transports Canada. (2022).</w:t>
      </w:r>
      <w:r>
        <w:t xml:space="preserve"> </w:t>
      </w:r>
      <w:r>
        <w:rPr>
          <w:i/>
          <w:iCs/>
        </w:rPr>
        <w:t xml:space="preserve">Règlement concernant la sécurité de la voie (</w:t>
      </w:r>
      <w:r>
        <w:rPr>
          <w:i/>
          <w:iCs/>
        </w:rPr>
        <w:t xml:space="preserve">Rules Respecting Track Safety</w:t>
      </w:r>
      <w:r>
        <w:rPr>
          <w:i/>
          <w:iCs/>
        </w:rPr>
        <w:t xml:space="preserve">), partie II, Subpart C : Track geometry</w:t>
      </w:r>
      <w:r>
        <w:t xml:space="preserve">. Gouvernement du Canada.</w:t>
      </w:r>
      <w:r>
        <w:t xml:space="preserve"> </w:t>
      </w:r>
      <w:hyperlink r:id="rId60">
        <w:r>
          <w:rPr>
            <w:rStyle w:val="Hyperlink"/>
          </w:rPr>
          <w:t xml:space="preserve">https://tc.canada.ca/en/rail-transportation/rules/2022-2023/rules-respecting-track-safety/subpart-c</w:t>
        </w:r>
      </w:hyperlink>
    </w:p>
    <w:bookmarkEnd w:id="61"/>
    <w:bookmarkStart w:id="63" w:name="ref-tc2023inventairepn"/>
    <w:p>
      <w:pPr>
        <w:pStyle w:val="Bibliography"/>
      </w:pPr>
      <w:r>
        <w:t xml:space="preserve">Transports Canada. (2023).</w:t>
      </w:r>
      <w:r>
        <w:t xml:space="preserve"> </w:t>
      </w:r>
      <w:r>
        <w:rPr>
          <w:i/>
          <w:iCs/>
        </w:rPr>
        <w:t xml:space="preserve">Inventaire des passages à niveau</w:t>
      </w:r>
      <w:r>
        <w:t xml:space="preserve">. Jeu de données, Gouvernement du Canada, Portail du gouvernement ouvert.</w:t>
      </w:r>
      <w:r>
        <w:t xml:space="preserve"> </w:t>
      </w:r>
      <w:hyperlink r:id="rId62">
        <w:r>
          <w:rPr>
            <w:rStyle w:val="Hyperlink"/>
          </w:rPr>
          <w:t xml:space="preserve">https://ouvert.canada.ca/data/fr/dataset/d0f54727-6c0b-4e5a-aa04-ea1463cf9f4c</w:t>
        </w:r>
      </w:hyperlink>
    </w:p>
    <w:bookmarkEnd w:id="63"/>
    <w:bookmarkStart w:id="65" w:name="ref-tc2025gcp"/>
    <w:p>
      <w:pPr>
        <w:pStyle w:val="Bibliography"/>
      </w:pPr>
      <w:r>
        <w:t xml:space="preserve">Transports Canada. (2025).</w:t>
      </w:r>
      <w:r>
        <w:t xml:space="preserve"> </w:t>
      </w:r>
      <w:r>
        <w:rPr>
          <w:i/>
          <w:iCs/>
        </w:rPr>
        <w:t xml:space="preserve">3.</w:t>
      </w:r>
      <w:r>
        <w:rPr>
          <w:i/>
          <w:iCs/>
        </w:rPr>
        <w:t xml:space="preserve"> </w:t>
      </w:r>
      <w:r>
        <w:rPr>
          <w:i/>
          <w:iCs/>
        </w:rPr>
        <w:t xml:space="preserve">PIC</w:t>
      </w:r>
      <w:r>
        <w:rPr>
          <w:i/>
          <w:iCs/>
        </w:rPr>
        <w:t xml:space="preserve"> </w:t>
      </w:r>
      <w:r>
        <w:rPr>
          <w:i/>
          <w:iCs/>
        </w:rPr>
        <w:t xml:space="preserve">— Operating restrictions for</w:t>
      </w:r>
      <w:r>
        <w:rPr>
          <w:i/>
          <w:iCs/>
        </w:rPr>
        <w:t xml:space="preserve"> </w:t>
      </w:r>
      <w:r>
        <w:rPr>
          <w:i/>
          <w:iCs/>
        </w:rPr>
        <w:t xml:space="preserve">VIA Rail</w:t>
      </w:r>
      <w:r>
        <w:rPr>
          <w:i/>
          <w:iCs/>
        </w:rPr>
        <w:t xml:space="preserve"> </w:t>
      </w:r>
      <w:r>
        <w:rPr>
          <w:i/>
          <w:iCs/>
        </w:rPr>
        <w:t xml:space="preserve">in the</w:t>
      </w:r>
      <w:r>
        <w:rPr>
          <w:i/>
          <w:iCs/>
        </w:rPr>
        <w:t xml:space="preserve"> </w:t>
      </w:r>
      <w:r>
        <w:rPr>
          <w:i/>
          <w:iCs/>
        </w:rPr>
        <w:t xml:space="preserve">Quebec City-Windsor</w:t>
      </w:r>
      <w:r>
        <w:rPr>
          <w:i/>
          <w:iCs/>
        </w:rPr>
        <w:t xml:space="preserve"> </w:t>
      </w:r>
      <w:r>
        <w:rPr>
          <w:i/>
          <w:iCs/>
        </w:rPr>
        <w:t xml:space="preserve">corridor</w:t>
      </w:r>
      <w:r>
        <w:t xml:space="preserve">. Cahier de transition, Gouvernement du Canada.</w:t>
      </w:r>
      <w:r>
        <w:t xml:space="preserve"> </w:t>
      </w:r>
      <w:hyperlink r:id="rId64">
        <w:r>
          <w:rPr>
            <w:rStyle w:val="Hyperlink"/>
          </w:rPr>
          <w:t xml:space="preserve">https://tc.canada.ca/en/binder/3-pic-operating-restrictions-via-rail-quebec-city-windsor-corridor</w:t>
        </w:r>
      </w:hyperlink>
    </w:p>
    <w:bookmarkEnd w:id="65"/>
    <w:bookmarkStart w:id="66" w:name="ref-uic2000f451"/>
    <w:p>
      <w:pPr>
        <w:pStyle w:val="Bibliography"/>
      </w:pPr>
      <w:r>
        <w:t xml:space="preserve">Union internationale des chemins de fer. (2000).</w:t>
      </w:r>
      <w:r>
        <w:t xml:space="preserve"> </w:t>
      </w:r>
      <w:r>
        <w:rPr>
          <w:i/>
          <w:iCs/>
        </w:rPr>
        <w:t xml:space="preserve">Marges de régularité à prévoir dans les horaires dans le but de garantir la ponctualité du service : marges de régularité</w:t>
      </w:r>
      <w:r>
        <w:t xml:space="preserve"> </w:t>
      </w:r>
      <w:r>
        <w:t xml:space="preserve">[Fiche UIC 451-1/F/4, 4e \'ed.]. UIC.</w:t>
      </w:r>
    </w:p>
    <w:bookmarkEnd w:id="66"/>
    <w:bookmarkStart w:id="68" w:name="ref-via2009lrc"/>
    <w:p>
      <w:pPr>
        <w:pStyle w:val="Bibliography"/>
      </w:pPr>
      <w:r>
        <w:t xml:space="preserve">VIA Rail Canada. (2009).</w:t>
      </w:r>
      <w:r>
        <w:t xml:space="preserve"> </w:t>
      </w:r>
      <w:r>
        <w:rPr>
          <w:i/>
          <w:iCs/>
        </w:rPr>
        <w:t xml:space="preserve">An all-</w:t>
      </w:r>
      <w:r>
        <w:rPr>
          <w:i/>
          <w:iCs/>
        </w:rPr>
        <w:t xml:space="preserve">Canadian</w:t>
      </w:r>
      <w:r>
        <w:rPr>
          <w:i/>
          <w:iCs/>
        </w:rPr>
        <w:t xml:space="preserve"> </w:t>
      </w:r>
      <w:r>
        <w:rPr>
          <w:i/>
          <w:iCs/>
        </w:rPr>
        <w:t xml:space="preserve">rail innovation from roof to wheels</w:t>
      </w:r>
      <w:r>
        <w:t xml:space="preserve">. Document d’information.</w:t>
      </w:r>
      <w:r>
        <w:t xml:space="preserve"> </w:t>
      </w:r>
      <w:hyperlink r:id="rId67">
        <w:r>
          <w:rPr>
            <w:rStyle w:val="Hyperlink"/>
          </w:rPr>
          <w:t xml:space="preserve">https://www.viarail.ca/sites/all/files/media/pdfs/About_VIA/our-company/capital-investment-plan/BK090501E%20-%20VIA%20LRC.pdf</w:t>
        </w:r>
      </w:hyperlink>
    </w:p>
    <w:bookmarkEnd w:id="68"/>
    <w:bookmarkStart w:id="70" w:name="ref-via2025rapportannuel"/>
    <w:p>
      <w:pPr>
        <w:pStyle w:val="Bibliography"/>
      </w:pPr>
      <w:r>
        <w:t xml:space="preserve">VIA Rail Canada. (2025a).</w:t>
      </w:r>
      <w:r>
        <w:t xml:space="preserve"> </w:t>
      </w:r>
      <w:r>
        <w:rPr>
          <w:i/>
          <w:iCs/>
        </w:rPr>
        <w:t xml:space="preserve">Rapport annuel 2024</w:t>
      </w:r>
      <w:r>
        <w:t xml:space="preserve">.</w:t>
      </w:r>
      <w:r>
        <w:t xml:space="preserve"> </w:t>
      </w:r>
      <w:hyperlink r:id="rId69">
        <w:r>
          <w:rPr>
            <w:rStyle w:val="Hyperlink"/>
          </w:rPr>
          <w:t xml:space="preserve">https://media.viarail.ca/sites/default/files/publications/VIA-Rail_Annual-Report_2024.pdf</w:t>
        </w:r>
      </w:hyperlink>
    </w:p>
    <w:bookmarkEnd w:id="70"/>
    <w:bookmarkStart w:id="72" w:name="ref-via2025t1"/>
    <w:p>
      <w:pPr>
        <w:pStyle w:val="Bibliography"/>
      </w:pPr>
      <w:r>
        <w:t xml:space="preserve">VIA Rail Canada. (2025b).</w:t>
      </w:r>
      <w:r>
        <w:t xml:space="preserve"> </w:t>
      </w:r>
      <w:r>
        <w:rPr>
          <w:i/>
          <w:iCs/>
        </w:rPr>
        <w:t xml:space="preserve">Rapport du premier trimestre 2025</w:t>
      </w:r>
      <w:r>
        <w:t xml:space="preserve">.</w:t>
      </w:r>
      <w:r>
        <w:t xml:space="preserve"> </w:t>
      </w:r>
      <w:hyperlink r:id="rId71">
        <w:r>
          <w:rPr>
            <w:rStyle w:val="Hyperlink"/>
          </w:rPr>
          <w:t xml:space="preserve">https://media.viarail.ca/sites/default/files/publications/2025_VIA-Rail_First-Quarter-Report.pdf</w:t>
        </w:r>
      </w:hyperlink>
    </w:p>
    <w:bookmarkEnd w:id="72"/>
    <w:bookmarkStart w:id="74" w:name="ref-viarail2026gtfs"/>
    <w:p>
      <w:pPr>
        <w:pStyle w:val="Bibliography"/>
      </w:pPr>
      <w:r>
        <w:t xml:space="preserve">VIA Rail Canada. (2026).</w:t>
      </w:r>
      <w:r>
        <w:t xml:space="preserve"> </w:t>
      </w:r>
      <w:r>
        <w:rPr>
          <w:i/>
          <w:iCs/>
        </w:rPr>
        <w:t xml:space="preserve">Données</w:t>
      </w:r>
      <w:r>
        <w:rPr>
          <w:i/>
          <w:iCs/>
        </w:rPr>
        <w:t xml:space="preserve"> </w:t>
      </w:r>
      <w:r>
        <w:rPr>
          <w:i/>
          <w:iCs/>
        </w:rPr>
        <w:t xml:space="preserve">GTFS</w:t>
      </w:r>
      <w:r>
        <w:rPr>
          <w:i/>
          <w:iCs/>
        </w:rPr>
        <w:t xml:space="preserve"> </w:t>
      </w:r>
      <w:r>
        <w:rPr>
          <w:i/>
          <w:iCs/>
        </w:rPr>
        <w:t xml:space="preserve">du réseau</w:t>
      </w:r>
      <w:r>
        <w:rPr>
          <w:i/>
          <w:iCs/>
        </w:rPr>
        <w:t xml:space="preserve"> </w:t>
      </w:r>
      <w:r>
        <w:rPr>
          <w:i/>
          <w:iCs/>
        </w:rPr>
        <w:t xml:space="preserve">VIA Rail</w:t>
      </w:r>
      <w:r>
        <w:t xml:space="preserve">. Jeu de données.</w:t>
      </w:r>
      <w:r>
        <w:t xml:space="preserve"> </w:t>
      </w:r>
      <w:hyperlink r:id="rId73">
        <w:r>
          <w:rPr>
            <w:rStyle w:val="Hyperlink"/>
          </w:rPr>
          <w:t xml:space="preserve">https://www.viarail.ca/fr/developpeurs</w:t>
        </w:r>
      </w:hyperlink>
    </w:p>
    <w:bookmarkEnd w:id="74"/>
    <w:bookmarkStart w:id="76" w:name="ref-wcml2026wiki"/>
    <w:p>
      <w:pPr>
        <w:pStyle w:val="Bibliography"/>
      </w:pPr>
      <w:r>
        <w:t xml:space="preserve">Wikipédia. (2026).</w:t>
      </w:r>
      <w:r>
        <w:t xml:space="preserve"> </w:t>
      </w:r>
      <w:r>
        <w:rPr>
          <w:i/>
          <w:iCs/>
        </w:rPr>
        <w:t xml:space="preserve">West Coast Main Line</w:t>
      </w:r>
      <w:r>
        <w:rPr>
          <w:i/>
          <w:iCs/>
        </w:rPr>
        <w:t xml:space="preserve"> </w:t>
      </w:r>
      <w:r>
        <w:rPr>
          <w:i/>
          <w:iCs/>
        </w:rPr>
        <w:t xml:space="preserve">route modernisation</w:t>
      </w:r>
      <w:r>
        <w:t xml:space="preserve">.</w:t>
      </w:r>
      <w:r>
        <w:t xml:space="preserve"> </w:t>
      </w:r>
      <w:hyperlink r:id="rId75">
        <w:r>
          <w:rPr>
            <w:rStyle w:val="Hyperlink"/>
          </w:rPr>
          <w:t xml:space="preserve">https://en.wikipedia.org/wiki/West_Coast_Main_Line_route_modernisation</w:t>
        </w:r>
      </w:hyperlink>
    </w:p>
    <w:bookmarkEnd w:id="76"/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fr-CA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  <w:jc w:val="both"/>
    </w:pPr>
  </w:style>
  <w:style w:customStyle="1" w:styleId="FirstParagraph" w:type="paragraph">
    <w:name w:val="First Paragraph"/>
    <w:basedOn w:val="BodyText"/>
    <w:next w:val="BodyText"/>
    <w:qFormat/>
    <w:pPr>
      <w:jc w:val="both"/>
    </w:p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9" Type="http://schemas.openxmlformats.org/officeDocument/2006/relationships/image" Target="media/rId9.png"/><Relationship Id="rId31" Type="http://schemas.openxmlformats.org/officeDocument/2006/relationships/hyperlink" Target="https://amtrakoig.gov/sites/default/files/reports/OIG-A-2020-001%20OTP%20mandate.pdf" TargetMode="External"/><Relationship Id="rId58" Type="http://schemas.openxmlformats.org/officeDocument/2006/relationships/hyperlink" Target="https://bransch.trafikverket.se/contentassets/6526f430ae7f489aae8e88c06f2eef6b/jnb-2027-2025-12-05.pdf" TargetMode="External"/><Relationship Id="rId52" Type="http://schemas.openxmlformats.org/officeDocument/2006/relationships/hyperlink" Target="https://download.geofabrik.de/" TargetMode="External"/><Relationship Id="rId75" Type="http://schemas.openxmlformats.org/officeDocument/2006/relationships/hyperlink" Target="https://en.wikipedia.org/wiki/West_Coast_Main_Line_route_modernisation" TargetMode="External"/><Relationship Id="rId33" Type="http://schemas.openxmlformats.org/officeDocument/2006/relationships/hyperlink" Target="https://exporail.org/canrail/canadian_rail_1962_1989/canadian-rail-296-1976.pdf" TargetMode="External"/><Relationship Id="rId48" Type="http://schemas.openxmlformats.org/officeDocument/2006/relationships/hyperlink" Target="https://globalnews.ca/news/10868587/via-rail-judicial-review-cn-rail-speed-restrictions/" TargetMode="External"/><Relationship Id="rId54" Type="http://schemas.openxmlformats.org/officeDocument/2006/relationships/hyperlink" Target="https://journals.aau.dk/index.php/td/article/download/5554/4887" TargetMode="External"/><Relationship Id="rId71" Type="http://schemas.openxmlformats.org/officeDocument/2006/relationships/hyperlink" Target="https://media.viarail.ca/sites/default/files/publications/2025_VIA-Rail_First-Quarter-Report.pdf" TargetMode="External"/><Relationship Id="rId69" Type="http://schemas.openxmlformats.org/officeDocument/2006/relationships/hyperlink" Target="https://media.viarail.ca/sites/default/files/publications/VIA-Rail_Annual-Report_2024.pdf" TargetMode="External"/><Relationship Id="rId62" Type="http://schemas.openxmlformats.org/officeDocument/2006/relationships/hyperlink" Target="https://ouvert.canada.ca/data/fr/dataset/d0f54727-6c0b-4e5a-aa04-ea1463cf9f4c" TargetMode="External"/><Relationship Id="rId46" Type="http://schemas.openxmlformats.org/officeDocument/2006/relationships/hyperlink" Target="https://railroads.dot.gov/research-development/program-areas/train-control/ptc/incremental-train-control-system" TargetMode="External"/><Relationship Id="rId44" Type="http://schemas.openxmlformats.org/officeDocument/2006/relationships/hyperlink" Target="https://railroads.dot.gov/sites/fra.dot.gov/files/fra_net/19085/Superelevation.pdf" TargetMode="External"/><Relationship Id="rId37" Type="http://schemas.openxmlformats.org/officeDocument/2006/relationships/hyperlink" Target="https://railroads.dot.gov/sites/fra.dot.gov/files/fra_net/300/ord0917.pdf" TargetMode="External"/><Relationship Id="rId35" Type="http://schemas.openxmlformats.org/officeDocument/2006/relationships/hyperlink" Target="https://spacing.ca/toronto/2015/12/09/53711/" TargetMode="External"/><Relationship Id="rId64" Type="http://schemas.openxmlformats.org/officeDocument/2006/relationships/hyperlink" Target="https://tc.canada.ca/en/binder/3-pic-operating-restrictions-via-rail-quebec-city-windsor-corridor" TargetMode="External"/><Relationship Id="rId60" Type="http://schemas.openxmlformats.org/officeDocument/2006/relationships/hyperlink" Target="https://tc.canada.ca/en/rail-transportation/rules/2022-2023/rules-respecting-track-safety/subpart-c" TargetMode="External"/><Relationship Id="rId29" Type="http://schemas.openxmlformats.org/officeDocument/2006/relationships/hyperlink" Target="https://www.altotrain.ca/en/about-alto" TargetMode="External"/><Relationship Id="rId40" Type="http://schemas.openxmlformats.org/officeDocument/2006/relationships/hyperlink" Target="https://www.cbc.ca/news/canada/ottawa/via-montreal-toronto-pilot-that-skipped-eastern-ontario-postponed-1.7646512" TargetMode="External"/><Relationship Id="rId42" Type="http://schemas.openxmlformats.org/officeDocument/2006/relationships/hyperlink" Target="https://www.ecfr.gov/current/title-49/section-213.347" TargetMode="External"/><Relationship Id="rId50" Type="http://schemas.openxmlformats.org/officeDocument/2006/relationships/hyperlink" Target="https://www.nao.org.uk/reports/the-modernisation-of-the-west-coast-main-line/" TargetMode="External"/><Relationship Id="rId56" Type="http://schemas.openxmlformats.org/officeDocument/2006/relationships/hyperlink" Target="https://www.sncf-reseau.com/medias-publics/2023-12/DRR2025-annexe-4-1.pdf" TargetMode="External"/><Relationship Id="rId73" Type="http://schemas.openxmlformats.org/officeDocument/2006/relationships/hyperlink" Target="https://www.viarail.ca/fr/developpeurs" TargetMode="External"/><Relationship Id="rId67" Type="http://schemas.openxmlformats.org/officeDocument/2006/relationships/hyperlink" Target="https://www.viarail.ca/sites/all/files/media/pdfs/About_VIA/our-company/capital-investment-plan/BK090501E%20-%20VIA%20LRC.pdf" TargetMode="External"/></Relationships>
</file>

<file path=word/_rels/footnotes.xml.rels><?xml version='1.0' encoding='UTF-8' standalone='yes'?>
<Relationships xmlns="http://schemas.openxmlformats.org/package/2006/relationships"><Relationship Id="rId31" Type="http://schemas.openxmlformats.org/officeDocument/2006/relationships/hyperlink" Target="https://amtrakoig.gov/sites/default/files/reports/OIG-A-2020-001%20OTP%20mandate.pdf" TargetMode="External"/><Relationship Id="rId58" Type="http://schemas.openxmlformats.org/officeDocument/2006/relationships/hyperlink" Target="https://bransch.trafikverket.se/contentassets/6526f430ae7f489aae8e88c06f2eef6b/jnb-2027-2025-12-05.pdf" TargetMode="External"/><Relationship Id="rId52" Type="http://schemas.openxmlformats.org/officeDocument/2006/relationships/hyperlink" Target="https://download.geofabrik.de/" TargetMode="External"/><Relationship Id="rId75" Type="http://schemas.openxmlformats.org/officeDocument/2006/relationships/hyperlink" Target="https://en.wikipedia.org/wiki/West_Coast_Main_Line_route_modernisation" TargetMode="External"/><Relationship Id="rId33" Type="http://schemas.openxmlformats.org/officeDocument/2006/relationships/hyperlink" Target="https://exporail.org/canrail/canadian_rail_1962_1989/canadian-rail-296-1976.pdf" TargetMode="External"/><Relationship Id="rId48" Type="http://schemas.openxmlformats.org/officeDocument/2006/relationships/hyperlink" Target="https://globalnews.ca/news/10868587/via-rail-judicial-review-cn-rail-speed-restrictions/" TargetMode="External"/><Relationship Id="rId54" Type="http://schemas.openxmlformats.org/officeDocument/2006/relationships/hyperlink" Target="https://journals.aau.dk/index.php/td/article/download/5554/4887" TargetMode="External"/><Relationship Id="rId71" Type="http://schemas.openxmlformats.org/officeDocument/2006/relationships/hyperlink" Target="https://media.viarail.ca/sites/default/files/publications/2025_VIA-Rail_First-Quarter-Report.pdf" TargetMode="External"/><Relationship Id="rId69" Type="http://schemas.openxmlformats.org/officeDocument/2006/relationships/hyperlink" Target="https://media.viarail.ca/sites/default/files/publications/VIA-Rail_Annual-Report_2024.pdf" TargetMode="External"/><Relationship Id="rId62" Type="http://schemas.openxmlformats.org/officeDocument/2006/relationships/hyperlink" Target="https://ouvert.canada.ca/data/fr/dataset/d0f54727-6c0b-4e5a-aa04-ea1463cf9f4c" TargetMode="External"/><Relationship Id="rId46" Type="http://schemas.openxmlformats.org/officeDocument/2006/relationships/hyperlink" Target="https://railroads.dot.gov/research-development/program-areas/train-control/ptc/incremental-train-control-system" TargetMode="External"/><Relationship Id="rId44" Type="http://schemas.openxmlformats.org/officeDocument/2006/relationships/hyperlink" Target="https://railroads.dot.gov/sites/fra.dot.gov/files/fra_net/19085/Superelevation.pdf" TargetMode="External"/><Relationship Id="rId37" Type="http://schemas.openxmlformats.org/officeDocument/2006/relationships/hyperlink" Target="https://railroads.dot.gov/sites/fra.dot.gov/files/fra_net/300/ord0917.pdf" TargetMode="External"/><Relationship Id="rId35" Type="http://schemas.openxmlformats.org/officeDocument/2006/relationships/hyperlink" Target="https://spacing.ca/toronto/2015/12/09/53711/" TargetMode="External"/><Relationship Id="rId64" Type="http://schemas.openxmlformats.org/officeDocument/2006/relationships/hyperlink" Target="https://tc.canada.ca/en/binder/3-pic-operating-restrictions-via-rail-quebec-city-windsor-corridor" TargetMode="External"/><Relationship Id="rId60" Type="http://schemas.openxmlformats.org/officeDocument/2006/relationships/hyperlink" Target="https://tc.canada.ca/en/rail-transportation/rules/2022-2023/rules-respecting-track-safety/subpart-c" TargetMode="External"/><Relationship Id="rId29" Type="http://schemas.openxmlformats.org/officeDocument/2006/relationships/hyperlink" Target="https://www.altotrain.ca/en/about-alto" TargetMode="External"/><Relationship Id="rId40" Type="http://schemas.openxmlformats.org/officeDocument/2006/relationships/hyperlink" Target="https://www.cbc.ca/news/canada/ottawa/via-montreal-toronto-pilot-that-skipped-eastern-ontario-postponed-1.7646512" TargetMode="External"/><Relationship Id="rId42" Type="http://schemas.openxmlformats.org/officeDocument/2006/relationships/hyperlink" Target="https://www.ecfr.gov/current/title-49/section-213.347" TargetMode="External"/><Relationship Id="rId50" Type="http://schemas.openxmlformats.org/officeDocument/2006/relationships/hyperlink" Target="https://www.nao.org.uk/reports/the-modernisation-of-the-west-coast-main-line/" TargetMode="External"/><Relationship Id="rId56" Type="http://schemas.openxmlformats.org/officeDocument/2006/relationships/hyperlink" Target="https://www.sncf-reseau.com/medias-publics/2023-12/DRR2025-annexe-4-1.pdf" TargetMode="External"/><Relationship Id="rId73" Type="http://schemas.openxmlformats.org/officeDocument/2006/relationships/hyperlink" Target="https://www.viarail.ca/fr/developpeurs" TargetMode="External"/><Relationship Id="rId67" Type="http://schemas.openxmlformats.org/officeDocument/2006/relationships/hyperlink" Target="https://www.viarail.ca/sites/all/files/media/pdfs/About_VIA/our-company/capital-investment-plan/BK090501E%20-%20VIA%20LRC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Corridor Québec-Toronto : ce que la voie existante permet</dc:title>
  <dc:creator>Étude préparée pour Vision Transport (François Rebello) par Vincent Duguay</dc:creator>
  <dc:language>fr-CA</dc:language>
  <cp:keywords/>
  <dcterms:created xsi:type="dcterms:W3CDTF">2026-08-08T04:35:59Z</dcterms:created>
  <dcterms:modified xsi:type="dcterms:W3CDTF">2026-08-08T04:35:59Z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sources/refs.bib</vt:lpwstr>
  </property>
  <property fmtid="{D5CDD505-2E9C-101B-9397-08002B2CF9AE}" pid="3" name="csl">
    <vt:lpwstr>sources/apa.csl</vt:lpwstr>
  </property>
  <property fmtid="{D5CDD505-2E9C-101B-9397-08002B2CF9AE}" pid="4" name="date">
    <vt:lpwstr>Août 2026</vt:lpwstr>
  </property>
  <property fmtid="{D5CDD505-2E9C-101B-9397-08002B2CF9AE}" pid="5" name="link-citations">
    <vt:lpwstr>True</vt:lpwstr>
  </property>
  <property fmtid="{D5CDD505-2E9C-101B-9397-08002B2CF9AE}" pid="6" name="numbersections">
    <vt:lpwstr>True</vt:lpwstr>
  </property>
  <property fmtid="{D5CDD505-2E9C-101B-9397-08002B2CF9AE}" pid="7" name="subtitle">
    <vt:lpwstr>Temps de parcours par scénario de modernisation, et ce qui les retient : géométrie, passages à niveau, signalisation, doublement et régime de cohabitation</vt:lpwstr>
  </property>
</Properties>
</file>