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Corridor Québec-Windsor : ce que la voie existante permet</w:t>
      </w:r>
    </w:p>
    <w:p>
      <w:pPr>
        <w:pStyle w:val="Subtitle"/>
      </w:pPr>
      <w:r>
        <w:t xml:space="preserve">Temps de parcours par scénario de modernisation, et ce qui les retient : géométrie, passages à niveau, signalisation, doublement et régime de cohabitation</w:t>
      </w:r>
    </w:p>
    <w:p>
      <w:pPr>
        <w:pStyle w:val="Author"/>
      </w:pPr>
      <w:r>
        <w:t xml:space="preserve">Étude préparée pour François Rebello [AUTEUR À COMPLÉTER]</w:t>
      </w:r>
    </w:p>
    <w:p>
      <w:pPr>
        <w:pStyle w:val="Date"/>
      </w:pPr>
      <w:r>
        <w:t xml:space="preserve">Brouillon, août 2026</w:t>
      </w:r>
    </w:p>
    <w:bookmarkStart w:id="12" w:name="synthèse"/>
    <w:p>
      <w:pPr>
        <w:pStyle w:val="Heading1"/>
      </w:pPr>
      <w:r>
        <w:t xml:space="preserve">Synthèse</w:t>
      </w:r>
    </w:p>
    <w:p>
      <w:pPr>
        <w:pStyle w:val="FirstParagraph"/>
      </w:pPr>
      <w:r>
        <w:t xml:space="preserve">Cette étude répond à une question simple : combien de temps le train peut-il prendre entre</w:t>
      </w:r>
      <w:r>
        <w:t xml:space="preserve"> </w:t>
      </w:r>
      <w:r>
        <w:t xml:space="preserve">les grandes villes du corridor, sur la voie qui existe déjà, selon ce qu’on accepte d’y</w:t>
      </w:r>
      <w:r>
        <w:t xml:space="preserve"> </w:t>
      </w:r>
      <w:r>
        <w:t xml:space="preserve">investir? La réponse se lit dans une seule table, construite en additionnant quatre choses</w:t>
      </w:r>
      <w:r>
        <w:t xml:space="preserve"> </w:t>
      </w:r>
      <w:r>
        <w:t xml:space="preserve">que l’on peut compter : le temps que les courbes permettent, le temps des zones urbaines</w:t>
      </w:r>
      <w:r>
        <w:t xml:space="preserve"> </w:t>
      </w:r>
      <w:r>
        <w:t xml:space="preserve">(figé à l’horaire actuel), le temps des arrêts, et une marge d’exploitation que l’étude</w:t>
      </w:r>
      <w:r>
        <w:t xml:space="preserve"> </w:t>
      </w:r>
      <w:r>
        <w:t xml:space="preserve">encadre entre deux bornes au lieu de la deviner.</w:t>
      </w:r>
    </w:p>
    <w:p>
      <w:pPr>
        <w:pStyle w:val="BodyText"/>
      </w:pPr>
      <w:r>
        <w:t xml:space="preserve">Trois scénarios de matériel et de voie (détail en section 3) :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est la voie et le</w:t>
      </w:r>
      <w:r>
        <w:t xml:space="preserve"> </w:t>
      </w:r>
      <w:r>
        <w:t xml:space="preserve">train d’aujourd’hui ;</w:t>
      </w:r>
      <w:r>
        <w:t xml:space="preserve"> </w:t>
      </w:r>
      <w:r>
        <w:rPr>
          <w:b/>
          <w:bCs/>
        </w:rPr>
        <w:t xml:space="preserve">S2</w:t>
      </w:r>
      <w:r>
        <w:t xml:space="preserve"> </w:t>
      </w:r>
      <w:r>
        <w:t xml:space="preserve">est un train pendulaire exploité selon la méthode que le CN</w:t>
      </w:r>
      <w:r>
        <w:t xml:space="preserve"> </w:t>
      </w:r>
      <w:r>
        <w:t xml:space="preserve">applique déjà à ce type de train, avec le dévers maximal standard du CN (aucune dérogation</w:t>
      </w:r>
      <w:r>
        <w:t xml:space="preserve"> </w:t>
      </w:r>
      <w:r>
        <w:t xml:space="preserve">nécessaire) ;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est un pendulaire moderne plus performant, qui sort du précédent</w:t>
      </w:r>
      <w:r>
        <w:t xml:space="preserve"> </w:t>
      </w:r>
      <w:r>
        <w:t xml:space="preserve">nord-américain et demanderait une approbation par équipement. La « bande » est le plafond</w:t>
      </w:r>
      <w:r>
        <w:t xml:space="preserve"> </w:t>
      </w:r>
      <w:r>
        <w:t xml:space="preserve">de vitesse qu’on s’autorise à exploiter (200 km/h exige de traiter les passages à niveau et</w:t>
      </w:r>
      <w:r>
        <w:t xml:space="preserve"> </w:t>
      </w:r>
      <w:r>
        <w:t xml:space="preserve">la signalisation ; 250 et plus exige de les éliminer, voir sections 5 et 6).</w:t>
      </w:r>
    </w:p>
    <w:p>
      <w:pPr>
        <w:pStyle w:val="BodyText"/>
      </w:pPr>
      <w:r>
        <w:rPr>
          <w:b/>
          <w:bCs/>
        </w:rPr>
        <w:t xml:space="preserve">Temps Montréal-Toronto (539 km).</w:t>
      </w:r>
      <w:r>
        <w:t xml:space="preserve"> </w:t>
      </w:r>
      <w:r>
        <w:t xml:space="preserve">Horaire actuel : 5 h 18. Le « temps de base »</w:t>
      </w:r>
      <w:r>
        <w:t xml:space="preserve"> </w:t>
      </w:r>
      <w:r>
        <w:t xml:space="preserve">est le temps calculé sans marge (courbes + zones urbaines figées + arrêts) ; la</w:t>
      </w:r>
      <w:r>
        <w:t xml:space="preserve"> </w:t>
      </w:r>
      <w:r>
        <w:t xml:space="preserve">fourchette applique la marge, de la borne normative (9 %) à la marge actuelle du tronçon.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 × bande</w:t>
            </w:r>
          </w:p>
        </w:tc>
        <w:tc>
          <w:tcPr/>
          <w:p>
            <w:pPr>
              <w:pStyle w:val="Compact"/>
            </w:pPr>
            <w:r>
              <w:t xml:space="preserve">Temps de base</w:t>
            </w:r>
          </w:p>
        </w:tc>
        <w:tc>
          <w:tcPr/>
          <w:p>
            <w:pPr>
              <w:pStyle w:val="Compact"/>
            </w:pPr>
            <w:r>
              <w:t xml:space="preserve">Avec marge (fourchette)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S2, bande 200 km/h</w:t>
            </w:r>
          </w:p>
        </w:tc>
        <w:tc>
          <w:tcPr/>
          <w:p>
            <w:pPr>
              <w:pStyle w:val="Compact"/>
            </w:pPr>
            <w:r>
              <w:t xml:space="preserve">4 h 00</w:t>
            </w:r>
          </w:p>
        </w:tc>
        <w:tc>
          <w:tcPr/>
          <w:p>
            <w:pPr>
              <w:pStyle w:val="Compact"/>
            </w:pPr>
            <w:r>
              <w:t xml:space="preserve">4 h 21 à 4 h 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S3, bande 200 km/h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h 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h 19 à 4 h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S3, bande 250 km/h (référence, exige zéro passage à niveau)</w:t>
            </w:r>
          </w:p>
        </w:tc>
        <w:tc>
          <w:tcPr/>
          <w:p>
            <w:pPr>
              <w:pStyle w:val="Compact"/>
            </w:pPr>
            <w:r>
              <w:t xml:space="preserve">3 h 30</w:t>
            </w:r>
          </w:p>
        </w:tc>
        <w:tc>
          <w:tcPr/>
          <w:p>
            <w:pPr>
              <w:pStyle w:val="Compact"/>
            </w:pPr>
            <w:r>
              <w:t xml:space="preserve">3 h 49 à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S3, bande 300 km/h (référence, idem + contrôle intégral)</w:t>
            </w:r>
          </w:p>
        </w:tc>
        <w:tc>
          <w:tcPr/>
          <w:p>
            <w:pPr>
              <w:pStyle w:val="Compact"/>
            </w:pPr>
            <w:r>
              <w:t xml:space="preserve">3 h 15</w:t>
            </w:r>
          </w:p>
        </w:tc>
        <w:tc>
          <w:tcPr/>
          <w:p>
            <w:pPr>
              <w:pStyle w:val="Compact"/>
            </w:pPr>
            <w:r>
              <w:t xml:space="preserve">3 h 32 à 3 h 43</w:t>
            </w:r>
          </w:p>
        </w:tc>
      </w:tr>
    </w:tbl>
    <w:p>
      <w:pPr>
        <w:pStyle w:val="CaptionedFigure"/>
      </w:pPr>
      <w:r>
        <w:drawing>
          <wp:inline>
            <wp:extent cx="5334000" cy="1917380"/>
            <wp:effectExtent b="0" l="0" r="0" t="0"/>
            <wp:docPr descr="Le train contre l’auto (temps auto : approximation de connaissance générale). Aujourd’hui, le train perd contre l’auto sur Montréal-Québec ; dès S2 il passe devant, et S3 à 300 la met à 20 et 34 pour cent derrière." title="" id="10" name="Picture"/>
            <a:graphic>
              <a:graphicData uri="http://schemas.openxmlformats.org/drawingml/2006/picture">
                <pic:pic>
                  <pic:nvPicPr>
                    <pic:cNvPr descr="livrables/figure_vs_aut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 train contre l’auto (temps auto : approximation de connaissance générale). Aujourd’hui, le train perd contre l’auto sur Montréal-Québec ; dès S2 il passe devant, et S3 à 300 la met à 20 et 34 pour cent derrière.</w:t>
      </w:r>
    </w:p>
    <w:p>
      <w:pPr>
        <w:pStyle w:val="BodyText"/>
      </w:pPr>
      <w:r>
        <w:t xml:space="preserve">La combinaison cohérente avec le régime réglementaire actuel est</w:t>
      </w:r>
      <w:r>
        <w:t xml:space="preserve"> </w:t>
      </w:r>
      <w:r>
        <w:rPr>
          <w:b/>
          <w:bCs/>
        </w:rPr>
        <w:t xml:space="preserve">S3 à la bande</w:t>
      </w:r>
      <w:r>
        <w:rPr>
          <w:b/>
          <w:bCs/>
        </w:rPr>
        <w:t xml:space="preserve"> </w:t>
      </w:r>
      <w:r>
        <w:rPr>
          <w:b/>
          <w:bCs/>
        </w:rPr>
        <w:t xml:space="preserve">200 km/h</w:t>
      </w:r>
      <w:r>
        <w:t xml:space="preserve"> : le meilleur train sur la voie existante, sans franchir le mur des</w:t>
      </w:r>
      <w:r>
        <w:t xml:space="preserve"> </w:t>
      </w:r>
      <w:r>
        <w:t xml:space="preserve">passages à niveau ni changer la signalisation au-delà du contrôle en cabine</w:t>
      </w:r>
      <w:r>
        <w:t xml:space="preserve"> </w:t>
      </w:r>
      <w:r>
        <w:t xml:space="preserve">(sections 5 et 6). Les bandes 250 et 300 sont des références : elles chiffrent ce</w:t>
      </w:r>
      <w:r>
        <w:t xml:space="preserve"> </w:t>
      </w:r>
      <w:r>
        <w:t xml:space="preserve">que l’élimination des passages et le contrôle intégral achèteraient en plus.</w:t>
      </w:r>
    </w:p>
    <w:p>
      <w:pPr>
        <w:pStyle w:val="BodyText"/>
      </w:pPr>
      <w:r>
        <w:rPr>
          <w:b/>
          <w:bCs/>
        </w:rPr>
        <w:t xml:space="preserve">Temps Montréal-Québec (270 km).</w:t>
      </w:r>
      <w:r>
        <w:t xml:space="preserve"> </w:t>
      </w:r>
      <w:r>
        <w:t xml:space="preserve">Horaire actuel : 3 h 23.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 × bande</w:t>
            </w:r>
          </w:p>
        </w:tc>
        <w:tc>
          <w:tcPr/>
          <w:p>
            <w:pPr>
              <w:pStyle w:val="Compact"/>
            </w:pPr>
            <w:r>
              <w:t xml:space="preserve">Temps de base</w:t>
            </w:r>
          </w:p>
        </w:tc>
        <w:tc>
          <w:tcPr/>
          <w:p>
            <w:pPr>
              <w:pStyle w:val="Compact"/>
            </w:pPr>
            <w:r>
              <w:t xml:space="preserve">Avec marge (fourchette)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S2, bande 200 km/h</w:t>
            </w:r>
          </w:p>
        </w:tc>
        <w:tc>
          <w:tcPr/>
          <w:p>
            <w:pPr>
              <w:pStyle w:val="Compact"/>
            </w:pPr>
            <w:r>
              <w:t xml:space="preserve">2 h 12</w:t>
            </w:r>
          </w:p>
        </w:tc>
        <w:tc>
          <w:tcPr/>
          <w:p>
            <w:pPr>
              <w:pStyle w:val="Compact"/>
            </w:pPr>
            <w:r>
              <w:t xml:space="preserve">2 h 24 à 2 h 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S3, bande 200 km/h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h 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h 20 à 2 h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S3, bande 250 km/h (référence)</w:t>
            </w:r>
          </w:p>
        </w:tc>
        <w:tc>
          <w:tcPr/>
          <w:p>
            <w:pPr>
              <w:pStyle w:val="Compact"/>
            </w:pPr>
            <w:r>
              <w:t xml:space="preserve">1 h 58</w:t>
            </w:r>
          </w:p>
        </w:tc>
        <w:tc>
          <w:tcPr/>
          <w:p>
            <w:pPr>
              <w:pStyle w:val="Compact"/>
            </w:pPr>
            <w:r>
              <w:t xml:space="preserve">2 h 09 à 2 h 37</w:t>
            </w:r>
          </w:p>
        </w:tc>
      </w:tr>
    </w:tbl>
    <w:p>
      <w:pPr>
        <w:pStyle w:val="BodyText"/>
      </w:pPr>
      <w:r>
        <w:t xml:space="preserve">La fourchette de marge n’est pas une estimation : sa borne basse est la marge normative</w:t>
      </w:r>
      <w:r>
        <w:t xml:space="preserve"> </w:t>
      </w:r>
      <w:r>
        <w:t xml:space="preserve">internationale (9 pour cent du temps de parcours aux vitesses de 200 km/h et plus</w:t>
      </w:r>
      <w:r>
        <w:t xml:space="preserve"> </w:t>
      </w:r>
      <w:r>
        <w:t xml:space="preserve">(</w:t>
      </w:r>
      <w:hyperlink w:anchor="ref-schittenhelm2011">
        <w:r>
          <w:rPr>
            <w:rStyle w:val="Hyperlink"/>
          </w:rPr>
          <w:t xml:space="preserve">Schittenhelm, 2011</w:t>
        </w:r>
      </w:hyperlink>
      <w:r>
        <w:t xml:space="preserve">;</w:t>
      </w:r>
      <w:r>
        <w:t xml:space="preserve"> </w:t>
      </w:r>
      <w:hyperlink w:anchor="ref-uic2000f451">
        <w:r>
          <w:rPr>
            <w:rStyle w:val="Hyperlink"/>
          </w:rPr>
          <w:t xml:space="preserve">Union internationale des chemins de fer, 2000</w:t>
        </w:r>
      </w:hyperlink>
      <w:r>
        <w:t xml:space="preserve">)</w:t>
      </w:r>
      <w:r>
        <w:t xml:space="preserve">), sa borne haute est la marge que l’horaire actuel de VIA porte</w:t>
      </w:r>
      <w:r>
        <w:t xml:space="preserve"> </w:t>
      </w:r>
      <w:r>
        <w:t xml:space="preserve">aujourd’hui sur le tronçon concerné (mesurée dans cette étude : de 14 pour cent sur</w:t>
      </w:r>
      <w:r>
        <w:t xml:space="preserve"> </w:t>
      </w:r>
      <w:r>
        <w:t xml:space="preserve">Montréal-Toronto à 33 pour cent sur Montréal-Québec). La distance entre les deux bornes</w:t>
      </w:r>
      <w:r>
        <w:t xml:space="preserve"> </w:t>
      </w:r>
      <w:r>
        <w:t xml:space="preserve">est le coût du régime d’exploitation actuel ; la trancher est l’objet de l’étude de</w:t>
      </w:r>
      <w:r>
        <w:t xml:space="preserve"> </w:t>
      </w:r>
      <w:r>
        <w:t xml:space="preserve">circulation recommandée en conclusion.</w:t>
      </w:r>
    </w:p>
    <w:p>
      <w:pPr>
        <w:pStyle w:val="BodyText"/>
      </w:pPr>
      <w:r>
        <w:t xml:space="preserve">Mise en regard : le projet Alto propose environ 1 000 km de voies neuves dédiées pour</w:t>
      </w:r>
      <w:r>
        <w:t xml:space="preserve"> </w:t>
      </w:r>
      <w:r>
        <w:t xml:space="preserve">relier Québec à Toronto par un tracé nord à 300 km/h ou plus</w:t>
      </w:r>
      <w:r>
        <w:t xml:space="preserve"> </w:t>
      </w:r>
      <w:r>
        <w:t xml:space="preserve">(</w:t>
      </w:r>
      <w:hyperlink w:anchor="ref-alto2025">
        <w:r>
          <w:rPr>
            <w:rStyle w:val="Hyperlink"/>
          </w:rPr>
          <w:t xml:space="preserve">Alto, 2025</w:t>
        </w:r>
      </w:hyperlink>
      <w:r>
        <w:t xml:space="preserve">)</w:t>
      </w:r>
      <w:r>
        <w:t xml:space="preserve">. La présente</w:t>
      </w:r>
      <w:r>
        <w:t xml:space="preserve"> </w:t>
      </w:r>
      <w:r>
        <w:t xml:space="preserve">étude documente ce que le réseau existant du corridor riverain (environ 1 090 km de</w:t>
      </w:r>
      <w:r>
        <w:t xml:space="preserve"> </w:t>
      </w:r>
      <w:r>
        <w:t xml:space="preserve">voies physiques, parcourues en 1 431 km de trajets) peut donner, ainsi que les cinq obstacles qui les retiennent et le prix réglementaire</w:t>
      </w:r>
      <w:r>
        <w:t xml:space="preserve"> </w:t>
      </w:r>
      <w:r>
        <w:t xml:space="preserve">de chacun. Les deux exercices sont complémentaires : on ne peut comparer les options</w:t>
      </w:r>
      <w:r>
        <w:t xml:space="preserve"> </w:t>
      </w:r>
      <w:r>
        <w:t xml:space="preserve">qu’en connaissant les deux.</w:t>
      </w:r>
    </w:p>
    <w:p>
      <w:pPr>
        <w:pStyle w:val="BodyText"/>
      </w:pPr>
      <w:r>
        <w:t xml:space="preserve">Les cinq constats principaux 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géométrie n’est pas le problème principal.</w:t>
      </w:r>
      <w:r>
        <w:t xml:space="preserve"> </w:t>
      </w:r>
      <w:r>
        <w:t xml:space="preserve">Avec un pendulaire moderne (S3),</w:t>
      </w:r>
      <w:r>
        <w:t xml:space="preserve"> </w:t>
      </w:r>
      <w:r>
        <w:t xml:space="preserve">il ne reste que 186 km (13 pour cent du réseau parcouru) dont les courbes interdisent</w:t>
      </w:r>
      <w:r>
        <w:t xml:space="preserve"> </w:t>
      </w:r>
      <w:r>
        <w:t xml:space="preserve">200 km/h, et plus aucun kilomètre sous 100 km/h. Même en restant dans le strict</w:t>
      </w:r>
      <w:r>
        <w:t xml:space="preserve"> </w:t>
      </w:r>
      <w:r>
        <w:t xml:space="preserve">précédent CN (S2), le résidu sous 200 km/h est de 267 km.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passages à niveau sont l’obstacle réglementaire dominant au-dessus de</w:t>
      </w:r>
      <w:r>
        <w:rPr>
          <w:b/>
          <w:bCs/>
        </w:rPr>
        <w:t xml:space="preserve"> </w:t>
      </w:r>
      <w:r>
        <w:rPr>
          <w:b/>
          <w:bCs/>
        </w:rPr>
        <w:t xml:space="preserve">200 km/h</w:t>
      </w:r>
      <w:r>
        <w:t xml:space="preserve"> : en scénario S3, 754 des 924 passages du corridor se trouvent sur des segments dont la</w:t>
      </w:r>
      <w:r>
        <w:t xml:space="preserve"> </w:t>
      </w:r>
      <w:r>
        <w:t xml:space="preserve">géométrie dépasserait ce seuil (695 en S2, 471 dès S1) ; le précédent américain y exige zéro passage</w:t>
      </w:r>
      <w:r>
        <w:t xml:space="preserve"> </w:t>
      </w:r>
      <w:r>
        <w:t xml:space="preserve">(</w:t>
      </w:r>
      <w:hyperlink w:anchor="ref-ecfr213-347">
        <w:r>
          <w:rPr>
            <w:rStyle w:val="Hyperlink"/>
          </w:rPr>
          <w:t xml:space="preserve">Federal Railroad Administration, s. d.-a</w:t>
        </w:r>
      </w:hyperlink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signalisation est une ligne de devis, pas un mur</w:t>
      </w:r>
      <w:r>
        <w:t xml:space="preserve"> : rien à faire jusqu’à</w:t>
      </w:r>
      <w:r>
        <w:t xml:space="preserve"> </w:t>
      </w:r>
      <w:r>
        <w:t xml:space="preserve">160 km/h, une superposition de contrôle en cabine de 161 à 200 (précédent tarifé au</w:t>
      </w:r>
      <w:r>
        <w:t xml:space="preserve"> </w:t>
      </w:r>
      <w:r>
        <w:t xml:space="preserve">Michigan</w:t>
      </w:r>
      <w:r>
        <w:t xml:space="preserve"> </w:t>
      </w:r>
      <w:r>
        <w:t xml:space="preserve">(</w:t>
      </w:r>
      <w:hyperlink w:anchor="ref-fra2024itcs">
        <w:r>
          <w:rPr>
            <w:rStyle w:val="Hyperlink"/>
          </w:rPr>
          <w:t xml:space="preserve">Federal Railroad Administration, 2024</w:t>
        </w:r>
      </w:hyperlink>
      <w:r>
        <w:t xml:space="preserve">)</w:t>
      </w:r>
      <w:r>
        <w:t xml:space="preserve">), un système intégral au-delà (c’est le devis d’Alto).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régime de cohabitation pèse plus que le nombre de voies.</w:t>
      </w:r>
      <w:r>
        <w:t xml:space="preserve"> </w:t>
      </w:r>
      <w:r>
        <w:t xml:space="preserve">Mesuré sur les</w:t>
      </w:r>
      <w:r>
        <w:t xml:space="preserve"> </w:t>
      </w:r>
      <w:r>
        <w:t xml:space="preserve">horaires de VIA à géométrie neutralisée : une voie simple coûte environ 5 points de marge</w:t>
      </w:r>
      <w:r>
        <w:t xml:space="preserve"> </w:t>
      </w:r>
      <w:r>
        <w:t xml:space="preserve">quand VIA est propriétaire, environ 28 points quand le CN l’est (stable de 3 à 6 et</w:t>
      </w:r>
      <w:r>
        <w:t xml:space="preserve"> </w:t>
      </w:r>
      <w:r>
        <w:t xml:space="preserve">de 27 à 33 selon la pénalité d’arrêt testée). Le même instrument</w:t>
      </w:r>
      <w:r>
        <w:t xml:space="preserve"> </w:t>
      </w:r>
      <w:r>
        <w:t xml:space="preserve">montre ce que le doublement achète chez le CN : environ 28 points, soit une vingtaine</w:t>
      </w:r>
      <w:r>
        <w:t xml:space="preserve"> </w:t>
      </w:r>
      <w:r>
        <w:t xml:space="preserve">de minutes sur Montréal-Québec.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marge d’horaire est la grandeur que cette étude ne peut pas trancher.</w:t>
      </w:r>
      <w:r>
        <w:t xml:space="preserve"> </w:t>
      </w:r>
      <w:r>
        <w:t xml:space="preserve">Elle est</w:t>
      </w:r>
      <w:r>
        <w:t xml:space="preserve"> </w:t>
      </w:r>
      <w:r>
        <w:t xml:space="preserve">encadrée (7 à 9 pour cent en régime normatif, 37 à 65 pour cent mesurés aujourd’hui</w:t>
      </w:r>
      <w:r>
        <w:t xml:space="preserve"> </w:t>
      </w:r>
      <w:r>
        <w:t xml:space="preserve">selon la cellule) ; l’écart entre les deux est précisément ce qu’une étude de</w:t>
      </w:r>
      <w:r>
        <w:t xml:space="preserve"> </w:t>
      </w:r>
      <w:r>
        <w:t xml:space="preserve">circulation avec le propriétaire de la voie devra allouer.</w:t>
      </w:r>
    </w:p>
    <w:bookmarkEnd w:id="12"/>
    <w:bookmarkStart w:id="16" w:name="méthode-et-périmètre"/>
    <w:p>
      <w:pPr>
        <w:pStyle w:val="Heading1"/>
      </w:pPr>
      <w:r>
        <w:t xml:space="preserve">Méthode et périmètre</w:t>
      </w:r>
    </w:p>
    <w:bookmarkStart w:id="13" w:name="le-modèle"/>
    <w:p>
      <w:pPr>
        <w:pStyle w:val="Heading2"/>
      </w:pPr>
      <w:r>
        <w:t xml:space="preserve">Le modèle</w:t>
      </w:r>
    </w:p>
    <w:p>
      <w:pPr>
        <w:pStyle w:val="FirstParagraph"/>
      </w:pPr>
      <w:r>
        <w:t xml:space="preserve">Le temps de parcours d’un tronçon, pour une bande de vitesse et un scénario donnés, est</w:t>
      </w:r>
      <w:r>
        <w:t xml:space="preserve"> </w:t>
      </w:r>
      <w:r>
        <w:t xml:space="preserve">la somme de quatre termes 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nor/>
              <m:sty m:val="p"/>
            </m:rPr>
            <m:t>blocs urbains figés</m:t>
          </m:r>
          <m:r>
            <m:rPr>
              <m:sty m:val="p"/>
            </m:rPr>
            <m:t>+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rPr>
              <m:nor/>
              <m:sty m:val="p"/>
            </m:rPr>
            <m:t>arrêts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marge</m:t>
          </m:r>
        </m:oMath>
      </m:oMathPara>
    </w:p>
    <w:p>
      <w:pPr>
        <w:pStyle w:val="FirstParagraph"/>
      </w:pPr>
      <w:r>
        <w:t xml:space="preserve">avec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vitesse géométrique du scénario</m:t>
        </m:r>
        <m:r>
          <m:rPr>
            <m:sty m:val="p"/>
          </m:rPr>
          <m:t>,</m:t>
        </m:r>
        <m:r>
          <m:rPr>
            <m:nor/>
            <m:sty m:val="p"/>
          </m:rPr>
          <m:t>bande</m:t>
        </m:r>
        <m:r>
          <m:rPr>
            <m:sty m:val="p"/>
          </m:rPr>
          <m:t>)</m:t>
        </m:r>
      </m:oMath>
      <w:r>
        <w:t xml:space="preserve"> </w:t>
      </w:r>
      <w:r>
        <w:t xml:space="preserve">sur</w:t>
      </w:r>
      <w:r>
        <w:t xml:space="preserve"> </w:t>
      </w:r>
      <w:r>
        <w:t xml:space="preserve">l’interurbain.</w:t>
      </w:r>
    </w:p>
    <w:p>
      <w:pPr>
        <w:pStyle w:val="BodyText"/>
      </w:pPr>
      <w:r>
        <w:rPr>
          <w:b/>
          <w:bCs/>
        </w:rPr>
        <w:t xml:space="preserve">Vitesse géométrique</w:t>
      </w:r>
      <w:r>
        <w:t xml:space="preserve"> : le plafond que les courbes permettent. Une courbe de rayon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(en mètres) limite la vitesse à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k</m:t>
        </m:r>
        <m:rad>
          <m:radPr>
            <m:degHide m:val="on"/>
          </m:radPr>
          <m:deg/>
          <m:e>
            <m:r>
              <m:t>R</m:t>
            </m:r>
          </m:e>
        </m:rad>
      </m:oMath>
      <w:r>
        <w:t xml:space="preserve">, où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dépend du dévers (l’inclinaison</w:t>
      </w:r>
      <w:r>
        <w:t xml:space="preserve"> </w:t>
      </w:r>
      <w:r>
        <w:t xml:space="preserve">de la voie dans la courbe) et de l’insuffisance de dévers admise (l’inclinaison</w:t>
      </w:r>
      <w:r>
        <w:t xml:space="preserve"> </w:t>
      </w:r>
      <w:r>
        <w:t xml:space="preserve">« manquante » que le train et ses passagers acceptent de subir, ou que la caisse</w:t>
      </w:r>
      <w:r>
        <w:t xml:space="preserve"> </w:t>
      </w:r>
      <w:r>
        <w:t xml:space="preserve">pendulaire compense). C’est une borne physique, jamais une promesse d’horaire. Avec un</w:t>
      </w:r>
      <w:r>
        <w:t xml:space="preserve"> </w:t>
      </w:r>
      <w:r>
        <w:t xml:space="preserve">écartement effectif de 1 524 mm, cette formule reproduit exactement la méthode officielle</w:t>
      </w:r>
      <w:r>
        <w:t xml:space="preserve"> </w:t>
      </w:r>
      <w:r>
        <w:t xml:space="preserve">du CN</w:t>
      </w:r>
      <w:r>
        <w:t xml:space="preserve"> </w:t>
      </w:r>
      <w:r>
        <w:t xml:space="preserve">(</w:t>
      </w:r>
      <w:hyperlink w:anchor="ref-cn2002mr1305">
        <w:r>
          <w:rPr>
            <w:rStyle w:val="Hyperlink"/>
          </w:rPr>
          <w:t xml:space="preserve">Canadien National, 2002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Vitesse commerciale</w:t>
      </w:r>
      <w:r>
        <w:t xml:space="preserve"> : la vitesse résultante à l’horaire, une fois appliqués les</w:t>
      </w:r>
      <w:r>
        <w:t xml:space="preserve"> </w:t>
      </w:r>
      <w:r>
        <w:t xml:space="preserve">plafonds réglementaires (passages à niveau, signalisation), les blocs urbains, les arrêts</w:t>
      </w:r>
      <w:r>
        <w:t xml:space="preserve"> </w:t>
      </w:r>
      <w:r>
        <w:t xml:space="preserve">et la marge. Elle est calculée par l’intégration ci-dessus, jamais par un facteur</w:t>
      </w:r>
      <w:r>
        <w:t xml:space="preserve"> </w:t>
      </w:r>
      <w:r>
        <w:t xml:space="preserve">multiplicatif.</w:t>
      </w:r>
    </w:p>
    <w:p>
      <w:pPr>
        <w:pStyle w:val="BodyText"/>
      </w:pPr>
      <w:r>
        <w:rPr>
          <w:b/>
          <w:bCs/>
        </w:rPr>
        <w:t xml:space="preserve">Blocs urbains figés.</w:t>
      </w:r>
      <w:r>
        <w:t xml:space="preserve"> </w:t>
      </w:r>
      <w:r>
        <w:t xml:space="preserve">Aucun gain n’est compté dans les approches urbaines, quel que</w:t>
      </w:r>
      <w:r>
        <w:t xml:space="preserve"> </w:t>
      </w:r>
      <w:r>
        <w:t xml:space="preserve">soit le scénario : Montréal Central à Dorval (17,8 km), Montréal à Saint-Lambert par le</w:t>
      </w:r>
      <w:r>
        <w:t xml:space="preserve"> </w:t>
      </w:r>
      <w:r>
        <w:t xml:space="preserve">pont Victoria (6,1 km, tronçon de Québec), Sainte-Foy à Québec avec le pont de Québec</w:t>
      </w:r>
      <w:r>
        <w:t xml:space="preserve"> </w:t>
      </w:r>
      <w:r>
        <w:t xml:space="preserve">(19,9 km), Guildwood à Toronto Union (20,1 km), chacun figé à la médiane des horaires publiés</w:t>
      </w:r>
      <w:r>
        <w:t xml:space="preserve"> </w:t>
      </w:r>
      <w:r>
        <w:t xml:space="preserve">actuels (données ouvertes GTFS)</w:t>
      </w:r>
      <w:r>
        <w:t xml:space="preserve"> </w:t>
      </w:r>
      <w:r>
        <w:t xml:space="preserve">(</w:t>
      </w:r>
      <w:hyperlink w:anchor="ref-viarail2026gtfs">
        <w:r>
          <w:rPr>
            <w:rStyle w:val="Hyperlink"/>
          </w:rPr>
          <w:t xml:space="preserve">VIA Rail Canada, 2026</w:t>
        </w:r>
      </w:hyperlink>
      <w:r>
        <w:t xml:space="preserve">)</w:t>
      </w:r>
      <w:r>
        <w:t xml:space="preserve"> ; Ottawa, sans gare d’approche proche, est traité par une</w:t>
      </w:r>
      <w:r>
        <w:t xml:space="preserve"> </w:t>
      </w:r>
      <w:r>
        <w:t xml:space="preserve">fenêtre de 10 km de part et d’autre [HYPOTHÈSE, couverte par la sensibilité de ±20 pour</w:t>
      </w:r>
      <w:r>
        <w:t xml:space="preserve"> </w:t>
      </w:r>
      <w:r>
        <w:t xml:space="preserve">cent sur l’ensemble des blocs urbains].</w:t>
      </w:r>
    </w:p>
    <w:p>
      <w:pPr>
        <w:pStyle w:val="BodyText"/>
      </w:pPr>
      <w:r>
        <w:rPr>
          <w:b/>
          <w:bCs/>
        </w:rPr>
        <w:t xml:space="preserve">Arrêts.</w:t>
      </w:r>
      <w:r>
        <w:t xml:space="preserve"> </w:t>
      </w:r>
      <w:r>
        <w:t xml:space="preserve">Cinq minutes par arrêt intermédiaire hors blocs urbains. C’est une</w:t>
      </w:r>
      <w:r>
        <w:t xml:space="preserve"> </w:t>
      </w:r>
      <w:r>
        <w:t xml:space="preserve">normalisation volontairement favorable : le pilote de train sans arrêt de septembre 2025</w:t>
      </w:r>
      <w:r>
        <w:t xml:space="preserve"> </w:t>
      </w:r>
      <w:r>
        <w:t xml:space="preserve">annonçait un gain de 30 à 40 minutes pour quatre arrêts sautés, soit 7,5 à 10 minutes par</w:t>
      </w:r>
      <w:r>
        <w:t xml:space="preserve"> </w:t>
      </w:r>
      <w:r>
        <w:t xml:space="preserve">arrêt en conditions réelles</w:t>
      </w:r>
      <w:r>
        <w:t xml:space="preserve"> </w:t>
      </w:r>
      <w:r>
        <w:t xml:space="preserve">(</w:t>
      </w:r>
      <w:hyperlink w:anchor="ref-cbc2025pilote">
        <w:r>
          <w:rPr>
            <w:rStyle w:val="Hyperlink"/>
          </w:rPr>
          <w:t xml:space="preserve">CBC News,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Marge.</w:t>
      </w:r>
      <w:r>
        <w:t xml:space="preserve"> </w:t>
      </w:r>
      <w:r>
        <w:t xml:space="preserve">Jamais estimée : encadrée entre une borne normative et une borne mesurée</w:t>
      </w:r>
      <w:r>
        <w:t xml:space="preserve"> </w:t>
      </w:r>
      <w:r>
        <w:t xml:space="preserve">(section 4.3).</w:t>
      </w:r>
    </w:p>
    <w:bookmarkEnd w:id="13"/>
    <w:bookmarkStart w:id="14" w:name="les-données"/>
    <w:p>
      <w:pPr>
        <w:pStyle w:val="Heading2"/>
      </w:pPr>
      <w:r>
        <w:t xml:space="preserve">Les données</w:t>
      </w:r>
    </w:p>
    <w:p>
      <w:pPr>
        <w:pStyle w:val="FirstParagraph"/>
      </w:pPr>
      <w:r>
        <w:t xml:space="preserve">Géométrie : tracé VIA reconstruit par appariement des données d’horaires ouvertes de VIA (GTFS) sur le</w:t>
      </w:r>
      <w:r>
        <w:t xml:space="preserve"> </w:t>
      </w:r>
      <w:r>
        <w:t xml:space="preserve">graphe ferroviaire OpenStreetMap</w:t>
      </w:r>
      <w:r>
        <w:t xml:space="preserve"> </w:t>
      </w:r>
      <w:r>
        <w:t xml:space="preserve">(</w:t>
      </w:r>
      <w:hyperlink w:anchor="ref-osm2026geofabrik">
        <w:r>
          <w:rPr>
            <w:rStyle w:val="Hyperlink"/>
          </w:rPr>
          <w:t xml:space="preserve">OpenStreetMap contributors, 2026</w:t>
        </w:r>
      </w:hyperlink>
      <w:r>
        <w:t xml:space="preserve">;</w:t>
      </w:r>
      <w:r>
        <w:t xml:space="preserve"> </w:t>
      </w:r>
      <w:hyperlink w:anchor="ref-viarail2026gtfs">
        <w:r>
          <w:rPr>
            <w:rStyle w:val="Hyperlink"/>
          </w:rPr>
          <w:t xml:space="preserve">VIA Rail Canada, 2026</w:t>
        </w:r>
      </w:hyperlink>
      <w:r>
        <w:t xml:space="preserve">)</w:t>
      </w:r>
      <w:r>
        <w:t xml:space="preserve">, rayon de</w:t>
      </w:r>
      <w:r>
        <w:t xml:space="preserve"> </w:t>
      </w:r>
      <w:r>
        <w:t xml:space="preserve">courbure calculé tous les 10 mètres, validé par quatre passes de contre-vérification</w:t>
      </w:r>
      <w:r>
        <w:t xml:space="preserve"> </w:t>
      </w:r>
      <w:r>
        <w:t xml:space="preserve">indépendantes lors des phases antérieures du projet. Nombre de voies : détection</w:t>
      </w:r>
      <w:r>
        <w:t xml:space="preserve"> </w:t>
      </w:r>
      <w:r>
        <w:t xml:space="preserve">géométrique des voies parallèles dans OpenStreetMap, corroborée par les rapports du</w:t>
      </w:r>
      <w:r>
        <w:t xml:space="preserve"> </w:t>
      </w:r>
      <w:r>
        <w:t xml:space="preserve">Bureau de la sécurité des transports (l’écart entre un tronçon double détecté et le même</w:t>
      </w:r>
      <w:r>
        <w:t xml:space="preserve"> </w:t>
      </w:r>
      <w:r>
        <w:t xml:space="preserve">tronçon documenté par le BST est de 0,1 km sur 25). Passages à niveau : inventaire</w:t>
      </w:r>
      <w:r>
        <w:t xml:space="preserve"> </w:t>
      </w:r>
      <w:r>
        <w:t xml:space="preserve">officiel ouvert de Transports Canada</w:t>
      </w:r>
      <w:r>
        <w:t xml:space="preserve"> </w:t>
      </w:r>
      <w:r>
        <w:t xml:space="preserve">(</w:t>
      </w:r>
      <w:hyperlink w:anchor="ref-tc2023inventairepn">
        <w:r>
          <w:rPr>
            <w:rStyle w:val="Hyperlink"/>
          </w:rPr>
          <w:t xml:space="preserve">Transports Canada, 2023</w:t>
        </w:r>
      </w:hyperlink>
      <w:r>
        <w:t xml:space="preserve">)</w:t>
      </w:r>
      <w:r>
        <w:t xml:space="preserve">. Horaires : flux GTFS de VIA,</w:t>
      </w:r>
      <w:r>
        <w:t xml:space="preserve"> </w:t>
      </w:r>
      <w:r>
        <w:t xml:space="preserve">saison 2026.</w:t>
      </w:r>
    </w:p>
    <w:bookmarkEnd w:id="14"/>
    <w:bookmarkStart w:id="15" w:name="hors-périmètre-déclaré"/>
    <w:p>
      <w:pPr>
        <w:pStyle w:val="Heading2"/>
      </w:pPr>
      <w:r>
        <w:t xml:space="preserve">Hors périmètre, déclaré</w:t>
      </w:r>
    </w:p>
    <w:p>
      <w:pPr>
        <w:pStyle w:val="FirstParagraph"/>
      </w:pPr>
      <w:r>
        <w:t xml:space="preserve">La conception par site (clothoïdes, raccordements), le cantonnement fin, la simulation de</w:t>
      </w:r>
      <w:r>
        <w:t xml:space="preserve"> </w:t>
      </w:r>
      <w:r>
        <w:t xml:space="preserve">circulation (c’est l’étude à commander), les ponts, tunnels et l’état detaillé de la</w:t>
      </w:r>
      <w:r>
        <w:t xml:space="preserve"> </w:t>
      </w:r>
      <w:r>
        <w:t xml:space="preserve">voie, ainsi que les zones urbaines au-delà de leurs blocs figés. Les horaires mesurés</w:t>
      </w:r>
      <w:r>
        <w:t xml:space="preserve"> </w:t>
      </w:r>
      <w:r>
        <w:t xml:space="preserve">datent de la saison 2026, une période de restrictions exceptionnelles liées aux passages</w:t>
      </w:r>
      <w:r>
        <w:t xml:space="preserve"> </w:t>
      </w:r>
      <w:r>
        <w:t xml:space="preserve">à niveau (section 6) : les marges mesurées sont donc possiblement gonflées, ce qui est</w:t>
      </w:r>
      <w:r>
        <w:t xml:space="preserve"> </w:t>
      </w:r>
      <w:r>
        <w:t xml:space="preserve">signalé partout où cela joue.</w:t>
      </w:r>
    </w:p>
    <w:p>
      <w:pPr>
        <w:pStyle w:val="BodyText"/>
      </w:pPr>
      <w:r>
        <w:t xml:space="preserve">Règle d’écriture du document : des comptes et des seuils (« ce qui devrait être vrai »),</w:t>
      </w:r>
      <w:r>
        <w:t xml:space="preserve"> </w:t>
      </w:r>
      <w:r>
        <w:t xml:space="preserve">jamais des estimations d’auteur. On peut contester un coût ; on ne peut pas contester un</w:t>
      </w:r>
      <w:r>
        <w:t xml:space="preserve"> </w:t>
      </w:r>
      <w:r>
        <w:t xml:space="preserve">compte.</w:t>
      </w:r>
    </w:p>
    <w:bookmarkEnd w:id="15"/>
    <w:bookmarkEnd w:id="16"/>
    <w:bookmarkStart w:id="17" w:name="le-train-pendulaire-et-le-dévers"/>
    <w:p>
      <w:pPr>
        <w:pStyle w:val="Heading1"/>
      </w:pPr>
      <w:r>
        <w:t xml:space="preserve">Le train pendulaire et le dévers</w:t>
      </w:r>
    </w:p>
    <w:p>
      <w:pPr>
        <w:pStyle w:val="FirstParagraph"/>
      </w:pPr>
      <w:r>
        <w:t xml:space="preserve">Un train pendulaire incline sa caisse dans les courbes, ce qui permet de les franchir</w:t>
      </w:r>
      <w:r>
        <w:t xml:space="preserve"> </w:t>
      </w:r>
      <w:r>
        <w:t xml:space="preserve">plus vite sans inconfort pour les passagers. Le Canada en a déjà exploité un : le LRC,</w:t>
      </w:r>
      <w:r>
        <w:t xml:space="preserve"> </w:t>
      </w:r>
      <w:r>
        <w:t xml:space="preserve">auquel la méthode du CN accorde une insuffisance de dévers de 6 pouces (152 mm), contre</w:t>
      </w:r>
      <w:r>
        <w:t xml:space="preserve"> </w:t>
      </w:r>
      <w:r>
        <w:t xml:space="preserve">3 pouces pour un train ordinaire</w:t>
      </w:r>
      <w:r>
        <w:t xml:space="preserve"> </w:t>
      </w:r>
      <w:r>
        <w:t xml:space="preserve">(</w:t>
      </w:r>
      <w:hyperlink w:anchor="ref-cn2002mr1305">
        <w:r>
          <w:rPr>
            <w:rStyle w:val="Hyperlink"/>
          </w:rPr>
          <w:t xml:space="preserve">Canadien National, 2002</w:t>
        </w:r>
      </w:hyperlink>
      <w:r>
        <w:t xml:space="preserve">;</w:t>
      </w:r>
      <w:r>
        <w:t xml:space="preserve"> </w:t>
      </w:r>
      <w:hyperlink w:anchor="ref-fra-lrc-152">
        <w:r>
          <w:rPr>
            <w:rStyle w:val="Hyperlink"/>
          </w:rPr>
          <w:t xml:space="preserve">Federal Railroad Administration, s. d.-b</w:t>
        </w:r>
      </w:hyperlink>
      <w:r>
        <w:t xml:space="preserve">)</w:t>
      </w:r>
      <w:r>
        <w:t xml:space="preserve">. C’est un précédent</w:t>
      </w:r>
      <w:r>
        <w:t xml:space="preserve"> </w:t>
      </w:r>
      <w:r>
        <w:t xml:space="preserve">domestique, pas une hypothèse.</w:t>
      </w:r>
    </w:p>
    <w:p>
      <w:pPr>
        <w:pStyle w:val="BodyText"/>
      </w:pPr>
      <w:r>
        <w:t xml:space="preserve">Les trois scénarios 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Dévers</w:t>
            </w:r>
          </w:p>
        </w:tc>
        <w:tc>
          <w:tcPr/>
          <w:p>
            <w:pPr>
              <w:pStyle w:val="Compact"/>
            </w:pPr>
            <w:r>
              <w:t xml:space="preserve">Insuffisance</w:t>
            </w:r>
          </w:p>
        </w:tc>
        <w:tc>
          <w:tcPr/>
          <w:p>
            <w:pPr>
              <w:pStyle w:val="Compact"/>
            </w:pPr>
            <w:r>
              <w:t xml:space="preserve">k (v = k·√R)</w:t>
            </w:r>
          </w:p>
        </w:tc>
        <w:tc>
          <w:tcPr/>
          <w:p>
            <w:pPr>
              <w:pStyle w:val="Compact"/>
            </w:pPr>
            <w:r>
              <w:t xml:space="preserve">Statut réglementaire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 : voie et train actuels</w:t>
            </w:r>
          </w:p>
        </w:tc>
        <w:tc>
          <w:tcPr/>
          <w:p>
            <w:pPr>
              <w:pStyle w:val="Compact"/>
            </w:pPr>
            <w:r>
              <w:t xml:space="preserve">100 mm (supposé)</w:t>
            </w:r>
          </w:p>
        </w:tc>
        <w:tc>
          <w:tcPr/>
          <w:p>
            <w:pPr>
              <w:pStyle w:val="Compact"/>
            </w:pPr>
            <w:r>
              <w:t xml:space="preserve">76 mm</w:t>
            </w:r>
          </w:p>
        </w:tc>
        <w:tc>
          <w:tcPr/>
          <w:p>
            <w:pPr>
              <w:pStyle w:val="Compact"/>
            </w:pPr>
            <w:r>
              <w:t xml:space="preserve">3,83</w:t>
            </w:r>
          </w:p>
        </w:tc>
        <w:tc>
          <w:tcPr/>
          <w:p>
            <w:pPr>
              <w:pStyle w:val="Compact"/>
            </w:pPr>
            <w:r>
              <w:t xml:space="preserve">régime courant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 : pendulaire type LRC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152 mm</w:t>
            </w:r>
          </w:p>
        </w:tc>
        <w:tc>
          <w:tcPr/>
          <w:p>
            <w:pPr>
              <w:pStyle w:val="Compact"/>
            </w:pPr>
            <w:r>
              <w:t xml:space="preserve">4,82</w:t>
            </w:r>
          </w:p>
        </w:tc>
        <w:tc>
          <w:tcPr/>
          <w:p>
            <w:pPr>
              <w:pStyle w:val="Compact"/>
            </w:pPr>
            <w:r>
              <w:t xml:space="preserve">100 % précédent 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 : pendulaire moderne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270 mm</w:t>
            </w:r>
          </w:p>
        </w:tc>
        <w:tc>
          <w:tcPr/>
          <w:p>
            <w:pPr>
              <w:pStyle w:val="Compact"/>
            </w:pPr>
            <w:r>
              <w:t xml:space="preserve">5,75</w:t>
            </w:r>
          </w:p>
        </w:tc>
        <w:tc>
          <w:tcPr/>
          <w:p>
            <w:pPr>
              <w:pStyle w:val="Compact"/>
            </w:pPr>
            <w:r>
              <w:t xml:space="preserve">hors précédent NA</w:t>
            </w:r>
          </w:p>
        </w:tc>
      </w:tr>
    </w:tbl>
    <w:p>
      <w:pPr>
        <w:pStyle w:val="BodyText"/>
      </w:pPr>
      <w:r>
        <w:t xml:space="preserve">Le dévers de S2 et S3 (127 mm, soit 5 pouces) est le maximum standard du CN pour trafic</w:t>
      </w:r>
      <w:r>
        <w:t xml:space="preserve"> </w:t>
      </w:r>
      <w:r>
        <w:t xml:space="preserve">mixte</w:t>
      </w:r>
      <w:r>
        <w:t xml:space="preserve"> </w:t>
      </w:r>
      <w:r>
        <w:t xml:space="preserve">(</w:t>
      </w:r>
      <w:hyperlink w:anchor="ref-cn2002mr1305">
        <w:r>
          <w:rPr>
            <w:rStyle w:val="Hyperlink"/>
          </w:rPr>
          <w:t xml:space="preserve">Canadien National, 2002</w:t>
        </w:r>
      </w:hyperlink>
      <w:r>
        <w:t xml:space="preserve">)</w:t>
      </w:r>
      <w:r>
        <w:t xml:space="preserve"> : il ne demande aucune dérogation et n’exclut pas le fret. S1 porte</w:t>
      </w:r>
      <w:r>
        <w:t xml:space="preserve"> </w:t>
      </w:r>
      <w:r>
        <w:t xml:space="preserve">un dévers supposé (le réseau réel n’a pas été relevé), signalé comme tel partout.</w:t>
      </w:r>
    </w:p>
    <w:p>
      <w:pPr>
        <w:pStyle w:val="BodyText"/>
      </w:pPr>
      <w:r>
        <w:rPr>
          <w:b/>
          <w:bCs/>
        </w:rPr>
        <w:t xml:space="preserve">Ce que chaque scénario achète</w:t>
      </w:r>
      <w:r>
        <w:t xml:space="preserve">, en kilomètres de tracé dont le plafond géométrique</w:t>
      </w:r>
      <w:r>
        <w:t xml:space="preserve"> </w:t>
      </w:r>
      <w:r>
        <w:t xml:space="preserve">reste sous la cible (somme des quatre trajets analysés, 1 431 km) 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 200 km/h (rectification requise pour la grande vitesse)</w:t>
            </w:r>
          </w:p>
        </w:tc>
        <w:tc>
          <w:tcPr/>
          <w:p>
            <w:pPr>
              <w:pStyle w:val="Compact"/>
            </w:pPr>
            <w:r>
              <w:t xml:space="preserve">620 km</w:t>
            </w:r>
          </w:p>
        </w:tc>
        <w:tc>
          <w:tcPr/>
          <w:p>
            <w:pPr>
              <w:pStyle w:val="Compact"/>
            </w:pPr>
            <w:r>
              <w:t xml:space="preserve">267 km</w:t>
            </w:r>
          </w:p>
        </w:tc>
        <w:tc>
          <w:tcPr/>
          <w:p>
            <w:pPr>
              <w:pStyle w:val="Compact"/>
            </w:pPr>
            <w:r>
              <w:t xml:space="preserve">186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 160 km/h</w:t>
            </w:r>
          </w:p>
        </w:tc>
        <w:tc>
          <w:tcPr/>
          <w:p>
            <w:pPr>
              <w:pStyle w:val="Compact"/>
            </w:pPr>
            <w:r>
              <w:t xml:space="preserve">326 km</w:t>
            </w:r>
          </w:p>
        </w:tc>
        <w:tc>
          <w:tcPr/>
          <w:p>
            <w:pPr>
              <w:pStyle w:val="Compact"/>
            </w:pPr>
            <w:r>
              <w:t xml:space="preserve">122 km</w:t>
            </w:r>
          </w:p>
        </w:tc>
        <w:tc>
          <w:tcPr/>
          <w:p>
            <w:pPr>
              <w:pStyle w:val="Compact"/>
            </w:pPr>
            <w:r>
              <w:t xml:space="preserve">59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 100 km/h (sections sévères)</w:t>
            </w:r>
          </w:p>
        </w:tc>
        <w:tc>
          <w:tcPr/>
          <w:p>
            <w:pPr>
              <w:pStyle w:val="Compact"/>
            </w:pPr>
            <w:r>
              <w:t xml:space="preserve">41 km</w:t>
            </w:r>
          </w:p>
        </w:tc>
        <w:tc>
          <w:tcPr/>
          <w:p>
            <w:pPr>
              <w:pStyle w:val="Compact"/>
            </w:pPr>
            <w:r>
              <w:t xml:space="preserve">18 km</w:t>
            </w:r>
          </w:p>
        </w:tc>
        <w:tc>
          <w:tcPr/>
          <w:p>
            <w:pPr>
              <w:pStyle w:val="Compact"/>
            </w:pPr>
            <w:r>
              <w:t xml:space="preserve">0 km</w:t>
            </w:r>
          </w:p>
        </w:tc>
      </w:tr>
    </w:tbl>
    <w:p>
      <w:pPr>
        <w:pStyle w:val="BodyText"/>
      </w:pPr>
      <w:r>
        <w:t xml:space="preserve">La lecture décisionnelle : la géométrie du corridor n’a pas besoin d’être reconstruite,</w:t>
      </w:r>
      <w:r>
        <w:t xml:space="preserve"> </w:t>
      </w:r>
      <w:r>
        <w:t xml:space="preserve">elle a besoin d’un meilleur train. En S3, 87 pour cent du tracé atteint 200 km/h ou plus</w:t>
      </w:r>
      <w:r>
        <w:t xml:space="preserve"> </w:t>
      </w:r>
      <w:r>
        <w:t xml:space="preserve">sans toucher une seule courbe ; le résidu de 186 km est listé section par section dans</w:t>
      </w:r>
      <w:r>
        <w:t xml:space="preserve"> </w:t>
      </w:r>
      <w:r>
        <w:t xml:space="preserve">les annexes numériques du projet, avec le rayon à ouvrir pour chaque site.</w:t>
      </w:r>
    </w:p>
    <w:p>
      <w:pPr>
        <w:pStyle w:val="BodyText"/>
      </w:pPr>
      <w:r>
        <w:rPr>
          <w:b/>
          <w:bCs/>
        </w:rPr>
        <w:t xml:space="preserve">Ce qu’il faut dire honnêtement de S3.</w:t>
      </w:r>
      <w:r>
        <w:t xml:space="preserve"> </w:t>
      </w:r>
      <w:r>
        <w:t xml:space="preserve">Aucun matériel n’est exploité en Amérique du</w:t>
      </w:r>
      <w:r>
        <w:t xml:space="preserve"> </w:t>
      </w:r>
      <w:r>
        <w:t xml:space="preserve">Nord à 270 mm d’insuffisance ; la voie d’approbation existe (l’article 4.3 du règlement</w:t>
      </w:r>
      <w:r>
        <w:t xml:space="preserve"> </w:t>
      </w:r>
      <w:r>
        <w:t xml:space="preserve">canadien permet d’approuver un équipement désigné au-delà de 3 pouces</w:t>
      </w:r>
      <w:r>
        <w:t xml:space="preserve"> </w:t>
      </w:r>
      <w:r>
        <w:t xml:space="preserve">(</w:t>
      </w:r>
      <w:hyperlink w:anchor="ref-tc2022rrts">
        <w:r>
          <w:rPr>
            <w:rStyle w:val="Hyperlink"/>
          </w:rPr>
          <w:t xml:space="preserve">Transports Canada, 2022</w:t>
        </w:r>
      </w:hyperlink>
      <w:r>
        <w:t xml:space="preserve">)</w:t>
      </w:r>
      <w:r>
        <w:t xml:space="preserve">),</w:t>
      </w:r>
      <w:r>
        <w:t xml:space="preserve"> </w:t>
      </w:r>
      <w:r>
        <w:t xml:space="preserve">mais elle reste à parcourir. Une position de repli à 225 mm est calculée en sensibilité</w:t>
      </w:r>
      <w:r>
        <w:t xml:space="preserve"> </w:t>
      </w:r>
      <w:r>
        <w:t xml:space="preserve">dans les annexes. Par ailleurs, la caisse pendulaire protège le passager, pas le rail :</w:t>
      </w:r>
      <w:r>
        <w:t xml:space="preserve"> </w:t>
      </w:r>
      <w:r>
        <w:t xml:space="preserve">les efforts en voie croissent avec la vitesse en courbe, ce qui implique un standard</w:t>
      </w:r>
      <w:r>
        <w:t xml:space="preserve"> </w:t>
      </w:r>
      <w:r>
        <w:t xml:space="preserve">d’entretien renforcé (un point de veto potentiel du propriétaire, et un coût récurrent).</w:t>
      </w:r>
      <w:r>
        <w:t xml:space="preserve"> </w:t>
      </w:r>
      <w:r>
        <w:t xml:space="preserve">L’histoire du LRC le rappelle : son système d’inclinaison, coûteux en entretien, a été retiré lors de la remise à</w:t>
      </w:r>
      <w:r>
        <w:t xml:space="preserve"> </w:t>
      </w:r>
      <w:r>
        <w:t xml:space="preserve">neuf de la flotte engagée à partir de 2007-2009, VIA justifiant ce retrait par la</w:t>
      </w:r>
      <w:r>
        <w:t xml:space="preserve"> </w:t>
      </w:r>
      <w:r>
        <w:t xml:space="preserve">réduction des coûts d’entretien et un allègement de deux tonnes par voiture</w:t>
      </w:r>
      <w:r>
        <w:t xml:space="preserve"> </w:t>
      </w:r>
      <w:r>
        <w:t xml:space="preserve">(</w:t>
      </w:r>
      <w:hyperlink w:anchor="ref-via2009lrc">
        <w:r>
          <w:rPr>
            <w:rStyle w:val="Hyperlink"/>
          </w:rPr>
          <w:t xml:space="preserve">VIA Rail Canada, 2009</w:t>
        </w:r>
      </w:hyperlink>
      <w:r>
        <w:t xml:space="preserve">)</w:t>
      </w:r>
      <w:r>
        <w:t xml:space="preserve">. S2 reste, pour cette raison, le scénario pivot de</w:t>
      </w:r>
      <w:r>
        <w:t xml:space="preserve"> </w:t>
      </w:r>
      <w:r>
        <w:t xml:space="preserve">l’argumentaire : tout y tient dans la méthode que le CN applique déjà.</w:t>
      </w:r>
    </w:p>
    <w:bookmarkEnd w:id="17"/>
    <w:bookmarkStart w:id="24" w:name="X42a82ebb192afdbd87b7e7f59c353876bbe630b"/>
    <w:p>
      <w:pPr>
        <w:pStyle w:val="Heading1"/>
      </w:pPr>
      <w:r>
        <w:t xml:space="preserve">Doublement des voies et régime de cohabitation</w:t>
      </w:r>
    </w:p>
    <w:p>
      <w:pPr>
        <w:pStyle w:val="FirstParagraph"/>
      </w:pPr>
      <w:r>
        <w:t xml:space="preserve">Ces deux questions se mesurent avec le même instrument, lu dans deux directions. Le</w:t>
      </w:r>
      <w:r>
        <w:t xml:space="preserve"> </w:t>
      </w:r>
      <w:r>
        <w:t xml:space="preserve">corridor offre une expérience naturelle : des tronçons en voie simple appartenant à VIA</w:t>
      </w:r>
      <w:r>
        <w:t xml:space="preserve"> </w:t>
      </w:r>
      <w:r>
        <w:t xml:space="preserve">(croisements planifiés entre trains VIA), des tronçons en voie simple appartenant au CN</w:t>
      </w:r>
      <w:r>
        <w:t xml:space="preserve"> </w:t>
      </w:r>
      <w:r>
        <w:t xml:space="preserve">(croisements subis, le fret étant prioritaire chez lui), et des tronçons en voie double</w:t>
      </w:r>
      <w:r>
        <w:t xml:space="preserve"> </w:t>
      </w:r>
      <w:r>
        <w:t xml:space="preserve">du CN (croisements éliminés, dépassements subis). En comparant la marge d’horaire de ces</w:t>
      </w:r>
      <w:r>
        <w:t xml:space="preserve"> </w:t>
      </w:r>
      <w:r>
        <w:t xml:space="preserve">trois familles, à géométrie neutralisée, on lit séparément le prix de la voie manquante</w:t>
      </w:r>
      <w:r>
        <w:t xml:space="preserve"> </w:t>
      </w:r>
      <w:r>
        <w:t xml:space="preserve">et le prix du régime.</w:t>
      </w:r>
    </w:p>
    <w:bookmarkStart w:id="21" w:name="la-mesure"/>
    <w:p>
      <w:pPr>
        <w:pStyle w:val="Heading2"/>
      </w:pPr>
      <w:r>
        <w:t xml:space="preserve">La mesure</w:t>
      </w:r>
    </w:p>
    <w:p>
      <w:pPr>
        <w:pStyle w:val="FirstParagraph"/>
      </w:pPr>
      <w:r>
        <w:t xml:space="preserve">Pour chacune des paires de gares adjacentes du corridor, la marge est l’écart entre le</w:t>
      </w:r>
      <w:r>
        <w:t xml:space="preserve"> </w:t>
      </w:r>
      <w:r>
        <w:t xml:space="preserve">temps à l’horaire (médiane de tous les sillons, un sillon étant le créneau horaire d’un train donné) et le temps que la géométrie</w:t>
      </w:r>
      <w:r>
        <w:t xml:space="preserve"> </w:t>
      </w:r>
      <w:r>
        <w:t xml:space="preserve">permet au régime actuel (intégration à vitesse plafonnée à 160 km/h), rapporté à ce</w:t>
      </w:r>
      <w:r>
        <w:t xml:space="preserve"> </w:t>
      </w:r>
      <w:r>
        <w:t xml:space="preserve">dernier. Les paires contaminées par un nœud (blocs urbains, ponts Victoria et de Québec,</w:t>
      </w:r>
      <w:r>
        <w:t xml:space="preserve"> </w:t>
      </w:r>
      <w:r>
        <w:t xml:space="preserve">approches d’Ottawa, chevauchements de frontière de propriétaire) sont exclues, chacune</w:t>
      </w:r>
      <w:r>
        <w:t xml:space="preserve"> </w:t>
      </w:r>
      <w:r>
        <w:t xml:space="preserve">avec son motif documenté. Résultat, sur le cœur du corridor (classe de voie homogène,</w:t>
      </w:r>
      <w:r>
        <w:t xml:space="preserve"> </w:t>
      </w:r>
      <w:r>
        <w:t xml:space="preserve">95 à 100 mi/h, soit 153 à 161 km/h, permis sur les lignes du CN et 80 à 95 mi/h sur celles de VIA) 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Cellule</w:t>
            </w:r>
          </w:p>
        </w:tc>
        <w:tc>
          <w:tcPr/>
          <w:p>
            <w:pPr>
              <w:pStyle w:val="Compact"/>
            </w:pPr>
            <w:r>
              <w:t xml:space="preserve">Paires</w:t>
            </w:r>
          </w:p>
        </w:tc>
        <w:tc>
          <w:tcPr/>
          <w:p>
            <w:pPr>
              <w:pStyle w:val="Compact"/>
            </w:pPr>
            <w:r>
              <w:t xml:space="preserve">Marge médiane</w:t>
            </w:r>
          </w:p>
        </w:tc>
        <w:tc>
          <w:tcPr/>
          <w:p>
            <w:pPr>
              <w:pStyle w:val="Compact"/>
            </w:pPr>
            <w:r>
              <w:t xml:space="preserve">Dispersion entre sillons</w:t>
            </w:r>
          </w:p>
        </w:tc>
        <w:tc>
          <w:tcPr/>
          <w:p>
            <w:pPr>
              <w:pStyle w:val="Compact"/>
            </w:pPr>
            <w:r>
              <w:t xml:space="preserve">Trafic (trains/jour)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Voie double, CN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37 %</w:t>
            </w:r>
          </w:p>
        </w:tc>
        <w:tc>
          <w:tcPr/>
          <w:p>
            <w:pPr>
              <w:pStyle w:val="Compact"/>
            </w:pPr>
            <w:r>
              <w:t xml:space="preserve">5 %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Voie simple, VIA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42 %</w:t>
            </w:r>
          </w:p>
        </w:tc>
        <w:tc>
          <w:tcPr/>
          <w:p>
            <w:pPr>
              <w:pStyle w:val="Compact"/>
            </w:pPr>
            <w:r>
              <w:t xml:space="preserve">10 %</w:t>
            </w:r>
          </w:p>
        </w:tc>
        <w:tc>
          <w:tcPr/>
          <w:p>
            <w:pPr>
              <w:pStyle w:val="Compact"/>
            </w:pPr>
            <w:r>
              <w:t xml:space="preserve">12 à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Voie simple, CN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65 %</w:t>
            </w:r>
          </w:p>
        </w:tc>
        <w:tc>
          <w:tcPr/>
          <w:p>
            <w:pPr>
              <w:pStyle w:val="Compact"/>
            </w:pPr>
            <w:r>
              <w:t xml:space="preserve">21 %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067855"/>
            <wp:effectExtent b="0" l="0" r="0" t="0"/>
            <wp:docPr descr="Le 2×2 du corridor : chaque inter-gare colorée selon sa cellule voie × propriétaire, avec la marge médiane mesurée par cellule. En gris, les paires exclues de la mesure (blocs urbains, ponts, frontières de propriétaire)." title="" id="19" name="Picture"/>
            <a:graphic>
              <a:graphicData uri="http://schemas.openxmlformats.org/drawingml/2006/picture">
                <pic:pic>
                  <pic:nvPicPr>
                    <pic:cNvPr descr="livrables/figure_cellul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 2×2 du corridor : chaque inter-gare colorée selon sa cellule voie × propriétaire, avec la marge médiane mesurée par cellule. En gris, les paires exclues de la mesure (blocs urbains, ponts, frontières de propriétaire).</w:t>
      </w:r>
    </w:p>
    <w:p>
      <w:pPr>
        <w:pStyle w:val="BodyText"/>
      </w:pPr>
      <w:r>
        <w:t xml:space="preserve">Trois lignes, trois faits :</w:t>
      </w:r>
    </w:p>
    <w:p>
      <w:pPr>
        <w:pStyle w:val="BodyText"/>
      </w:pPr>
      <w:r>
        <w:rPr>
          <w:b/>
          <w:bCs/>
        </w:rPr>
        <w:t xml:space="preserve">Ce que le doublement achète, chez le CN</w:t>
      </w:r>
      <w:r>
        <w:t xml:space="preserve"> : environ 28 points de marge (65 contre 37),</w:t>
      </w:r>
      <w:r>
        <w:t xml:space="preserve"> </w:t>
      </w:r>
      <w:r>
        <w:t xml:space="preserve">soit une vingtaine de minutes sur Montréal-Québec. L’échantillon de voie simple CN est</w:t>
      </w:r>
      <w:r>
        <w:t xml:space="preserve"> </w:t>
      </w:r>
      <w:r>
        <w:t xml:space="preserve">mince (deux paires, celles du tronçon de Québec) : le chiffre se publie en fourchette,</w:t>
      </w:r>
      <w:r>
        <w:t xml:space="preserve"> </w:t>
      </w:r>
      <w:r>
        <w:t xml:space="preserve">pas au point. Il est en revanche robuste aux deux objections classiques, et cela se</w:t>
      </w:r>
      <w:r>
        <w:t xml:space="preserve"> </w:t>
      </w:r>
      <w:r>
        <w:t xml:space="preserve">vérifie dans la table : la classe de voie est la même que sur la ligne double (95 contre</w:t>
      </w:r>
      <w:r>
        <w:t xml:space="preserve"> </w:t>
      </w:r>
      <w:r>
        <w:t xml:space="preserve">95 à 100 mi/h permis), et la ligne double porte davantage de trafic (40 trains par jour</w:t>
      </w:r>
      <w:r>
        <w:t xml:space="preserve"> </w:t>
      </w:r>
      <w:r>
        <w:t xml:space="preserve">contre 27) tout en affichant moins de marge. Ni l’état de la voie ni le volume</w:t>
      </w:r>
      <w:r>
        <w:t xml:space="preserve"> </w:t>
      </w:r>
      <w:r>
        <w:t xml:space="preserve">n’expliquent l’écart ; les croisements l’expliquent.</w:t>
      </w:r>
    </w:p>
    <w:p>
      <w:pPr>
        <w:pStyle w:val="BodyText"/>
      </w:pPr>
      <w:r>
        <w:rPr>
          <w:b/>
          <w:bCs/>
        </w:rPr>
        <w:t xml:space="preserve">Ce que le régime pèse</w:t>
      </w:r>
      <w:r>
        <w:t xml:space="preserve"> : sous propriétaire VIA, la voie simple ne coûte qu’environ</w:t>
      </w:r>
      <w:r>
        <w:t xml:space="preserve"> </w:t>
      </w:r>
      <w:r>
        <w:t xml:space="preserve">5 points de marge par rapport à la voie double du CN ; sous propriétaire CN, elle en</w:t>
      </w:r>
      <w:r>
        <w:t xml:space="preserve"> </w:t>
      </w:r>
      <w:r>
        <w:t xml:space="preserve">coûte environ 28 (les fourchettes 3 à 6 et 27 à 33 couvrent les pénalités d’arrêt testées). Le rapport est d’environ sept pour un, et il résiste aux tests de</w:t>
      </w:r>
      <w:r>
        <w:t xml:space="preserve"> </w:t>
      </w:r>
      <w:r>
        <w:t xml:space="preserve">sensibilité (pénalité d’arrêt de 0 à 3 minutes par paire). Une réserve honnête : les</w:t>
      </w:r>
      <w:r>
        <w:t xml:space="preserve"> </w:t>
      </w:r>
      <w:r>
        <w:t xml:space="preserve">lignes de VIA portent environ deux fois moins de trains que celles du CN ; ce qu’on</w:t>
      </w:r>
      <w:r>
        <w:t xml:space="preserve"> </w:t>
      </w:r>
      <w:r>
        <w:t xml:space="preserve">mesure est donc l’effet du régime au sens large, densité de fret comprise. C’est</w:t>
      </w:r>
      <w:r>
        <w:t xml:space="preserve"> </w:t>
      </w:r>
      <w:r>
        <w:t xml:space="preserve">précisément ce que le doublement seul ne change pas.</w:t>
      </w:r>
    </w:p>
    <w:p>
      <w:pPr>
        <w:pStyle w:val="BodyText"/>
      </w:pPr>
      <w:r>
        <w:rPr>
          <w:b/>
          <w:bCs/>
        </w:rPr>
        <w:t xml:space="preserve">La dispersion raconte la même histoire.</w:t>
      </w:r>
      <w:r>
        <w:t xml:space="preserve"> </w:t>
      </w:r>
      <w:r>
        <w:t xml:space="preserve">Sur voie double, tous les trains d’une même</w:t>
      </w:r>
      <w:r>
        <w:t xml:space="preserve"> </w:t>
      </w:r>
      <w:r>
        <w:t xml:space="preserve">paire font le même temps (écart interquartile de 5 pour cent). Sur la voie simple du CN,</w:t>
      </w:r>
      <w:r>
        <w:t xml:space="preserve"> </w:t>
      </w:r>
      <w:r>
        <w:t xml:space="preserve">l’horaire d’une même paire varie de 8 à 16 minutes selon le sillon : les croisements avec</w:t>
      </w:r>
      <w:r>
        <w:t xml:space="preserve"> </w:t>
      </w:r>
      <w:r>
        <w:t xml:space="preserve">le fret sont écrits dans la grille de VIA elle-même. Le passager de Montréal-Québec paie</w:t>
      </w:r>
      <w:r>
        <w:t xml:space="preserve"> </w:t>
      </w:r>
      <w:r>
        <w:t xml:space="preserve">jusqu’à 24 minutes selon l’heure de son départ.</w:t>
      </w:r>
    </w:p>
    <w:bookmarkEnd w:id="21"/>
    <w:bookmarkStart w:id="22" w:name="contre-épreuve-le-sud-ouest-ontarien"/>
    <w:p>
      <w:pPr>
        <w:pStyle w:val="Heading2"/>
      </w:pPr>
      <w:r>
        <w:t xml:space="preserve">Contre-épreuve : le sud-ouest ontarien</w:t>
      </w:r>
    </w:p>
    <w:p>
      <w:pPr>
        <w:pStyle w:val="FirstParagraph"/>
      </w:pPr>
      <w:r>
        <w:t xml:space="preserve">L’étude a étendu la mesure aux lignes Toronto-Windsor et Toronto-Sarnia. Cette région ne</w:t>
      </w:r>
      <w:r>
        <w:t xml:space="preserve"> </w:t>
      </w:r>
      <w:r>
        <w:t xml:space="preserve">se compare pas au cœur (la voie y est de classe inférieure, avec des vitesses permises de</w:t>
      </w:r>
      <w:r>
        <w:t xml:space="preserve"> </w:t>
      </w:r>
      <w:r>
        <w:t xml:space="preserve">42 à 70 mi/h sur les lignes simples du CN : la marge y mesure d’abord l’état de la voie),</w:t>
      </w:r>
      <w:r>
        <w:t xml:space="preserve"> </w:t>
      </w:r>
      <w:r>
        <w:t xml:space="preserve">mais son contraste interne vaut la démonstration : le seul segment où le train roule à</w:t>
      </w:r>
      <w:r>
        <w:t xml:space="preserve"> </w:t>
      </w:r>
      <w:r>
        <w:t xml:space="preserve">vitesse normale (95 km/h de moyenne, voie entretenue à 100 mi/h permis) est le segment</w:t>
      </w:r>
      <w:r>
        <w:t xml:space="preserve"> </w:t>
      </w:r>
      <w:r>
        <w:t xml:space="preserve">Chatham-Windsor, précisément celui que VIA possède. Les lignes simples voisines du CN,</w:t>
      </w:r>
      <w:r>
        <w:t xml:space="preserve"> </w:t>
      </w:r>
      <w:r>
        <w:t xml:space="preserve">presque vides (8 trains par jour), roulent à 40-60 km/h de moyenne sur des voies</w:t>
      </w:r>
      <w:r>
        <w:t xml:space="preserve"> </w:t>
      </w:r>
      <w:r>
        <w:t xml:space="preserve">laissées à 42-70 mi/h. Le propriétaire qui vit du service passager entretient sa voie ;</w:t>
      </w:r>
      <w:r>
        <w:t xml:space="preserve"> </w:t>
      </w:r>
      <w:r>
        <w:t xml:space="preserve">la conclusion du cœur se réplique dans une seconde région, par un autre mécanisme.</w:t>
      </w:r>
    </w:p>
    <w:bookmarkEnd w:id="22"/>
    <w:bookmarkStart w:id="23" w:name="lencadrement-de-la-marge"/>
    <w:p>
      <w:pPr>
        <w:pStyle w:val="Heading2"/>
      </w:pPr>
      <w:r>
        <w:t xml:space="preserve">L’encadrement de la marge</w:t>
      </w:r>
    </w:p>
    <w:p>
      <w:pPr>
        <w:pStyle w:val="FirstParagraph"/>
      </w:pPr>
      <w:r>
        <w:t xml:space="preserve">La marge d’horaire est la grandeur que cette étude ne peut pas trancher ; voici</w:t>
      </w:r>
      <w:r>
        <w:t xml:space="preserve"> </w:t>
      </w:r>
      <w:r>
        <w:t xml:space="preserve">l’intervalle où elle tombe nécessairement, et pourquoi.</w:t>
      </w:r>
    </w:p>
    <w:p>
      <w:pPr>
        <w:pStyle w:val="BodyText"/>
      </w:pPr>
      <w:r>
        <w:rPr>
          <w:b/>
          <w:bCs/>
        </w:rPr>
        <w:t xml:space="preserve">Borne basse, normative.</w:t>
      </w:r>
      <w:r>
        <w:t xml:space="preserve"> </w:t>
      </w:r>
      <w:r>
        <w:t xml:space="preserve">La fiche UIC 451-1 recommande, pour un train de voyageurs,</w:t>
      </w:r>
      <w:r>
        <w:t xml:space="preserve"> </w:t>
      </w:r>
      <w:r>
        <w:t xml:space="preserve">un supplément fixe plus un pourcentage selon la vitesse : au total environ 7 pour cent du</w:t>
      </w:r>
      <w:r>
        <w:t xml:space="preserve"> </w:t>
      </w:r>
      <w:r>
        <w:t xml:space="preserve">temps de parcours à 160 km/h et 9 pour cent à 200</w:t>
      </w:r>
      <w:r>
        <w:t xml:space="preserve"> </w:t>
      </w:r>
      <w:r>
        <w:t xml:space="preserve">(</w:t>
      </w:r>
      <w:hyperlink w:anchor="ref-schittenhelm2011">
        <w:r>
          <w:rPr>
            <w:rStyle w:val="Hyperlink"/>
          </w:rPr>
          <w:t xml:space="preserve">Schittenhelm, 2011</w:t>
        </w:r>
      </w:hyperlink>
      <w:r>
        <w:t xml:space="preserve">;</w:t>
      </w:r>
      <w:r>
        <w:t xml:space="preserve"> </w:t>
      </w:r>
      <w:hyperlink w:anchor="ref-uic2000f451">
        <w:r>
          <w:rPr>
            <w:rStyle w:val="Hyperlink"/>
          </w:rPr>
          <w:t xml:space="preserve">Union internationale des chemins de fer, 2000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Les règles publiées des gestionnaires nationaux se situent au même ordre : SNCF Réseau</w:t>
      </w:r>
      <w:r>
        <w:t xml:space="preserve"> </w:t>
      </w:r>
      <w:r>
        <w:t xml:space="preserve">impose 4,5 minutes par 100 km sur ligne classique et 5 pour cent sur ligne à grande</w:t>
      </w:r>
      <w:r>
        <w:t xml:space="preserve"> </w:t>
      </w:r>
      <w:r>
        <w:t xml:space="preserve">vitesse</w:t>
      </w:r>
      <w:r>
        <w:t xml:space="preserve"> </w:t>
      </w:r>
      <w:r>
        <w:t xml:space="preserve">(</w:t>
      </w:r>
      <w:hyperlink w:anchor="ref-sncf2023drr">
        <w:r>
          <w:rPr>
            <w:rStyle w:val="Hyperlink"/>
          </w:rPr>
          <w:t xml:space="preserve">SNCF Réseau, 2023</w:t>
        </w:r>
      </w:hyperlink>
      <w:r>
        <w:t xml:space="preserve">)</w:t>
      </w:r>
      <w:r>
        <w:t xml:space="preserve"> ; le gestionnaire suédois publie même le différentiel qui nous</w:t>
      </w:r>
      <w:r>
        <w:t xml:space="preserve"> </w:t>
      </w:r>
      <w:r>
        <w:t xml:space="preserve">intéresse : 3 minutes par 100 km en voie simple contre 2 en voie double, plus 60 secondes</w:t>
      </w:r>
      <w:r>
        <w:t xml:space="preserve"> </w:t>
      </w:r>
      <w:r>
        <w:t xml:space="preserve">par croisement</w:t>
      </w:r>
      <w:r>
        <w:t xml:space="preserve"> </w:t>
      </w:r>
      <w:r>
        <w:t xml:space="preserve">(</w:t>
      </w:r>
      <w:hyperlink w:anchor="ref-trafikverket2025jnb">
        <w:r>
          <w:rPr>
            <w:rStyle w:val="Hyperlink"/>
          </w:rPr>
          <w:t xml:space="preserve">Trafikverket, 2025</w:t>
        </w:r>
      </w:hyperlink>
      <w:r>
        <w:t xml:space="preserve">)</w:t>
      </w:r>
      <w:r>
        <w:t xml:space="preserve">. Aucune règle publiée ne dépasse 15 pour cent.</w:t>
      </w:r>
    </w:p>
    <w:p>
      <w:pPr>
        <w:pStyle w:val="BodyText"/>
      </w:pPr>
      <w:r>
        <w:rPr>
          <w:b/>
          <w:bCs/>
        </w:rPr>
        <w:t xml:space="preserve">Borne haute, mesurée.</w:t>
      </w:r>
      <w:r>
        <w:t xml:space="preserve"> </w:t>
      </w:r>
      <w:r>
        <w:t xml:space="preserve">Le corridor porte aujourd’hui de 37 à 65 pour cent de marge</w:t>
      </w:r>
      <w:r>
        <w:t xml:space="preserve"> </w:t>
      </w:r>
      <w:r>
        <w:t xml:space="preserve">selon la cellule (table ci-dessus). L’écart entre les deux bornes n’est pas de la</w:t>
      </w:r>
      <w:r>
        <w:t xml:space="preserve"> </w:t>
      </w:r>
      <w:r>
        <w:t xml:space="preserve">prudence d’horairiste : c’est le prix, en minutes, du régime de cohabitation actuel.</w:t>
      </w:r>
    </w:p>
    <w:p>
      <w:pPr>
        <w:pStyle w:val="BodyText"/>
      </w:pPr>
      <w:r>
        <w:rPr>
          <w:b/>
          <w:bCs/>
        </w:rPr>
        <w:t xml:space="preserve">Le précédent continental.</w:t>
      </w:r>
      <w:r>
        <w:t xml:space="preserve"> </w:t>
      </w:r>
      <w:r>
        <w:t xml:space="preserve">L’inspecteur général d’Amtrak a documenté le même</w:t>
      </w:r>
      <w:r>
        <w:t xml:space="preserve"> </w:t>
      </w:r>
      <w:r>
        <w:t xml:space="preserve">phénomène : environ 70 pour cent du temps additionnel des horaires d’Amtrak est</w:t>
      </w:r>
      <w:r>
        <w:t xml:space="preserve"> </w:t>
      </w:r>
      <w:r>
        <w:t xml:space="preserve">provisionné pour les retards anticipés des chemins de fer hôtes, et le fret cause</w:t>
      </w:r>
      <w:r>
        <w:t xml:space="preserve"> </w:t>
      </w:r>
      <w:r>
        <w:t xml:space="preserve">59 pour cent des retards des longs parcours</w:t>
      </w:r>
      <w:r>
        <w:t xml:space="preserve"> </w:t>
      </w:r>
      <w:r>
        <w:t xml:space="preserve">(</w:t>
      </w:r>
      <w:hyperlink w:anchor="ref-amtrakoig2019">
        <w:r>
          <w:rPr>
            <w:rStyle w:val="Hyperlink"/>
          </w:rPr>
          <w:t xml:space="preserve">Amtrak Office of Inspector General, 2019</w:t>
        </w:r>
      </w:hyperlink>
      <w:r>
        <w:t xml:space="preserve">)</w:t>
      </w:r>
      <w:r>
        <w:t xml:space="preserve">. La situation du corridor</w:t>
      </w:r>
      <w:r>
        <w:t xml:space="preserve"> </w:t>
      </w:r>
      <w:r>
        <w:t xml:space="preserve">n’est pas une exception canadienne, c’est la condition générale du train de voyageurs</w:t>
      </w:r>
      <w:r>
        <w:t xml:space="preserve"> </w:t>
      </w:r>
      <w:r>
        <w:t xml:space="preserve">invité chez un propriétaire de fret.</w:t>
      </w:r>
    </w:p>
    <w:p>
      <w:pPr>
        <w:pStyle w:val="BodyText"/>
      </w:pPr>
      <w:r>
        <w:rPr>
          <w:b/>
          <w:bCs/>
        </w:rPr>
        <w:t xml:space="preserve">Pièces au dossier</w:t>
      </w:r>
      <w:r>
        <w:t xml:space="preserve">, sans récit d’intention : le 11 octobre 2024, le CN a imposé aux</w:t>
      </w:r>
      <w:r>
        <w:t xml:space="preserve"> </w:t>
      </w:r>
      <w:r>
        <w:t xml:space="preserve">rames neuves de VIA un ralentissement à 72 km/h aux passages munis de prédicteurs, les circuits qui déclenchent les barrières à</w:t>
      </w:r>
      <w:r>
        <w:t xml:space="preserve"> </w:t>
      </w:r>
      <w:r>
        <w:t xml:space="preserve">l’approche d’un train (304 passages visés), déclenchant des retards de 30 à 45 minutes ; VIA a demandé le</w:t>
      </w:r>
      <w:r>
        <w:t xml:space="preserve"> </w:t>
      </w:r>
      <w:r>
        <w:t xml:space="preserve">contrôle judiciaire en Cour fédérale le 12 novembre 2024</w:t>
      </w:r>
      <w:r>
        <w:t xml:space="preserve"> </w:t>
      </w:r>
      <w:r>
        <w:t xml:space="preserve">(</w:t>
      </w:r>
      <w:hyperlink w:anchor="ref-via2024requete">
        <w:r>
          <w:rPr>
            <w:rStyle w:val="Hyperlink"/>
          </w:rPr>
          <w:t xml:space="preserve">La Presse Canadienne, 2024</w:t>
        </w:r>
      </w:hyperlink>
      <w:r>
        <w:t xml:space="preserve">)</w:t>
      </w:r>
      <w:r>
        <w:t xml:space="preserve"> ; l’ordre</w:t>
      </w:r>
      <w:r>
        <w:t xml:space="preserve"> </w:t>
      </w:r>
      <w:r>
        <w:t xml:space="preserve">ministériel de décembre 2024 était une demande d’information au CN, pas un</w:t>
      </w:r>
      <w:r>
        <w:t xml:space="preserve"> </w:t>
      </w:r>
      <w:r>
        <w:t xml:space="preserve">rétablissement des vitesses, et l’allègement négocié n’est entré en vigueur que le</w:t>
      </w:r>
      <w:r>
        <w:t xml:space="preserve"> </w:t>
      </w:r>
      <w:r>
        <w:t xml:space="preserve">28 août 2025</w:t>
      </w:r>
      <w:r>
        <w:t xml:space="preserve"> </w:t>
      </w:r>
      <w:r>
        <w:t xml:space="preserve">(</w:t>
      </w:r>
      <w:hyperlink w:anchor="ref-tc2025gcp">
        <w:r>
          <w:rPr>
            <w:rStyle w:val="Hyperlink"/>
          </w:rPr>
          <w:t xml:space="preserve">Transports Canada, 2025</w:t>
        </w:r>
      </w:hyperlink>
      <w:r>
        <w:t xml:space="preserve">)</w:t>
      </w:r>
      <w:r>
        <w:t xml:space="preserve">. Le pilote sans arrêt Montréal-Toronto a été suspendu le jour</w:t>
      </w:r>
      <w:r>
        <w:t xml:space="preserve"> </w:t>
      </w:r>
      <w:r>
        <w:t xml:space="preserve">prévu de son lancement, VIA invoquant des contraintes opérationnelles chez son hôte</w:t>
      </w:r>
      <w:r>
        <w:t xml:space="preserve"> </w:t>
      </w:r>
      <w:r>
        <w:t xml:space="preserve">(</w:t>
      </w:r>
      <w:hyperlink w:anchor="ref-cbc2025pilote">
        <w:r>
          <w:rPr>
            <w:rStyle w:val="Hyperlink"/>
          </w:rPr>
          <w:t xml:space="preserve">CBC News, 2025</w:t>
        </w:r>
      </w:hyperlink>
      <w:r>
        <w:t xml:space="preserve">)</w:t>
      </w:r>
      <w:r>
        <w:t xml:space="preserve">. La ponctualité du réseau est passée de 71-72 pour cent (2020-2021) à</w:t>
      </w:r>
      <w:r>
        <w:t xml:space="preserve"> </w:t>
      </w:r>
      <w:r>
        <w:t xml:space="preserve">57-59 (2022-2023), 51 (2024) puis 30 pour cent au premier trimestre 2025</w:t>
      </w:r>
      <w:r>
        <w:t xml:space="preserve"> </w:t>
      </w:r>
      <w:r>
        <w:t xml:space="preserve">(</w:t>
      </w:r>
      <w:hyperlink w:anchor="ref-via2025rapportannuel">
        <w:r>
          <w:rPr>
            <w:rStyle w:val="Hyperlink"/>
          </w:rPr>
          <w:t xml:space="preserve">VIA Rail Canada, 2025a</w:t>
        </w:r>
      </w:hyperlink>
      <w:r>
        <w:t xml:space="preserve">,</w:t>
      </w:r>
      <w:r>
        <w:t xml:space="preserve"> </w:t>
      </w:r>
      <w:hyperlink w:anchor="ref-via2025t1">
        <w:r>
          <w:rPr>
            <w:rStyle w:val="Hyperlink"/>
          </w:rPr>
          <w:t xml:space="preserve">2025b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Sur Montréal-Toronto, déjà doublé, « doubler » n’est pas la demande pertinente.</w:t>
      </w:r>
      <w:r>
        <w:t xml:space="preserve"> </w:t>
      </w:r>
      <w:r>
        <w:t xml:space="preserve">La</w:t>
      </w:r>
      <w:r>
        <w:t xml:space="preserve"> </w:t>
      </w:r>
      <w:r>
        <w:t xml:space="preserve">voie double élimine les croisements, pas les dépassements. L’intervention utile y est</w:t>
      </w:r>
      <w:r>
        <w:t xml:space="preserve"> </w:t>
      </w:r>
      <w:r>
        <w:t xml:space="preserve">l’ajout de liaisons rapides entre les deux voies (un dépassement se règle à basse ou à haute vitesse selon le type d’aiguillage</w:t>
      </w:r>
      <w:r>
        <w:t xml:space="preserve"> </w:t>
      </w:r>
      <w:r>
        <w:t xml:space="preserve">installé, ce qui change tout son coût en temps [ordres de grandeur 15 vs 45-50 mi/h,</w:t>
      </w:r>
      <w:r>
        <w:t xml:space="preserve"> </w:t>
      </w:r>
      <w:r>
        <w:t xml:space="preserve">À VÉRIFIER en étude de circulation]) et les sections de</w:t>
      </w:r>
      <w:r>
        <w:t xml:space="preserve"> </w:t>
      </w:r>
      <w:r>
        <w:t xml:space="preserve">troisième voie aux points de friction. Le dimensionnement précis relève de l’étude de</w:t>
      </w:r>
      <w:r>
        <w:t xml:space="preserve"> </w:t>
      </w:r>
      <w:r>
        <w:t xml:space="preserve">circulation.</w:t>
      </w:r>
    </w:p>
    <w:bookmarkEnd w:id="23"/>
    <w:bookmarkEnd w:id="24"/>
    <w:bookmarkStart w:id="25" w:name="passages-à-niveau"/>
    <w:p>
      <w:pPr>
        <w:pStyle w:val="Heading1"/>
      </w:pPr>
      <w:r>
        <w:t xml:space="preserve">Passages à niveau</w:t>
      </w:r>
    </w:p>
    <w:p>
      <w:pPr>
        <w:pStyle w:val="FirstParagraph"/>
      </w:pPr>
      <w:r>
        <w:t xml:space="preserve">Un passage à niveau est un croisement rail-route à niveau. Sa tolérance réglementaire</w:t>
      </w:r>
      <w:r>
        <w:t xml:space="preserve"> </w:t>
      </w:r>
      <w:r>
        <w:t xml:space="preserve">décroît par paliers de vitesse ; le précédent nord-américain le plus structuré est</w:t>
      </w:r>
      <w:r>
        <w:t xml:space="preserve"> </w:t>
      </w:r>
      <w:r>
        <w:t xml:space="preserve">américain</w:t>
      </w:r>
      <w:r>
        <w:t xml:space="preserve"> </w:t>
      </w:r>
      <w:r>
        <w:t xml:space="preserve">(</w:t>
      </w:r>
      <w:hyperlink w:anchor="ref-ecfr213-347">
        <w:r>
          <w:rPr>
            <w:rStyle w:val="Hyperlink"/>
          </w:rPr>
          <w:t xml:space="preserve">Federal Railroad Administration, s. d.-a</w:t>
        </w:r>
      </w:hyperlink>
      <w:r>
        <w:t xml:space="preserve">)</w:t>
      </w:r>
      <w:r>
        <w:t xml:space="preserve">, cité ici comme référence de seuils, non comme droit applicable</w:t>
      </w:r>
      <w:r>
        <w:t xml:space="preserve"> </w:t>
      </w:r>
      <w:r>
        <w:t xml:space="preserve">au Canada 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jusqu’à 153 km/h</w:t>
      </w:r>
      <w:r>
        <w:t xml:space="preserve"> : régime actuel (le précédent domestique est le Turbo, plafonné</w:t>
      </w:r>
      <w:r>
        <w:t xml:space="preserve"> </w:t>
      </w:r>
      <w:r>
        <w:t xml:space="preserve">en service à 153 km/h notamment à cause de ses quelque 300 passages à niveau</w:t>
      </w:r>
      <w:r>
        <w:t xml:space="preserve"> </w:t>
      </w:r>
      <w:r>
        <w:t xml:space="preserve">(</w:t>
      </w:r>
      <w:hyperlink w:anchor="ref-bateman2015">
        <w:r>
          <w:rPr>
            <w:rStyle w:val="Hyperlink"/>
          </w:rPr>
          <w:t xml:space="preserve">Bateman, 2015</w:t>
        </w:r>
      </w:hyperlink>
      <w:r>
        <w:t xml:space="preserve">)</w:t>
      </w:r>
      <w:r>
        <w:t xml:space="preserve">, alors qu’il détenait le record canadien de 140,6 mi/h, établi en</w:t>
      </w:r>
      <w:r>
        <w:t xml:space="preserve"> </w:t>
      </w:r>
      <w:r>
        <w:t xml:space="preserve">conditions d’essai non reproductibles et sans effet sur le temps commercial</w:t>
      </w:r>
      <w:r>
        <w:t xml:space="preserve"> </w:t>
      </w:r>
      <w:r>
        <w:t xml:space="preserve">(</w:t>
      </w:r>
      <w:hyperlink w:anchor="ref-canadianrail1976">
        <w:r>
          <w:rPr>
            <w:rStyle w:val="Hyperlink"/>
          </w:rPr>
          <w:t xml:space="preserve">Association canadienne d’histoire ferroviaire, 1976</w:t>
        </w:r>
      </w:hyperlink>
      <w:r>
        <w:t xml:space="preserve">)</w:t>
      </w:r>
      <w:r>
        <w:t xml:space="preserve">) 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154 à 177 km/h</w:t>
      </w:r>
      <w:r>
        <w:t xml:space="preserve"> : corridor « scellé » : traiter ou fermer chaque passage</w:t>
      </w:r>
      <w:r>
        <w:t xml:space="preserve"> </w:t>
      </w:r>
      <w:r>
        <w:t xml:space="preserve">(barrières quatre-quadrants, terre-pleins, détection). Le programme de référence, en</w:t>
      </w:r>
      <w:r>
        <w:t xml:space="preserve"> </w:t>
      </w:r>
      <w:r>
        <w:t xml:space="preserve">Caroline du Nord, a été évalué par la FRA : au moins 19 vies sauvées de 1995 à 2004 et</w:t>
      </w:r>
      <w:r>
        <w:t xml:space="preserve"> </w:t>
      </w:r>
      <w:r>
        <w:t xml:space="preserve">une réduction projetée d’environ 52 pour cent de la mortalité du corridor</w:t>
      </w:r>
      <w:r>
        <w:t xml:space="preserve"> </w:t>
      </w:r>
      <w:r>
        <w:t xml:space="preserve">(</w:t>
      </w:r>
      <w:hyperlink w:anchor="ref-bienaime2009sealed">
        <w:r>
          <w:rPr>
            <w:rStyle w:val="Hyperlink"/>
          </w:rPr>
          <w:t xml:space="preserve">Bien-Aime, 2009</w:t>
        </w:r>
      </w:hyperlink>
      <w:r>
        <w:t xml:space="preserve">)</w:t>
      </w:r>
      <w:r>
        <w:t xml:space="preserve"> 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178 à 201 km/h</w:t>
      </w:r>
      <w:r>
        <w:t xml:space="preserve"> : système complet d’avertissement et de barrières approuvé et</w:t>
      </w:r>
      <w:r>
        <w:t xml:space="preserve"> </w:t>
      </w:r>
      <w:r>
        <w:t xml:space="preserve">fonctionnel (classe 7 américaine) 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au-delà de 201 km/h : zéro passage à niveau</w:t>
      </w:r>
      <w:r>
        <w:t xml:space="preserve"> </w:t>
      </w:r>
      <w:r>
        <w:t xml:space="preserve">(classes 8 et 9 américaines).</w:t>
      </w:r>
    </w:p>
    <w:p>
      <w:pPr>
        <w:pStyle w:val="FirstParagraph"/>
      </w:pPr>
      <w:r>
        <w:rPr>
          <w:b/>
          <w:bCs/>
        </w:rPr>
        <w:t xml:space="preserve">Le compte.</w:t>
      </w:r>
      <w:r>
        <w:t xml:space="preserve"> </w:t>
      </w:r>
      <w:r>
        <w:t xml:space="preserve">L’inventaire ouvert de Transports Canada</w:t>
      </w:r>
      <w:r>
        <w:t xml:space="preserve"> </w:t>
      </w:r>
      <w:r>
        <w:t xml:space="preserve">(</w:t>
      </w:r>
      <w:hyperlink w:anchor="ref-tc2023inventairepn">
        <w:r>
          <w:rPr>
            <w:rStyle w:val="Hyperlink"/>
          </w:rPr>
          <w:t xml:space="preserve">Transports Canada, 2023</w:t>
        </w:r>
      </w:hyperlink>
      <w:r>
        <w:t xml:space="preserve">)</w:t>
      </w:r>
      <w:r>
        <w:t xml:space="preserve">, joint au</w:t>
      </w:r>
      <w:r>
        <w:t xml:space="preserve"> </w:t>
      </w:r>
      <w:r>
        <w:t xml:space="preserve">tracé, donne 924 passages physiques sur le corridor (dédoublonnés entre trajets), dont</w:t>
      </w:r>
      <w:r>
        <w:t xml:space="preserve"> </w:t>
      </w:r>
      <w:r>
        <w:t xml:space="preserve">352 passages publics à protection active : le même ordre de grandeur que les 304 passages</w:t>
      </w:r>
      <w:r>
        <w:t xml:space="preserve"> </w:t>
      </w:r>
      <w:r>
        <w:t xml:space="preserve">à prédicteurs du dossier judiciaire de VIA</w:t>
      </w:r>
      <w:r>
        <w:t xml:space="preserve"> </w:t>
      </w:r>
      <w:r>
        <w:t xml:space="preserve">(</w:t>
      </w:r>
      <w:hyperlink w:anchor="ref-via2024requete">
        <w:r>
          <w:rPr>
            <w:rStyle w:val="Hyperlink"/>
          </w:rPr>
          <w:t xml:space="preserve">La Presse Canadienne, 2024</w:t>
        </w:r>
      </w:hyperlink>
      <w:r>
        <w:t xml:space="preserve">)</w:t>
      </w:r>
      <w:r>
        <w:t xml:space="preserve">, qui couvre un périmètre</w:t>
      </w:r>
      <w:r>
        <w:t xml:space="preserve"> </w:t>
      </w:r>
      <w:r>
        <w:t xml:space="preserve">plus étroit (l’écart est expliqué dans les annexes numériques).</w:t>
      </w:r>
    </w:p>
    <w:p>
      <w:pPr>
        <w:pStyle w:val="BodyText"/>
      </w:pPr>
      <w:r>
        <w:rPr>
          <w:b/>
          <w:bCs/>
        </w:rPr>
        <w:t xml:space="preserve">Le compte par bande</w:t>
      </w:r>
      <w:r>
        <w:t xml:space="preserve">, selon la vitesse que la géométrie permettrait en S3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Bande du segment porteur</w:t>
            </w:r>
          </w:p>
        </w:tc>
        <w:tc>
          <w:tcPr/>
          <w:p>
            <w:pPr>
              <w:pStyle w:val="Compact"/>
            </w:pPr>
            <w:r>
              <w:t xml:space="preserve">Passages (corridor dédoublonné)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153 km/h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154-177 km/h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178-201 km/h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201 km/h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</w:tr>
    </w:tbl>
    <w:p>
      <w:pPr>
        <w:pStyle w:val="BodyText"/>
      </w:pPr>
      <w:r>
        <w:t xml:space="preserve">La lecture : si l’on veut exploiter la géométrie que le pendulaire libère, 754 passages</w:t>
      </w:r>
      <w:r>
        <w:t xml:space="preserve"> </w:t>
      </w:r>
      <w:r>
        <w:t xml:space="preserve">tombent dans la bande « zéro passage » du précédent américain. C’est le vrai mur</w:t>
      </w:r>
      <w:r>
        <w:t xml:space="preserve"> </w:t>
      </w:r>
      <w:r>
        <w:t xml:space="preserve">au-dessus de 200 km/h, très loin devant la signalisation.</w:t>
      </w:r>
    </w:p>
    <w:p>
      <w:pPr>
        <w:pStyle w:val="BodyText"/>
      </w:pPr>
      <w:r>
        <w:rPr>
          <w:b/>
          <w:bCs/>
        </w:rPr>
        <w:t xml:space="preserve">Le tri</w:t>
      </w:r>
      <w:r>
        <w:t xml:space="preserve">, sur données ouvertes (le lecteur applique ses coûts unitaires) : 569 passages</w:t>
      </w:r>
      <w:r>
        <w:t xml:space="preserve"> </w:t>
      </w:r>
      <w:r>
        <w:t xml:space="preserve">privés ou de ferme, candidats à la fermeture [HYPOTHÈSE : l’existence d’une alternative</w:t>
      </w:r>
      <w:r>
        <w:t xml:space="preserve"> </w:t>
      </w:r>
      <w:r>
        <w:t xml:space="preserve">routière à moins de 2 km n’a pas été vérifiée] ; 233 passages municipaux simples,</w:t>
      </w:r>
      <w:r>
        <w:t xml:space="preserve"> </w:t>
      </w:r>
      <w:r>
        <w:t xml:space="preserve">traitement standard ; 122 passages urbains, multi-voies ou provinciaux, complexes.</w:t>
      </w:r>
    </w:p>
    <w:bookmarkEnd w:id="25"/>
    <w:bookmarkStart w:id="26" w:name="signalisation"/>
    <w:p>
      <w:pPr>
        <w:pStyle w:val="Heading1"/>
      </w:pPr>
      <w:r>
        <w:t xml:space="preserve">Signalisation</w:t>
      </w:r>
    </w:p>
    <w:p>
      <w:pPr>
        <w:pStyle w:val="FirstParagraph"/>
      </w:pPr>
      <w:r>
        <w:t xml:space="preserve">La signalisation se traite en un escalier de trois marches, chacune étant un compte et</w:t>
      </w:r>
      <w:r>
        <w:t xml:space="preserve"> </w:t>
      </w:r>
      <w:r>
        <w:t xml:space="preserve">une ligne de devis, pas une carte 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Jusqu’à 160 km/h : effet nul.</w:t>
      </w:r>
      <w:r>
        <w:t xml:space="preserve"> </w:t>
      </w:r>
      <w:r>
        <w:t xml:space="preserve">Le corridor s’exploite déjà à 160 km/h sous sa signalisation actuelle (la commande</w:t>
      </w:r>
      <w:r>
        <w:t xml:space="preserve"> </w:t>
      </w:r>
      <w:r>
        <w:t xml:space="preserve">centralisée de la circulation, ou CTC), sans qu’aucune règle canadienne n’impose de</w:t>
      </w:r>
      <w:r>
        <w:t xml:space="preserve"> </w:t>
      </w:r>
      <w:r>
        <w:t xml:space="preserve">plafond du type « 79 mi/h » américain.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161 à 200 km/h : superposition de contrôle en cabine.</w:t>
      </w:r>
      <w:r>
        <w:t xml:space="preserve"> </w:t>
      </w:r>
      <w:r>
        <w:t xml:space="preserve">Le précédent tarifé</w:t>
      </w:r>
      <w:r>
        <w:t xml:space="preserve"> </w:t>
      </w:r>
      <w:r>
        <w:t xml:space="preserve">existe : la ligne Amtrak du Michigan exploite 110 mi/h avec un système incrémental</w:t>
      </w:r>
      <w:r>
        <w:t xml:space="preserve"> </w:t>
      </w:r>
      <w:r>
        <w:t xml:space="preserve">superposé à la signalisation existante</w:t>
      </w:r>
      <w:r>
        <w:t xml:space="preserve"> </w:t>
      </w:r>
      <w:r>
        <w:t xml:space="preserve">(</w:t>
      </w:r>
      <w:hyperlink w:anchor="ref-fra2024itcs">
        <w:r>
          <w:rPr>
            <w:rStyle w:val="Hyperlink"/>
          </w:rPr>
          <w:t xml:space="preserve">Federal Railroad Administration, 2024</w:t>
        </w:r>
      </w:hyperlink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Au-delà de 200 km/h : contrôle intégral</w:t>
      </w:r>
      <w:r>
        <w:t xml:space="preserve"> </w:t>
      </w:r>
      <w:r>
        <w:t xml:space="preserve">de type ETCS (le standard européen de</w:t>
      </w:r>
      <w:r>
        <w:t xml:space="preserve"> </w:t>
      </w:r>
      <w:r>
        <w:t xml:space="preserve">contrôle des trains). C’est le devis d’Alto</w:t>
      </w:r>
      <w:r>
        <w:t xml:space="preserve"> </w:t>
      </w:r>
      <w:r>
        <w:t xml:space="preserve">(</w:t>
      </w:r>
      <w:hyperlink w:anchor="ref-alto2025">
        <w:r>
          <w:rPr>
            <w:rStyle w:val="Hyperlink"/>
          </w:rPr>
          <w:t xml:space="preserve">Alto, 2025</w:t>
        </w:r>
      </w:hyperlink>
      <w:r>
        <w:t xml:space="preserve">)</w:t>
      </w:r>
      <w:r>
        <w:t xml:space="preserve">, et</w:t>
      </w:r>
      <w:r>
        <w:t xml:space="preserve"> </w:t>
      </w:r>
      <w:r>
        <w:t xml:space="preserve">l’argument économique pour ne pas viser cette bande sur la voie partagée.</w:t>
      </w:r>
    </w:p>
    <w:p>
      <w:pPr>
        <w:pStyle w:val="FirstParagraph"/>
      </w:pPr>
      <w:r>
        <w:t xml:space="preserve">La signalisation a une seconde fonction, le débit (longueur des cantons, liaisons) : elle</w:t>
      </w:r>
      <w:r>
        <w:t xml:space="preserve"> </w:t>
      </w:r>
      <w:r>
        <w:t xml:space="preserve">vit dans le paquet capacité de l’étude de circulation, pas ici. Cette étude compte, elle</w:t>
      </w:r>
      <w:r>
        <w:t xml:space="preserve"> </w:t>
      </w:r>
      <w:r>
        <w:t xml:space="preserve">ne dimensionne pas.</w:t>
      </w:r>
    </w:p>
    <w:bookmarkEnd w:id="26"/>
    <w:bookmarkStart w:id="27" w:name="résultats-intégrés"/>
    <w:p>
      <w:pPr>
        <w:pStyle w:val="Heading1"/>
      </w:pPr>
      <w:r>
        <w:t xml:space="preserve">Résultats intégrés</w:t>
      </w:r>
    </w:p>
    <w:p>
      <w:pPr>
        <w:pStyle w:val="FirstParagraph"/>
      </w:pPr>
      <w:r>
        <w:t xml:space="preserve">Table complète des temps de base par tronçon, scénario et bande (sans marge ; la marge</w:t>
      </w:r>
      <w:r>
        <w:t xml:space="preserve"> </w:t>
      </w:r>
      <w:r>
        <w:t xml:space="preserve">s’applique par la fourchette de la synthèse). Horaire actuel en regard.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Tronçon</w:t>
            </w:r>
          </w:p>
        </w:tc>
        <w:tc>
          <w:tcPr/>
          <w:p>
            <w:pPr>
              <w:pStyle w:val="Compact"/>
            </w:pPr>
            <w:r>
              <w:t xml:space="preserve">Horaire actuel</w:t>
            </w:r>
          </w:p>
        </w:tc>
        <w:tc>
          <w:tcPr/>
          <w:p>
            <w:pPr>
              <w:pStyle w:val="Compact"/>
            </w:pPr>
            <w:r>
              <w:t xml:space="preserve">S1, plafond 160</w:t>
            </w:r>
          </w:p>
        </w:tc>
        <w:tc>
          <w:tcPr/>
          <w:p>
            <w:pPr>
              <w:pStyle w:val="Compact"/>
            </w:pPr>
            <w:r>
              <w:t xml:space="preserve">S2, 200</w:t>
            </w:r>
          </w:p>
        </w:tc>
        <w:tc>
          <w:tcPr/>
          <w:p>
            <w:pPr>
              <w:pStyle w:val="Compact"/>
            </w:pPr>
            <w:r>
              <w:t xml:space="preserve">S3, 200</w:t>
            </w:r>
          </w:p>
        </w:tc>
        <w:tc>
          <w:tcPr/>
          <w:p>
            <w:pPr>
              <w:pStyle w:val="Compact"/>
            </w:pPr>
            <w:r>
              <w:t xml:space="preserve">S3, 250</w:t>
            </w:r>
          </w:p>
        </w:tc>
        <w:tc>
          <w:tcPr/>
          <w:p>
            <w:pPr>
              <w:pStyle w:val="Compact"/>
            </w:pPr>
            <w:r>
              <w:t xml:space="preserve">S3,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Montréal-Québec (270 km)</w:t>
            </w:r>
          </w:p>
        </w:tc>
        <w:tc>
          <w:tcPr/>
          <w:p>
            <w:pPr>
              <w:pStyle w:val="Compact"/>
            </w:pPr>
            <w:r>
              <w:t xml:space="preserve">3 h 23</w:t>
            </w:r>
          </w:p>
        </w:tc>
        <w:tc>
          <w:tcPr/>
          <w:p>
            <w:pPr>
              <w:pStyle w:val="Compact"/>
            </w:pPr>
            <w:r>
              <w:t xml:space="preserve">2 h 33</w:t>
            </w:r>
          </w:p>
        </w:tc>
        <w:tc>
          <w:tcPr/>
          <w:p>
            <w:pPr>
              <w:pStyle w:val="Compact"/>
            </w:pPr>
            <w:r>
              <w:t xml:space="preserve">2 h 12</w:t>
            </w:r>
          </w:p>
        </w:tc>
        <w:tc>
          <w:tcPr/>
          <w:p>
            <w:pPr>
              <w:pStyle w:val="Compact"/>
            </w:pPr>
            <w:r>
              <w:t xml:space="preserve">2 h 08</w:t>
            </w:r>
          </w:p>
        </w:tc>
        <w:tc>
          <w:tcPr/>
          <w:p>
            <w:pPr>
              <w:pStyle w:val="Compact"/>
            </w:pPr>
            <w:r>
              <w:t xml:space="preserve">1 h 58</w:t>
            </w:r>
          </w:p>
        </w:tc>
        <w:tc>
          <w:tcPr/>
          <w:p>
            <w:pPr>
              <w:pStyle w:val="Compact"/>
            </w:pPr>
            <w:r>
              <w:t xml:space="preserve">1 h 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Montréal-Ottawa (185 km)</w:t>
            </w:r>
          </w:p>
        </w:tc>
        <w:tc>
          <w:tcPr/>
          <w:p>
            <w:pPr>
              <w:pStyle w:val="Compact"/>
            </w:pPr>
            <w:r>
              <w:t xml:space="preserve">2 h 02</w:t>
            </w:r>
          </w:p>
        </w:tc>
        <w:tc>
          <w:tcPr/>
          <w:p>
            <w:pPr>
              <w:pStyle w:val="Compact"/>
            </w:pPr>
            <w:r>
              <w:t xml:space="preserve">1 h 47</w:t>
            </w:r>
          </w:p>
        </w:tc>
        <w:tc>
          <w:tcPr/>
          <w:p>
            <w:pPr>
              <w:pStyle w:val="Compact"/>
            </w:pPr>
            <w:r>
              <w:t xml:space="preserve">1 h 33</w:t>
            </w:r>
          </w:p>
        </w:tc>
        <w:tc>
          <w:tcPr/>
          <w:p>
            <w:pPr>
              <w:pStyle w:val="Compact"/>
            </w:pPr>
            <w:r>
              <w:t xml:space="preserve">1 h 31</w:t>
            </w:r>
          </w:p>
        </w:tc>
        <w:tc>
          <w:tcPr/>
          <w:p>
            <w:pPr>
              <w:pStyle w:val="Compact"/>
            </w:pPr>
            <w:r>
              <w:t xml:space="preserve">1 h 24</w:t>
            </w:r>
          </w:p>
        </w:tc>
        <w:tc>
          <w:tcPr/>
          <w:p>
            <w:pPr>
              <w:pStyle w:val="Compact"/>
            </w:pPr>
            <w:r>
              <w:t xml:space="preserve">1 h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Ottawa-Toronto (444 km)</w:t>
            </w:r>
          </w:p>
        </w:tc>
        <w:tc>
          <w:tcPr/>
          <w:p>
            <w:pPr>
              <w:pStyle w:val="Compact"/>
            </w:pPr>
            <w:r>
              <w:t xml:space="preserve">4 h 35</w:t>
            </w:r>
          </w:p>
        </w:tc>
        <w:tc>
          <w:tcPr/>
          <w:p>
            <w:pPr>
              <w:pStyle w:val="Compact"/>
            </w:pPr>
            <w:r>
              <w:t xml:space="preserve">3 h 53</w:t>
            </w:r>
          </w:p>
        </w:tc>
        <w:tc>
          <w:tcPr/>
          <w:p>
            <w:pPr>
              <w:pStyle w:val="Compact"/>
            </w:pPr>
            <w:r>
              <w:t xml:space="preserve">3 h 21</w:t>
            </w:r>
          </w:p>
        </w:tc>
        <w:tc>
          <w:tcPr/>
          <w:p>
            <w:pPr>
              <w:pStyle w:val="Compact"/>
            </w:pPr>
            <w:r>
              <w:t xml:space="preserve">3 h 19</w:t>
            </w:r>
          </w:p>
        </w:tc>
        <w:tc>
          <w:tcPr/>
          <w:p>
            <w:pPr>
              <w:pStyle w:val="Compact"/>
            </w:pPr>
            <w:r>
              <w:t xml:space="preserve">2 h 56</w:t>
            </w:r>
          </w:p>
        </w:tc>
        <w:tc>
          <w:tcPr/>
          <w:p>
            <w:pPr>
              <w:pStyle w:val="Compact"/>
            </w:pPr>
            <w:r>
              <w:t xml:space="preserve">2 h 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Montréal-Toronto (539 km)</w:t>
            </w:r>
          </w:p>
        </w:tc>
        <w:tc>
          <w:tcPr/>
          <w:p>
            <w:pPr>
              <w:pStyle w:val="Compact"/>
            </w:pPr>
            <w:r>
              <w:t xml:space="preserve">5 h 18</w:t>
            </w:r>
          </w:p>
        </w:tc>
        <w:tc>
          <w:tcPr/>
          <w:p>
            <w:pPr>
              <w:pStyle w:val="Compact"/>
            </w:pPr>
            <w:r>
              <w:t xml:space="preserve">4 h 38</w:t>
            </w:r>
          </w:p>
        </w:tc>
        <w:tc>
          <w:tcPr/>
          <w:p>
            <w:pPr>
              <w:pStyle w:val="Compact"/>
            </w:pPr>
            <w:r>
              <w:t xml:space="preserve">4 h 00</w:t>
            </w:r>
          </w:p>
        </w:tc>
        <w:tc>
          <w:tcPr/>
          <w:p>
            <w:pPr>
              <w:pStyle w:val="Compact"/>
            </w:pPr>
            <w:r>
              <w:t xml:space="preserve">3 h 58</w:t>
            </w:r>
          </w:p>
        </w:tc>
        <w:tc>
          <w:tcPr/>
          <w:p>
            <w:pPr>
              <w:pStyle w:val="Compact"/>
            </w:pPr>
            <w:r>
              <w:t xml:space="preserve">3 h 30</w:t>
            </w:r>
          </w:p>
        </w:tc>
        <w:tc>
          <w:tcPr/>
          <w:p>
            <w:pPr>
              <w:pStyle w:val="Compact"/>
            </w:pPr>
            <w:r>
              <w:t xml:space="preserve">3 h 15</w:t>
            </w:r>
          </w:p>
        </w:tc>
      </w:tr>
    </w:tbl>
    <w:p>
      <w:pPr>
        <w:pStyle w:val="BodyText"/>
      </w:pPr>
      <w:r>
        <w:t xml:space="preserve">Sensibilités : blocs urbains ±20 pour cent (déjà dans les fourchettes) ; le bruit sur les</w:t>
      </w:r>
      <w:r>
        <w:t xml:space="preserve"> </w:t>
      </w:r>
      <w:r>
        <w:t xml:space="preserve">rayons de courbure est absorbé par la publication en classes de vitesse plutôt qu’au</w:t>
      </w:r>
      <w:r>
        <w:t xml:space="preserve"> </w:t>
      </w:r>
      <w:r>
        <w:t xml:space="preserve">km/h près ; la pénalité d’arrêt (5 minutes par arrêt, borne basse volontaire) peut être</w:t>
      </w:r>
      <w:r>
        <w:t xml:space="preserve"> </w:t>
      </w:r>
      <w:r>
        <w:t xml:space="preserve">portée à 7,5-10 minutes sans changer l’ordre des scénarios.</w:t>
      </w:r>
    </w:p>
    <w:p>
      <w:pPr>
        <w:pStyle w:val="BodyText"/>
      </w:pPr>
      <w:r>
        <w:t xml:space="preserve">Deux garde-fous internes : chaque segment publié vérifie par construction la cohérence</w:t>
      </w:r>
      <w:r>
        <w:t xml:space="preserve"> </w:t>
      </w:r>
      <w:r>
        <w:t xml:space="preserve">entre sa classe et sa vitesse (zéro violation sur 5 040 contrôles), et les zones-témoins</w:t>
      </w:r>
      <w:r>
        <w:t xml:space="preserve"> </w:t>
      </w:r>
      <w:r>
        <w:t xml:space="preserve">(courbes réelles d’Ottawa et de Montréal, vitesse de la ligne Kingston) ressortent</w:t>
      </w:r>
      <w:r>
        <w:t xml:space="preserve"> </w:t>
      </w:r>
      <w:r>
        <w:t xml:space="preserve">correctement à chaque régénération.</w:t>
      </w:r>
    </w:p>
    <w:bookmarkEnd w:id="27"/>
    <w:bookmarkStart w:id="28" w:name="limites-et-létude-quil-faut-commander"/>
    <w:p>
      <w:pPr>
        <w:pStyle w:val="Heading1"/>
      </w:pPr>
      <w:r>
        <w:t xml:space="preserve">Limites, et l’étude qu’il faut commander</w:t>
      </w:r>
    </w:p>
    <w:p>
      <w:pPr>
        <w:pStyle w:val="FirstParagraph"/>
      </w:pPr>
      <w:r>
        <w:t xml:space="preserve">Ce que cette méthode ne voit pas, elle le déclare : elle ne simule pas la circulation</w:t>
      </w:r>
      <w:r>
        <w:t xml:space="preserve"> </w:t>
      </w:r>
      <w:r>
        <w:t xml:space="preserve">(croisements réels, sillons de fret, robustesse d’horaire), elle ne conçoit aucun site,</w:t>
      </w:r>
      <w:r>
        <w:t xml:space="preserve"> </w:t>
      </w:r>
      <w:r>
        <w:t xml:space="preserve">elle ne chiffre aucun coût. Ses horaires de référence datent d’une saison de restrictions exceptionnelles ; le</w:t>
      </w:r>
      <w:r>
        <w:t xml:space="preserve"> </w:t>
      </w:r>
      <w:r>
        <w:t xml:space="preserve">biais a été testé en rejouant la mesure sur les horaires de janvier 2023, antérieurs à</w:t>
      </w:r>
      <w:r>
        <w:t xml:space="preserve"> </w:t>
      </w:r>
      <w:r>
        <w:t xml:space="preserve">la crise : la hiérarchie entre cellules et les niveaux de marge y sont pratiquement</w:t>
      </w:r>
      <w:r>
        <w:t xml:space="preserve"> </w:t>
      </w:r>
      <w:r>
        <w:t xml:space="preserve">identiques (voie simple CN à 67 pour cent dès 2023). La structure précède la crise.</w:t>
      </w:r>
    </w:p>
    <w:p>
      <w:pPr>
        <w:pStyle w:val="BodyText"/>
      </w:pPr>
      <w:r>
        <w:t xml:space="preserve">C’est précisément pourquoi sa conclusion opérationnelle est une commande d’étude : une</w:t>
      </w:r>
      <w:r>
        <w:t xml:space="preserve"> </w:t>
      </w:r>
      <w:r>
        <w:t xml:space="preserve">étude de circulation, menée avec le propriétaire de la voie, qui alloue la marge entre</w:t>
      </w:r>
      <w:r>
        <w:t xml:space="preserve"> </w:t>
      </w:r>
      <w:r>
        <w:t xml:space="preserve">ses causes (fret, état de voie, passages à niveau, terminaux) et dimensionne les</w:t>
      </w:r>
      <w:r>
        <w:t xml:space="preserve"> </w:t>
      </w:r>
      <w:r>
        <w:t xml:space="preserve">interventions de capacité (liaisons rapides, sections de troisième voie, allongement</w:t>
      </w:r>
      <w:r>
        <w:t xml:space="preserve"> </w:t>
      </w:r>
      <w:r>
        <w:t xml:space="preserve">d’évitements). Tout ce que la présente étude compte en est l’intrant direct ; ses fourchettes en</w:t>
      </w:r>
      <w:r>
        <w:t xml:space="preserve"> </w:t>
      </w:r>
      <w:r>
        <w:t xml:space="preserve">bornent d’avance le résultat.</w:t>
      </w:r>
    </w:p>
    <w:bookmarkEnd w:id="28"/>
    <w:bookmarkStart w:id="74" w:name="références"/>
    <w:p>
      <w:pPr>
        <w:pStyle w:val="Heading1"/>
      </w:pPr>
      <w:r>
        <w:t xml:space="preserve">Références</w:t>
      </w:r>
    </w:p>
    <w:bookmarkStart w:id="73" w:name="refs"/>
    <w:bookmarkStart w:id="30" w:name="ref-alto2025"/>
    <w:p>
      <w:pPr>
        <w:pStyle w:val="Bibliography"/>
      </w:pPr>
      <w:r>
        <w:t xml:space="preserve">Alto. (2025).</w:t>
      </w:r>
      <w:r>
        <w:t xml:space="preserve"> </w:t>
      </w:r>
      <w:r>
        <w:rPr>
          <w:i/>
          <w:iCs/>
        </w:rPr>
        <w:t xml:space="preserve">About Alto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https://www.altotrain.ca/en/about-alto</w:t>
        </w:r>
      </w:hyperlink>
    </w:p>
    <w:bookmarkEnd w:id="30"/>
    <w:bookmarkStart w:id="32" w:name="ref-amtrakoig2019"/>
    <w:p>
      <w:pPr>
        <w:pStyle w:val="Bibliography"/>
      </w:pPr>
      <w:r>
        <w:t xml:space="preserve">Amtrak Office of Inspector General. (2019).</w:t>
      </w:r>
      <w:r>
        <w:t xml:space="preserve"> </w:t>
      </w:r>
      <w:r>
        <w:rPr>
          <w:i/>
          <w:iCs/>
        </w:rPr>
        <w:t xml:space="preserve">Train operations : Better estimates needed of the financial impacts of poor on-time performance</w:t>
      </w:r>
      <w:r>
        <w:t xml:space="preserve"> </w:t>
      </w:r>
      <w:r>
        <w:t xml:space="preserve">(OIG-A-2020-001). Amtrak OIG.</w:t>
      </w:r>
      <w:r>
        <w:t xml:space="preserve"> </w:t>
      </w:r>
      <w:hyperlink r:id="rId31">
        <w:r>
          <w:rPr>
            <w:rStyle w:val="Hyperlink"/>
          </w:rPr>
          <w:t xml:space="preserve">https://amtrakoig.gov/sites/default/files/reports/OIG-A-2020-001%20OTP%20mandate.pdf</w:t>
        </w:r>
      </w:hyperlink>
    </w:p>
    <w:bookmarkEnd w:id="32"/>
    <w:bookmarkStart w:id="34" w:name="ref-canadianrail1976"/>
    <w:p>
      <w:pPr>
        <w:pStyle w:val="Bibliography"/>
      </w:pPr>
      <w:r>
        <w:t xml:space="preserve">Association canadienne d’histoire ferroviaire. (1976). The business car.</w:t>
      </w:r>
      <w:r>
        <w:t xml:space="preserve"> </w:t>
      </w:r>
      <w:r>
        <w:rPr>
          <w:i/>
          <w:iCs/>
        </w:rPr>
        <w:t xml:space="preserve">Canadian Rail</w:t>
      </w:r>
      <w:r>
        <w:t xml:space="preserve">, (296), 274.</w:t>
      </w:r>
      <w:r>
        <w:t xml:space="preserve"> </w:t>
      </w:r>
      <w:hyperlink r:id="rId33">
        <w:r>
          <w:rPr>
            <w:rStyle w:val="Hyperlink"/>
          </w:rPr>
          <w:t xml:space="preserve">https://exporail.org/canrail/canadian_rail_1962_1989/canadian-rail-296-1976.pdf</w:t>
        </w:r>
      </w:hyperlink>
    </w:p>
    <w:bookmarkEnd w:id="34"/>
    <w:bookmarkStart w:id="36" w:name="ref-bateman2015"/>
    <w:p>
      <w:pPr>
        <w:pStyle w:val="Bibliography"/>
      </w:pPr>
      <w:r>
        <w:t xml:space="preserve">Bateman, C. (2015).</w:t>
      </w:r>
      <w:r>
        <w:t xml:space="preserve"> </w:t>
      </w:r>
      <w:r>
        <w:rPr>
          <w:i/>
          <w:iCs/>
        </w:rPr>
        <w:t xml:space="preserve">Remembering the ill-fated</w:t>
      </w:r>
      <w:r>
        <w:rPr>
          <w:i/>
          <w:iCs/>
        </w:rPr>
        <w:t xml:space="preserve"> </w:t>
      </w:r>
      <w:r>
        <w:rPr>
          <w:i/>
          <w:iCs/>
        </w:rPr>
        <w:t xml:space="preserve">CN</w:t>
      </w:r>
      <w:r>
        <w:rPr>
          <w:i/>
          <w:iCs/>
        </w:rPr>
        <w:t xml:space="preserve"> </w:t>
      </w:r>
      <w:r>
        <w:rPr>
          <w:i/>
          <w:iCs/>
        </w:rPr>
        <w:t xml:space="preserve">Turbo train</w:t>
      </w:r>
      <w:r>
        <w:t xml:space="preserve">. Spacing Toronto.</w:t>
      </w:r>
      <w:r>
        <w:t xml:space="preserve"> </w:t>
      </w:r>
      <w:hyperlink r:id="rId35">
        <w:r>
          <w:rPr>
            <w:rStyle w:val="Hyperlink"/>
          </w:rPr>
          <w:t xml:space="preserve">https://spacing.ca/toronto/2015/12/09/53711/</w:t>
        </w:r>
      </w:hyperlink>
    </w:p>
    <w:bookmarkEnd w:id="36"/>
    <w:bookmarkStart w:id="38" w:name="ref-bienaime2009sealed"/>
    <w:p>
      <w:pPr>
        <w:pStyle w:val="Bibliography"/>
      </w:pPr>
      <w:r>
        <w:t xml:space="preserve">Bien-Aime, P. (2009).</w:t>
      </w:r>
      <w:r>
        <w:t xml:space="preserve"> </w:t>
      </w:r>
      <w:r>
        <w:rPr>
          <w:i/>
          <w:iCs/>
        </w:rPr>
        <w:t xml:space="preserve">North Carolina</w:t>
      </w:r>
      <w:r>
        <w:rPr>
          <w:i/>
          <w:iCs/>
        </w:rPr>
        <w:t xml:space="preserve"> </w:t>
      </w:r>
      <w:r>
        <w:rPr>
          <w:i/>
          <w:iCs/>
        </w:rPr>
        <w:t xml:space="preserve">«</w:t>
      </w:r>
      <w:r>
        <w:rPr>
          <w:i/>
          <w:iCs/>
        </w:rPr>
        <w:t xml:space="preserve"> </w:t>
      </w:r>
      <w:r>
        <w:rPr>
          <w:i/>
          <w:iCs/>
        </w:rPr>
        <w:t xml:space="preserve">Sealed Corridor</w:t>
      </w:r>
      <w:r>
        <w:rPr>
          <w:i/>
          <w:iCs/>
        </w:rPr>
        <w:t xml:space="preserve"> </w:t>
      </w:r>
      <w:r>
        <w:rPr>
          <w:i/>
          <w:iCs/>
        </w:rPr>
        <w:t xml:space="preserve">»</w:t>
      </w:r>
      <w:r>
        <w:rPr>
          <w:i/>
          <w:iCs/>
        </w:rPr>
        <w:t xml:space="preserve"> </w:t>
      </w:r>
      <w:r>
        <w:rPr>
          <w:i/>
          <w:iCs/>
        </w:rPr>
        <w:t xml:space="preserve">Phase I, II, and III assessment</w:t>
      </w:r>
      <w:r>
        <w:t xml:space="preserve"> </w:t>
      </w:r>
      <w:r>
        <w:t xml:space="preserve">(DOT/FRA/ORD-09/17). Federal Railroad Administration, U.S. Department of Transportation.</w:t>
      </w:r>
      <w:r>
        <w:t xml:space="preserve"> </w:t>
      </w:r>
      <w:hyperlink r:id="rId37">
        <w:r>
          <w:rPr>
            <w:rStyle w:val="Hyperlink"/>
          </w:rPr>
          <w:t xml:space="preserve">https://railroads.dot.gov/sites/fra.dot.gov/files/fra_net/300/ord0917.pdf</w:t>
        </w:r>
      </w:hyperlink>
    </w:p>
    <w:bookmarkEnd w:id="38"/>
    <w:bookmarkStart w:id="39" w:name="ref-cn2002mr1305"/>
    <w:p>
      <w:pPr>
        <w:pStyle w:val="Bibliography"/>
      </w:pPr>
      <w:r>
        <w:t xml:space="preserve">Canadien National. (2002).</w:t>
      </w:r>
      <w:r>
        <w:t xml:space="preserve"> </w:t>
      </w:r>
      <w:r>
        <w:rPr>
          <w:i/>
          <w:iCs/>
        </w:rPr>
        <w:t xml:space="preserve">MR 1305-0 : méthode de calcul des vitesses en courbe</w:t>
      </w:r>
      <w:r>
        <w:t xml:space="preserve"> </w:t>
      </w:r>
      <w:r>
        <w:t xml:space="preserve">[Circulaire technique interne]. Compagnie des chemins de fer nationaux du Canada.</w:t>
      </w:r>
    </w:p>
    <w:bookmarkEnd w:id="39"/>
    <w:bookmarkStart w:id="41" w:name="ref-cbc2025pilote"/>
    <w:p>
      <w:pPr>
        <w:pStyle w:val="Bibliography"/>
      </w:pPr>
      <w:r>
        <w:t xml:space="preserve">CBC News. (2025).</w:t>
      </w:r>
      <w:r>
        <w:t xml:space="preserve"> </w:t>
      </w:r>
      <w:r>
        <w:rPr>
          <w:i/>
          <w:iCs/>
        </w:rPr>
        <w:t xml:space="preserve">Via postpones direct</w:t>
      </w:r>
      <w:r>
        <w:rPr>
          <w:i/>
          <w:iCs/>
        </w:rPr>
        <w:t xml:space="preserve"> </w:t>
      </w:r>
      <w:r>
        <w:rPr>
          <w:i/>
          <w:iCs/>
        </w:rPr>
        <w:t xml:space="preserve">Montreal-Toronto</w:t>
      </w:r>
      <w:r>
        <w:rPr>
          <w:i/>
          <w:iCs/>
        </w:rPr>
        <w:t xml:space="preserve"> </w:t>
      </w:r>
      <w:r>
        <w:rPr>
          <w:i/>
          <w:iCs/>
        </w:rPr>
        <w:t xml:space="preserve">pilot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https://www.cbc.ca/news/canada/ottawa/via-montreal-toronto-pilot-that-skipped-eastern-ontario-postponed-1.7646512</w:t>
        </w:r>
      </w:hyperlink>
    </w:p>
    <w:bookmarkEnd w:id="41"/>
    <w:bookmarkStart w:id="43" w:name="ref-ecfr213-347"/>
    <w:p>
      <w:pPr>
        <w:pStyle w:val="Bibliography"/>
      </w:pPr>
      <w:r>
        <w:t xml:space="preserve">Federal Railroad Administration. (s. d.-a).</w:t>
      </w:r>
      <w:r>
        <w:t xml:space="preserve"> </w:t>
      </w:r>
      <w:r>
        <w:rPr>
          <w:i/>
          <w:iCs/>
        </w:rPr>
        <w:t xml:space="preserve">Automotive or railroad crossings at grade, 49 C.F.R. §213.347</w:t>
      </w:r>
      <w:r>
        <w:t xml:space="preserve">. Electronic Code of Federal Regulations. Consulté</w:t>
      </w:r>
      <w:r>
        <w:t xml:space="preserve"> </w:t>
      </w:r>
      <w:hyperlink r:id="rId42">
        <w:r>
          <w:rPr>
            <w:rStyle w:val="Hyperlink"/>
          </w:rPr>
          <w:t xml:space="preserve">https://www.ecfr.gov/current/title-49/section-213.347</w:t>
        </w:r>
      </w:hyperlink>
    </w:p>
    <w:bookmarkEnd w:id="43"/>
    <w:bookmarkStart w:id="45" w:name="ref-fra-lrc-152"/>
    <w:p>
      <w:pPr>
        <w:pStyle w:val="Bibliography"/>
      </w:pPr>
      <w:r>
        <w:t xml:space="preserve">Federal Railroad Administration. (s. d.-b).</w:t>
      </w:r>
      <w:r>
        <w:t xml:space="preserve"> </w:t>
      </w:r>
      <w:r>
        <w:rPr>
          <w:i/>
          <w:iCs/>
        </w:rPr>
        <w:t xml:space="preserve">Mixed freight and higher-speed passenger trains : Superelevation</w:t>
      </w:r>
      <w:r>
        <w:t xml:space="preserve">. U.S. Department of Transportation. Consulté</w:t>
      </w:r>
      <w:r>
        <w:t xml:space="preserve"> </w:t>
      </w:r>
      <w:hyperlink r:id="rId44">
        <w:r>
          <w:rPr>
            <w:rStyle w:val="Hyperlink"/>
          </w:rPr>
          <w:t xml:space="preserve">https://railroads.dot.gov/sites/fra.dot.gov/files/fra_net/19085/Superelevation.pdf</w:t>
        </w:r>
      </w:hyperlink>
    </w:p>
    <w:bookmarkEnd w:id="45"/>
    <w:bookmarkStart w:id="47" w:name="ref-fra2024itcs"/>
    <w:p>
      <w:pPr>
        <w:pStyle w:val="Bibliography"/>
      </w:pPr>
      <w:r>
        <w:t xml:space="preserve">Federal Railroad Administration. (2024).</w:t>
      </w:r>
      <w:r>
        <w:t xml:space="preserve"> </w:t>
      </w:r>
      <w:r>
        <w:rPr>
          <w:i/>
          <w:iCs/>
        </w:rPr>
        <w:t xml:space="preserve">Incremental Train Control System</w:t>
      </w:r>
      <w:r>
        <w:t xml:space="preserve">. U.S. Department of Transportation.</w:t>
      </w:r>
      <w:r>
        <w:t xml:space="preserve"> </w:t>
      </w:r>
      <w:hyperlink r:id="rId46">
        <w:r>
          <w:rPr>
            <w:rStyle w:val="Hyperlink"/>
          </w:rPr>
          <w:t xml:space="preserve">https://railroads.dot.gov/research-development/program-areas/train-control/ptc/incremental-train-control-system</w:t>
        </w:r>
      </w:hyperlink>
    </w:p>
    <w:bookmarkEnd w:id="47"/>
    <w:bookmarkStart w:id="49" w:name="ref-via2024requete"/>
    <w:p>
      <w:pPr>
        <w:pStyle w:val="Bibliography"/>
      </w:pPr>
      <w:r>
        <w:t xml:space="preserve">La Presse Canadienne. (2024).</w:t>
      </w:r>
      <w:r>
        <w:t xml:space="preserve"> </w:t>
      </w:r>
      <w:r>
        <w:rPr>
          <w:i/>
          <w:iCs/>
        </w:rPr>
        <w:t xml:space="preserve">Via Rail seeks judicial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CN</w:t>
      </w:r>
      <w:r>
        <w:rPr>
          <w:i/>
          <w:iCs/>
        </w:rPr>
        <w:t xml:space="preserve"> </w:t>
      </w:r>
      <w:r>
        <w:rPr>
          <w:i/>
          <w:iCs/>
        </w:rPr>
        <w:t xml:space="preserve">Rail’s speed restrictions</w:t>
      </w:r>
      <w:r>
        <w:t xml:space="preserve">. Global News.</w:t>
      </w:r>
      <w:r>
        <w:t xml:space="preserve"> </w:t>
      </w:r>
      <w:hyperlink r:id="rId48">
        <w:r>
          <w:rPr>
            <w:rStyle w:val="Hyperlink"/>
          </w:rPr>
          <w:t xml:space="preserve">https://globalnews.ca/news/10868587/via-rail-judicial-review-cn-rail-speed-restrictions/</w:t>
        </w:r>
      </w:hyperlink>
    </w:p>
    <w:bookmarkEnd w:id="49"/>
    <w:bookmarkStart w:id="51" w:name="ref-osm2026geofabrik"/>
    <w:p>
      <w:pPr>
        <w:pStyle w:val="Bibliography"/>
      </w:pPr>
      <w:r>
        <w:t xml:space="preserve">OpenStreetMap contributors. (2026).</w:t>
      </w:r>
      <w:r>
        <w:t xml:space="preserve"> </w:t>
      </w:r>
      <w:r>
        <w:rPr>
          <w:i/>
          <w:iCs/>
        </w:rPr>
        <w:t xml:space="preserve">Extraits</w:t>
      </w:r>
      <w:r>
        <w:rPr>
          <w:i/>
          <w:iCs/>
        </w:rPr>
        <w:t xml:space="preserve"> </w:t>
      </w:r>
      <w:r>
        <w:rPr>
          <w:i/>
          <w:iCs/>
        </w:rPr>
        <w:t xml:space="preserve">Ontario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Québec</w:t>
      </w:r>
      <w:r>
        <w:t xml:space="preserve">. Données cartographiques, Geofabrik.</w:t>
      </w:r>
      <w:r>
        <w:t xml:space="preserve"> </w:t>
      </w:r>
      <w:hyperlink r:id="rId50">
        <w:r>
          <w:rPr>
            <w:rStyle w:val="Hyperlink"/>
          </w:rPr>
          <w:t xml:space="preserve">https://download.geofabrik.de/</w:t>
        </w:r>
      </w:hyperlink>
    </w:p>
    <w:bookmarkEnd w:id="51"/>
    <w:bookmarkStart w:id="53" w:name="ref-schittenhelm2011"/>
    <w:p>
      <w:pPr>
        <w:pStyle w:val="Bibliography"/>
      </w:pPr>
      <w:r>
        <w:t xml:space="preserve">Schittenhelm, B. (2011). Planning with timetable supplements in railway timetables.</w:t>
      </w:r>
      <w:r>
        <w:t xml:space="preserve"> </w:t>
      </w:r>
      <w:r>
        <w:rPr>
          <w:i/>
          <w:iCs/>
        </w:rPr>
        <w:t xml:space="preserve">Trafikdage på Aalborg Universitet 2011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https://journals.aau.dk/index.php/td/article/download/5554/4887</w:t>
        </w:r>
      </w:hyperlink>
    </w:p>
    <w:bookmarkEnd w:id="53"/>
    <w:bookmarkStart w:id="55" w:name="ref-sncf2023drr"/>
    <w:p>
      <w:pPr>
        <w:pStyle w:val="Bibliography"/>
      </w:pPr>
      <w:r>
        <w:t xml:space="preserve">SNCF Réseau. (2023).</w:t>
      </w:r>
      <w:r>
        <w:t xml:space="preserve"> </w:t>
      </w:r>
      <w:r>
        <w:rPr>
          <w:i/>
          <w:iCs/>
        </w:rPr>
        <w:t xml:space="preserve">Document de référence du réseau : annexe 4.1, horaire de service 2025</w:t>
      </w:r>
      <w:r>
        <w:t xml:space="preserve">. SNCF Réseau.</w:t>
      </w:r>
      <w:r>
        <w:t xml:space="preserve"> </w:t>
      </w:r>
      <w:hyperlink r:id="rId54">
        <w:r>
          <w:rPr>
            <w:rStyle w:val="Hyperlink"/>
          </w:rPr>
          <w:t xml:space="preserve">https://www.sncf-reseau.com/medias-publics/2023-12/DRR2025-annexe-4-1.pdf</w:t>
        </w:r>
      </w:hyperlink>
    </w:p>
    <w:bookmarkEnd w:id="55"/>
    <w:bookmarkStart w:id="57" w:name="ref-trafikverket2025jnb"/>
    <w:p>
      <w:pPr>
        <w:pStyle w:val="Bibliography"/>
      </w:pPr>
      <w:r>
        <w:t xml:space="preserve">Trafikverket. (2025).</w:t>
      </w:r>
      <w:r>
        <w:t xml:space="preserve"> </w:t>
      </w:r>
      <w:r>
        <w:rPr>
          <w:i/>
          <w:iCs/>
        </w:rPr>
        <w:t xml:space="preserve">Järnvägsnätsbeskrivning 2027, annexe 4 D : Kvalitetstillägg</w:t>
      </w:r>
      <w:r>
        <w:t xml:space="preserve">. Trafikverket.</w:t>
      </w:r>
      <w:r>
        <w:t xml:space="preserve"> </w:t>
      </w:r>
      <w:hyperlink r:id="rId56">
        <w:r>
          <w:rPr>
            <w:rStyle w:val="Hyperlink"/>
          </w:rPr>
          <w:t xml:space="preserve">https://bransch.trafikverket.se/contentassets/6526f430ae7f489aae8e88c06f2eef6b/jnb-2027-2025-12-05.pdf</w:t>
        </w:r>
      </w:hyperlink>
    </w:p>
    <w:bookmarkEnd w:id="57"/>
    <w:bookmarkStart w:id="59" w:name="ref-tc2022rrts"/>
    <w:p>
      <w:pPr>
        <w:pStyle w:val="Bibliography"/>
      </w:pPr>
      <w:r>
        <w:t xml:space="preserve">Transports Canada. (2022).</w:t>
      </w:r>
      <w:r>
        <w:t xml:space="preserve"> </w:t>
      </w:r>
      <w:r>
        <w:rPr>
          <w:i/>
          <w:iCs/>
        </w:rPr>
        <w:t xml:space="preserve">Règlement concernant la sécurité de la voie (</w:t>
      </w:r>
      <w:r>
        <w:rPr>
          <w:i/>
          <w:iCs/>
        </w:rPr>
        <w:t xml:space="preserve">Rules Respecting Track Safety</w:t>
      </w:r>
      <w:r>
        <w:rPr>
          <w:i/>
          <w:iCs/>
        </w:rPr>
        <w:t xml:space="preserve">), partie II, Subpart C : Track geometry</w:t>
      </w:r>
      <w:r>
        <w:t xml:space="preserve">. Gouvernement du Canada.</w:t>
      </w:r>
      <w:r>
        <w:t xml:space="preserve"> </w:t>
      </w:r>
      <w:hyperlink r:id="rId58">
        <w:r>
          <w:rPr>
            <w:rStyle w:val="Hyperlink"/>
          </w:rPr>
          <w:t xml:space="preserve">https://tc.canada.ca/en/rail-transportation/rules/2022-2023/rules-respecting-track-safety/subpart-c</w:t>
        </w:r>
      </w:hyperlink>
    </w:p>
    <w:bookmarkEnd w:id="59"/>
    <w:bookmarkStart w:id="61" w:name="ref-tc2023inventairepn"/>
    <w:p>
      <w:pPr>
        <w:pStyle w:val="Bibliography"/>
      </w:pPr>
      <w:r>
        <w:t xml:space="preserve">Transports Canada. (2023).</w:t>
      </w:r>
      <w:r>
        <w:t xml:space="preserve"> </w:t>
      </w:r>
      <w:r>
        <w:rPr>
          <w:i/>
          <w:iCs/>
        </w:rPr>
        <w:t xml:space="preserve">Inventaire des passages à niveau</w:t>
      </w:r>
      <w:r>
        <w:t xml:space="preserve">. Jeu de données, Gouvernement du Canada, Portail du gouvernement ouvert.</w:t>
      </w:r>
      <w:r>
        <w:t xml:space="preserve"> </w:t>
      </w:r>
      <w:hyperlink r:id="rId60">
        <w:r>
          <w:rPr>
            <w:rStyle w:val="Hyperlink"/>
          </w:rPr>
          <w:t xml:space="preserve">https://ouvert.canada.ca/data/fr/dataset/d0f54727-6c0b-4e5a-aa04-ea1463cf9f4c</w:t>
        </w:r>
      </w:hyperlink>
    </w:p>
    <w:bookmarkEnd w:id="61"/>
    <w:bookmarkStart w:id="63" w:name="ref-tc2025gcp"/>
    <w:p>
      <w:pPr>
        <w:pStyle w:val="Bibliography"/>
      </w:pPr>
      <w:r>
        <w:t xml:space="preserve">Transports Canada. (2025).</w:t>
      </w:r>
      <w:r>
        <w:t xml:space="preserve"> </w:t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i/>
          <w:iCs/>
        </w:rPr>
        <w:t xml:space="preserve">PIC</w:t>
      </w:r>
      <w:r>
        <w:rPr>
          <w:i/>
          <w:iCs/>
        </w:rPr>
        <w:t xml:space="preserve"> </w:t>
      </w:r>
      <w:r>
        <w:rPr>
          <w:i/>
          <w:iCs/>
        </w:rPr>
        <w:t xml:space="preserve">— Operating restrictions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VIA Rail</w:t>
      </w:r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Quebec City-Windsor</w:t>
      </w:r>
      <w:r>
        <w:rPr>
          <w:i/>
          <w:iCs/>
        </w:rPr>
        <w:t xml:space="preserve"> </w:t>
      </w:r>
      <w:r>
        <w:rPr>
          <w:i/>
          <w:iCs/>
        </w:rPr>
        <w:t xml:space="preserve">corridor</w:t>
      </w:r>
      <w:r>
        <w:t xml:space="preserve">. Cahier de transition, Gouvernement du Canada.</w:t>
      </w:r>
      <w:r>
        <w:t xml:space="preserve"> </w:t>
      </w:r>
      <w:hyperlink r:id="rId62">
        <w:r>
          <w:rPr>
            <w:rStyle w:val="Hyperlink"/>
          </w:rPr>
          <w:t xml:space="preserve">https://tc.canada.ca/en/binder/3-pic-operating-restrictions-via-rail-quebec-city-windsor-corridor</w:t>
        </w:r>
      </w:hyperlink>
    </w:p>
    <w:bookmarkEnd w:id="63"/>
    <w:bookmarkStart w:id="64" w:name="ref-uic2000f451"/>
    <w:p>
      <w:pPr>
        <w:pStyle w:val="Bibliography"/>
      </w:pPr>
      <w:r>
        <w:t xml:space="preserve">Union internationale des chemins de fer. (2000).</w:t>
      </w:r>
      <w:r>
        <w:t xml:space="preserve"> </w:t>
      </w:r>
      <w:r>
        <w:rPr>
          <w:i/>
          <w:iCs/>
        </w:rPr>
        <w:t xml:space="preserve">Marges de régularité à prévoir dans les horaires dans le but de garantir la ponctualité du service : marges de régularité</w:t>
      </w:r>
      <w:r>
        <w:t xml:space="preserve"> </w:t>
      </w:r>
      <w:r>
        <w:t xml:space="preserve">[Fiche UIC 451-1/F/4, 4e \'ed.]. UIC.</w:t>
      </w:r>
    </w:p>
    <w:bookmarkEnd w:id="64"/>
    <w:bookmarkStart w:id="66" w:name="ref-via2009lrc"/>
    <w:p>
      <w:pPr>
        <w:pStyle w:val="Bibliography"/>
      </w:pPr>
      <w:r>
        <w:t xml:space="preserve">VIA Rail Canada. (2009).</w:t>
      </w:r>
      <w:r>
        <w:t xml:space="preserve"> </w:t>
      </w:r>
      <w:r>
        <w:rPr>
          <w:i/>
          <w:iCs/>
        </w:rPr>
        <w:t xml:space="preserve">An all-</w:t>
      </w:r>
      <w:r>
        <w:rPr>
          <w:i/>
          <w:iCs/>
        </w:rPr>
        <w:t xml:space="preserve">Canadian</w:t>
      </w:r>
      <w:r>
        <w:rPr>
          <w:i/>
          <w:iCs/>
        </w:rPr>
        <w:t xml:space="preserve"> </w:t>
      </w:r>
      <w:r>
        <w:rPr>
          <w:i/>
          <w:iCs/>
        </w:rPr>
        <w:t xml:space="preserve">rail innovation from roof to wheels</w:t>
      </w:r>
      <w:r>
        <w:t xml:space="preserve">. Document d’information.</w:t>
      </w:r>
      <w:r>
        <w:t xml:space="preserve"> </w:t>
      </w:r>
      <w:hyperlink r:id="rId65">
        <w:r>
          <w:rPr>
            <w:rStyle w:val="Hyperlink"/>
          </w:rPr>
          <w:t xml:space="preserve">https://www.viarail.ca/sites/all/files/media/pdfs/About_VIA/our-company/capital-investment-plan/BK090501E%20-%20VIA%20LRC.pdf</w:t>
        </w:r>
      </w:hyperlink>
    </w:p>
    <w:bookmarkEnd w:id="66"/>
    <w:bookmarkStart w:id="68" w:name="ref-via2025rapportannuel"/>
    <w:p>
      <w:pPr>
        <w:pStyle w:val="Bibliography"/>
      </w:pPr>
      <w:r>
        <w:t xml:space="preserve">VIA Rail Canada. (2025a).</w:t>
      </w:r>
      <w:r>
        <w:t xml:space="preserve"> </w:t>
      </w:r>
      <w:r>
        <w:rPr>
          <w:i/>
          <w:iCs/>
        </w:rPr>
        <w:t xml:space="preserve">Rapport annuel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https://media.viarail.ca/sites/default/files/publications/VIA-Rail_Annual-Report_2024.pdf</w:t>
        </w:r>
      </w:hyperlink>
    </w:p>
    <w:bookmarkEnd w:id="68"/>
    <w:bookmarkStart w:id="70" w:name="ref-via2025t1"/>
    <w:p>
      <w:pPr>
        <w:pStyle w:val="Bibliography"/>
      </w:pPr>
      <w:r>
        <w:t xml:space="preserve">VIA Rail Canada. (2025b).</w:t>
      </w:r>
      <w:r>
        <w:t xml:space="preserve"> </w:t>
      </w:r>
      <w:r>
        <w:rPr>
          <w:i/>
          <w:iCs/>
        </w:rPr>
        <w:t xml:space="preserve">Rapport du premier trimestre 2025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https://media.viarail.ca/sites/default/files/publications/2025_VIA-Rail_First-Quarter-Report.pdf</w:t>
        </w:r>
      </w:hyperlink>
    </w:p>
    <w:bookmarkEnd w:id="70"/>
    <w:bookmarkStart w:id="72" w:name="ref-viarail2026gtfs"/>
    <w:p>
      <w:pPr>
        <w:pStyle w:val="Bibliography"/>
      </w:pPr>
      <w:r>
        <w:t xml:space="preserve">VIA Rail Canada. (2026).</w:t>
      </w:r>
      <w:r>
        <w:t xml:space="preserve"> </w:t>
      </w:r>
      <w:r>
        <w:rPr>
          <w:i/>
          <w:iCs/>
        </w:rPr>
        <w:t xml:space="preserve">Données</w:t>
      </w:r>
      <w:r>
        <w:rPr>
          <w:i/>
          <w:iCs/>
        </w:rPr>
        <w:t xml:space="preserve"> </w:t>
      </w:r>
      <w:r>
        <w:rPr>
          <w:i/>
          <w:iCs/>
        </w:rPr>
        <w:t xml:space="preserve">GTFS</w:t>
      </w:r>
      <w:r>
        <w:rPr>
          <w:i/>
          <w:iCs/>
        </w:rPr>
        <w:t xml:space="preserve"> </w:t>
      </w:r>
      <w:r>
        <w:rPr>
          <w:i/>
          <w:iCs/>
        </w:rPr>
        <w:t xml:space="preserve">du réseau</w:t>
      </w:r>
      <w:r>
        <w:rPr>
          <w:i/>
          <w:iCs/>
        </w:rPr>
        <w:t xml:space="preserve"> </w:t>
      </w:r>
      <w:r>
        <w:rPr>
          <w:i/>
          <w:iCs/>
        </w:rPr>
        <w:t xml:space="preserve">VIA Rail</w:t>
      </w:r>
      <w:r>
        <w:t xml:space="preserve">. Jeu de données.</w:t>
      </w:r>
      <w:r>
        <w:t xml:space="preserve"> </w:t>
      </w:r>
      <w:hyperlink r:id="rId71">
        <w:r>
          <w:rPr>
            <w:rStyle w:val="Hyperlink"/>
          </w:rPr>
          <w:t xml:space="preserve">https://www.viarail.ca/fr/developpeurs</w:t>
        </w:r>
      </w:hyperlink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hyperlink" Id="rId31" Target="https://amtrakoig.gov/sites/default/files/reports/OIG-A-2020-001%20OTP%20mandate.pdf" TargetMode="External" /><Relationship Type="http://schemas.openxmlformats.org/officeDocument/2006/relationships/hyperlink" Id="rId56" Target="https://bransch.trafikverket.se/contentassets/6526f430ae7f489aae8e88c06f2eef6b/jnb-2027-2025-12-05.pdf" TargetMode="External" /><Relationship Type="http://schemas.openxmlformats.org/officeDocument/2006/relationships/hyperlink" Id="rId50" Target="https://download.geofabrik.de/" TargetMode="External" /><Relationship Type="http://schemas.openxmlformats.org/officeDocument/2006/relationships/hyperlink" Id="rId33" Target="https://exporail.org/canrail/canadian_rail_1962_1989/canadian-rail-296-1976.pdf" TargetMode="External" /><Relationship Type="http://schemas.openxmlformats.org/officeDocument/2006/relationships/hyperlink" Id="rId48" Target="https://globalnews.ca/news/10868587/via-rail-judicial-review-cn-rail-speed-restrictions/" TargetMode="External" /><Relationship Type="http://schemas.openxmlformats.org/officeDocument/2006/relationships/hyperlink" Id="rId52" Target="https://journals.aau.dk/index.php/td/article/download/5554/4887" TargetMode="External" /><Relationship Type="http://schemas.openxmlformats.org/officeDocument/2006/relationships/hyperlink" Id="rId69" Target="https://media.viarail.ca/sites/default/files/publications/2025_VIA-Rail_First-Quarter-Report.pdf" TargetMode="External" /><Relationship Type="http://schemas.openxmlformats.org/officeDocument/2006/relationships/hyperlink" Id="rId67" Target="https://media.viarail.ca/sites/default/files/publications/VIA-Rail_Annual-Report_2024.pdf" TargetMode="External" /><Relationship Type="http://schemas.openxmlformats.org/officeDocument/2006/relationships/hyperlink" Id="rId60" Target="https://ouvert.canada.ca/data/fr/dataset/d0f54727-6c0b-4e5a-aa04-ea1463cf9f4c" TargetMode="External" /><Relationship Type="http://schemas.openxmlformats.org/officeDocument/2006/relationships/hyperlink" Id="rId46" Target="https://railroads.dot.gov/research-development/program-areas/train-control/ptc/incremental-train-control-system" TargetMode="External" /><Relationship Type="http://schemas.openxmlformats.org/officeDocument/2006/relationships/hyperlink" Id="rId44" Target="https://railroads.dot.gov/sites/fra.dot.gov/files/fra_net/19085/Superelevation.pdf" TargetMode="External" /><Relationship Type="http://schemas.openxmlformats.org/officeDocument/2006/relationships/hyperlink" Id="rId37" Target="https://railroads.dot.gov/sites/fra.dot.gov/files/fra_net/300/ord0917.pdf" TargetMode="External" /><Relationship Type="http://schemas.openxmlformats.org/officeDocument/2006/relationships/hyperlink" Id="rId35" Target="https://spacing.ca/toronto/2015/12/09/53711/" TargetMode="External" /><Relationship Type="http://schemas.openxmlformats.org/officeDocument/2006/relationships/hyperlink" Id="rId62" Target="https://tc.canada.ca/en/binder/3-pic-operating-restrictions-via-rail-quebec-city-windsor-corridor" TargetMode="External" /><Relationship Type="http://schemas.openxmlformats.org/officeDocument/2006/relationships/hyperlink" Id="rId58" Target="https://tc.canada.ca/en/rail-transportation/rules/2022-2023/rules-respecting-track-safety/subpart-c" TargetMode="External" /><Relationship Type="http://schemas.openxmlformats.org/officeDocument/2006/relationships/hyperlink" Id="rId29" Target="https://www.altotrain.ca/en/about-alto" TargetMode="External" /><Relationship Type="http://schemas.openxmlformats.org/officeDocument/2006/relationships/hyperlink" Id="rId40" Target="https://www.cbc.ca/news/canada/ottawa/via-montreal-toronto-pilot-that-skipped-eastern-ontario-postponed-1.7646512" TargetMode="External" /><Relationship Type="http://schemas.openxmlformats.org/officeDocument/2006/relationships/hyperlink" Id="rId42" Target="https://www.ecfr.gov/current/title-49/section-213.347" TargetMode="External" /><Relationship Type="http://schemas.openxmlformats.org/officeDocument/2006/relationships/hyperlink" Id="rId54" Target="https://www.sncf-reseau.com/medias-publics/2023-12/DRR2025-annexe-4-1.pdf" TargetMode="External" /><Relationship Type="http://schemas.openxmlformats.org/officeDocument/2006/relationships/hyperlink" Id="rId71" Target="https://www.viarail.ca/fr/developpeurs" TargetMode="External" /><Relationship Type="http://schemas.openxmlformats.org/officeDocument/2006/relationships/hyperlink" Id="rId65" Target="https://www.viarail.ca/sites/all/files/media/pdfs/About_VIA/our-company/capital-investment-plan/BK090501E%20-%20VIA%20LR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mtrakoig.gov/sites/default/files/reports/OIG-A-2020-001%20OTP%20mandate.pdf" TargetMode="External" /><Relationship Type="http://schemas.openxmlformats.org/officeDocument/2006/relationships/hyperlink" Id="rId56" Target="https://bransch.trafikverket.se/contentassets/6526f430ae7f489aae8e88c06f2eef6b/jnb-2027-2025-12-05.pdf" TargetMode="External" /><Relationship Type="http://schemas.openxmlformats.org/officeDocument/2006/relationships/hyperlink" Id="rId50" Target="https://download.geofabrik.de/" TargetMode="External" /><Relationship Type="http://schemas.openxmlformats.org/officeDocument/2006/relationships/hyperlink" Id="rId33" Target="https://exporail.org/canrail/canadian_rail_1962_1989/canadian-rail-296-1976.pdf" TargetMode="External" /><Relationship Type="http://schemas.openxmlformats.org/officeDocument/2006/relationships/hyperlink" Id="rId48" Target="https://globalnews.ca/news/10868587/via-rail-judicial-review-cn-rail-speed-restrictions/" TargetMode="External" /><Relationship Type="http://schemas.openxmlformats.org/officeDocument/2006/relationships/hyperlink" Id="rId52" Target="https://journals.aau.dk/index.php/td/article/download/5554/4887" TargetMode="External" /><Relationship Type="http://schemas.openxmlformats.org/officeDocument/2006/relationships/hyperlink" Id="rId69" Target="https://media.viarail.ca/sites/default/files/publications/2025_VIA-Rail_First-Quarter-Report.pdf" TargetMode="External" /><Relationship Type="http://schemas.openxmlformats.org/officeDocument/2006/relationships/hyperlink" Id="rId67" Target="https://media.viarail.ca/sites/default/files/publications/VIA-Rail_Annual-Report_2024.pdf" TargetMode="External" /><Relationship Type="http://schemas.openxmlformats.org/officeDocument/2006/relationships/hyperlink" Id="rId60" Target="https://ouvert.canada.ca/data/fr/dataset/d0f54727-6c0b-4e5a-aa04-ea1463cf9f4c" TargetMode="External" /><Relationship Type="http://schemas.openxmlformats.org/officeDocument/2006/relationships/hyperlink" Id="rId46" Target="https://railroads.dot.gov/research-development/program-areas/train-control/ptc/incremental-train-control-system" TargetMode="External" /><Relationship Type="http://schemas.openxmlformats.org/officeDocument/2006/relationships/hyperlink" Id="rId44" Target="https://railroads.dot.gov/sites/fra.dot.gov/files/fra_net/19085/Superelevation.pdf" TargetMode="External" /><Relationship Type="http://schemas.openxmlformats.org/officeDocument/2006/relationships/hyperlink" Id="rId37" Target="https://railroads.dot.gov/sites/fra.dot.gov/files/fra_net/300/ord0917.pdf" TargetMode="External" /><Relationship Type="http://schemas.openxmlformats.org/officeDocument/2006/relationships/hyperlink" Id="rId35" Target="https://spacing.ca/toronto/2015/12/09/53711/" TargetMode="External" /><Relationship Type="http://schemas.openxmlformats.org/officeDocument/2006/relationships/hyperlink" Id="rId62" Target="https://tc.canada.ca/en/binder/3-pic-operating-restrictions-via-rail-quebec-city-windsor-corridor" TargetMode="External" /><Relationship Type="http://schemas.openxmlformats.org/officeDocument/2006/relationships/hyperlink" Id="rId58" Target="https://tc.canada.ca/en/rail-transportation/rules/2022-2023/rules-respecting-track-safety/subpart-c" TargetMode="External" /><Relationship Type="http://schemas.openxmlformats.org/officeDocument/2006/relationships/hyperlink" Id="rId29" Target="https://www.altotrain.ca/en/about-alto" TargetMode="External" /><Relationship Type="http://schemas.openxmlformats.org/officeDocument/2006/relationships/hyperlink" Id="rId40" Target="https://www.cbc.ca/news/canada/ottawa/via-montreal-toronto-pilot-that-skipped-eastern-ontario-postponed-1.7646512" TargetMode="External" /><Relationship Type="http://schemas.openxmlformats.org/officeDocument/2006/relationships/hyperlink" Id="rId42" Target="https://www.ecfr.gov/current/title-49/section-213.347" TargetMode="External" /><Relationship Type="http://schemas.openxmlformats.org/officeDocument/2006/relationships/hyperlink" Id="rId54" Target="https://www.sncf-reseau.com/medias-publics/2023-12/DRR2025-annexe-4-1.pdf" TargetMode="External" /><Relationship Type="http://schemas.openxmlformats.org/officeDocument/2006/relationships/hyperlink" Id="rId71" Target="https://www.viarail.ca/fr/developpeurs" TargetMode="External" /><Relationship Type="http://schemas.openxmlformats.org/officeDocument/2006/relationships/hyperlink" Id="rId65" Target="https://www.viarail.ca/sites/all/files/media/pdfs/About_VIA/our-company/capital-investment-plan/BK090501E%20-%20VIA%20LR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Corridor Québec-Windsor : ce que la voie existante permet</dc:title>
  <dc:creator>Étude préparée pour François Rebello [AUTEUR À COMPLÉTER]</dc:creator>
  <dc:language>fr-CA</dc:language>
  <cp:keywords/>
  <dcterms:created xsi:type="dcterms:W3CDTF">2026-08-06T10:02:35Z</dcterms:created>
  <dcterms:modified xsi:type="dcterms:W3CDTF">2026-08-06T10:02:35Z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sources/refs.bib</vt:lpwstr>
  </property>
  <property fmtid="{D5CDD505-2E9C-101B-9397-08002B2CF9AE}" pid="3" name="csl">
    <vt:lpwstr>sources/apa.csl</vt:lpwstr>
  </property>
  <property fmtid="{D5CDD505-2E9C-101B-9397-08002B2CF9AE}" pid="4" name="date">
    <vt:lpwstr>Brouillon, août 2026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subtitle">
    <vt:lpwstr>Temps de parcours par scénario de modernisation, et ce qui les retient : géométrie, passages à niveau, signalisation, doublement et régime de cohabitation</vt:lpwstr>
  </property>
</Properties>
</file>