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Trois scénarios de modernisation sur la voie actuelle : temps de parcours, conditions, et mise en regard avec le projet ALTO</w:t>
      </w:r>
    </w:p>
    <w:p>
      <w:pPr>
        <w:pStyle w:val="Author"/>
      </w:pPr>
      <w:r>
        <w:t xml:space="preserve">Étude préparée pour Vision Transport par Vincent Duguay</w:t>
      </w:r>
    </w:p>
    <w:p>
      <w:pPr>
        <w:pStyle w:val="Date"/>
      </w:pPr>
      <w:r>
        <w:t xml:space="preserve">Août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la voie qui existe déjà, si on la modernisait? À travers trois scénarios d’amélioration de service, nous examinons le potentiel de cette alternative et les composantes qui la rendent possible.</w:t>
      </w:r>
    </w:p>
    <w:p>
      <w:pPr>
        <w:pStyle w:val="Compact"/>
        <w:numPr>
          <w:ilvl w:val="0"/>
          <w:numId w:val="1001"/>
        </w:numPr>
      </w:pPr>
      <w:r>
        <w:rPr>
          <w:b/>
          <w:bCs/>
        </w:rPr>
        <w:t xml:space="preserve">Scénario 1 : train pendulaire et dévers de 127 mm (5 po).</w:t>
      </w:r>
      <w:r>
        <w:t xml:space="preserve"> </w:t>
      </w:r>
      <w:r>
        <w:t xml:space="preserve">Un train qui s’incline dans les courbes, une signalisation modernisée, des passages à niveau sécurisés et une voie mieux inclinée. Aucune courbe n’est reconstruite. Ce scénario n’analyse pas l’impact de la modernisation sur les zones urbaines, où aucun gain de temps n’est accordé.</w:t>
      </w:r>
    </w:p>
    <w:p>
      <w:pPr>
        <w:pStyle w:val="Compact"/>
        <w:numPr>
          <w:ilvl w:val="0"/>
          <w:numId w:val="1001"/>
        </w:numPr>
      </w:pPr>
      <w:r>
        <w:rPr>
          <w:b/>
          <w:bCs/>
        </w:rPr>
        <w:t xml:space="preserve">Scénario 2 : pendulaire et zones urbaines modernisées.</w:t>
      </w:r>
      <w:r>
        <w:t xml:space="preserve"> </w:t>
      </w:r>
      <w:r>
        <w:t xml:space="preserve">Le scénario 1, auquel on ajoute les gains de temps urbains provenant de la modernisation, sous la même formule que les zones interurbaines. Celui-ci est présenté séparément puisque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 un œil expert sera nécessaire pour évaluer le détail dans les études suivantes.</w:t>
      </w:r>
    </w:p>
    <w:p>
      <w:pPr>
        <w:pStyle w:val="Compact"/>
        <w:numPr>
          <w:ilvl w:val="0"/>
          <w:numId w:val="1001"/>
        </w:numPr>
      </w:pPr>
      <w:r>
        <w:rPr>
          <w:b/>
          <w:bCs/>
        </w:rPr>
        <w:t xml:space="preserve">Scénario 3 : pendulaire, zones urbaines incluses et courbes corrigées au doublement.</w:t>
      </w:r>
      <w:r>
        <w:t xml:space="preserve"> </w:t>
      </w:r>
      <w:r>
        <w:t xml:space="preserve">Le scénario 2, plus une chose : quand on ajoute une deuxième voie sur les sections qui n’en ont qu’une, on en profite pour adoucir les courbes qui s’y trouvent. Cette rectification n’est pas possible partout et dépend des réalités locales (notamment la disponibilité de l’emprise) ; les chiffres présentés sont donc un plafond qui indique la magnitude du gain possible.</w:t>
      </w:r>
    </w:p>
    <w:p>
      <w:pPr>
        <w:pStyle w:val="FirstParagraph"/>
      </w:pPr>
      <w:r>
        <w:t xml:space="preserve">Les temps de parcours et la vitesse moyenne qui en résulte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Trajet</w:t>
            </w:r>
          </w:p>
        </w:tc>
        <w:tc>
          <w:tcPr/>
          <w:p>
            <w:pPr>
              <w:pStyle w:val="Compact"/>
            </w:pPr>
            <w:r>
              <w:t xml:space="preserve">Aujourd’hui</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 (270 km)</w:t>
            </w:r>
          </w:p>
        </w:tc>
        <w:tc>
          <w:tcPr/>
          <w:p>
            <w:pPr>
              <w:pStyle w:val="Compact"/>
            </w:pPr>
            <w:r>
              <w:t xml:space="preserve">3 h 22 (80 km/h)</w:t>
            </w:r>
          </w:p>
        </w:tc>
        <w:tc>
          <w:tcPr/>
          <w:p>
            <w:pPr>
              <w:pStyle w:val="Compact"/>
            </w:pPr>
            <w:r>
              <w:t xml:space="preserve">2 h 38 (103 km/h)</w:t>
            </w:r>
          </w:p>
        </w:tc>
        <w:tc>
          <w:tcPr/>
          <w:p>
            <w:pPr>
              <w:pStyle w:val="Compact"/>
            </w:pPr>
            <w:r>
              <w:t xml:space="preserve">2 h 16 (119 km/h)</w:t>
            </w:r>
          </w:p>
        </w:tc>
        <w:tc>
          <w:tcPr/>
          <w:p>
            <w:pPr>
              <w:pStyle w:val="Compact"/>
            </w:pPr>
            <w:r>
              <w:t xml:space="preserve">1 h 56 (140 km/h)</w:t>
            </w:r>
          </w:p>
        </w:tc>
        <w:tc>
          <w:tcPr/>
          <w:p>
            <w:pPr>
              <w:pStyle w:val="Compact"/>
            </w:pPr>
            <w:r>
              <w:t xml:space="preserve">~1 h 30</w:t>
            </w:r>
          </w:p>
        </w:tc>
      </w:tr>
      <w:tr>
        <w:tc>
          <w:tcPr/>
          <w:p>
            <w:pPr>
              <w:pStyle w:val="Compact"/>
            </w:pPr>
            <w:r>
              <w:t xml:space="preserve">Montréal-Ottawa (185 km)</w:t>
            </w:r>
          </w:p>
        </w:tc>
        <w:tc>
          <w:tcPr/>
          <w:p>
            <w:pPr>
              <w:pStyle w:val="Compact"/>
            </w:pPr>
            <w:r>
              <w:t xml:space="preserve">2 h 02 (91 km/h)</w:t>
            </w:r>
          </w:p>
        </w:tc>
        <w:tc>
          <w:tcPr/>
          <w:p>
            <w:pPr>
              <w:pStyle w:val="Compact"/>
            </w:pPr>
            <w:r>
              <w:t xml:space="preserve">1 h 50 (101 km/h)</w:t>
            </w:r>
          </w:p>
        </w:tc>
        <w:tc>
          <w:tcPr/>
          <w:p>
            <w:pPr>
              <w:pStyle w:val="Compact"/>
            </w:pPr>
            <w:r>
              <w:t xml:space="preserve">1 h 34 (118 km/h)</w:t>
            </w:r>
          </w:p>
        </w:tc>
        <w:tc>
          <w:tcPr/>
          <w:p>
            <w:pPr>
              <w:pStyle w:val="Compact"/>
            </w:pPr>
            <w:r>
              <w:t xml:space="preserve">1 h 23 (134 km/h)</w:t>
            </w:r>
          </w:p>
        </w:tc>
        <w:tc>
          <w:tcPr/>
          <w:p>
            <w:pPr>
              <w:pStyle w:val="Compact"/>
            </w:pPr>
            <w:r>
              <w:t xml:space="preserve">~1 h</w:t>
            </w:r>
          </w:p>
        </w:tc>
      </w:tr>
      <w:tr>
        <w:tc>
          <w:tcPr/>
          <w:p>
            <w:pPr>
              <w:pStyle w:val="Compact"/>
            </w:pPr>
            <w:r>
              <w:t xml:space="preserve">Ottawa-Toronto (442 km)</w:t>
            </w:r>
          </w:p>
        </w:tc>
        <w:tc>
          <w:tcPr/>
          <w:p>
            <w:pPr>
              <w:pStyle w:val="Compact"/>
            </w:pPr>
            <w:r>
              <w:t xml:space="preserve">4 h 35 (96 km/h)</w:t>
            </w:r>
          </w:p>
        </w:tc>
        <w:tc>
          <w:tcPr/>
          <w:p>
            <w:pPr>
              <w:pStyle w:val="Compact"/>
            </w:pPr>
            <w:r>
              <w:t xml:space="preserve">3 h 43 (119 km/h)</w:t>
            </w:r>
          </w:p>
        </w:tc>
        <w:tc>
          <w:tcPr/>
          <w:p>
            <w:pPr>
              <w:pStyle w:val="Compact"/>
            </w:pPr>
            <w:r>
              <w:t xml:space="preserve">3 h 34 (124 km/h)</w:t>
            </w:r>
          </w:p>
        </w:tc>
        <w:tc>
          <w:tcPr/>
          <w:p>
            <w:pPr>
              <w:pStyle w:val="Compact"/>
            </w:pPr>
            <w:r>
              <w:t xml:space="preserve">3 h 29 (127 km/h)</w:t>
            </w:r>
          </w:p>
        </w:tc>
        <w:tc>
          <w:tcPr/>
          <w:p>
            <w:pPr>
              <w:pStyle w:val="Compact"/>
            </w:pPr>
            <w:r>
              <w:t xml:space="preserve">~2 h</w:t>
            </w:r>
          </w:p>
        </w:tc>
      </w:tr>
      <w:tr>
        <w:tc>
          <w:tcPr/>
          <w:p>
            <w:pPr>
              <w:pStyle w:val="Compact"/>
            </w:pPr>
            <w:r>
              <w:t xml:space="preserve">Montréal-Toronto (536 km)</w:t>
            </w:r>
          </w:p>
        </w:tc>
        <w:tc>
          <w:tcPr/>
          <w:p>
            <w:pPr>
              <w:pStyle w:val="Compact"/>
            </w:pPr>
            <w:r>
              <w:t xml:space="preserve">5 h 18 (101 km/h)</w:t>
            </w:r>
          </w:p>
        </w:tc>
        <w:tc>
          <w:tcPr/>
          <w:p>
            <w:pPr>
              <w:pStyle w:val="Compact"/>
            </w:pPr>
            <w:r>
              <w:t xml:space="preserve">4 h 27 (120 km/h)</w:t>
            </w:r>
          </w:p>
        </w:tc>
        <w:tc>
          <w:tcPr/>
          <w:p>
            <w:pPr>
              <w:pStyle w:val="Compact"/>
            </w:pPr>
            <w:r>
              <w:t xml:space="preserve">4 h 04 (132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(voir section 4) compris.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w:t>
      </w:r>
    </w:p>
    <w:p>
      <w:pPr>
        <w:pStyle w:val="BodyText"/>
      </w:pPr>
      <w:r>
        <w:t xml:space="preserve">De bout en bout, Québec-Toronto via Montréal passerait de 8 h 50 aujourd’hui (106 % du temps auto) à 7 h 15 au scénario 1 (87 % du temps auto) et 6 h 10 au scénario 3 (74 % du temps auto), contre environ 4 h 30 pour le projet ALTO (54 % du temps auto).</w:t>
      </w:r>
    </w:p>
    <w:p>
      <w:pPr>
        <w:pStyle w:val="CaptionedFigure"/>
      </w:pPr>
      <w:r>
        <w:drawing>
          <wp:inline>
            <wp:extent cx="5334000" cy="2049093"/>
            <wp:effectExtent b="0" l="0" r="0" t="0"/>
            <wp:docPr descr="Montréal-Québec : le train contre l’auto. Chaque barre de scénario est un temps calculé selon la méthode de la section 5.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Montréal-Québec : le train contre l’auto. Chaque barre de scénario est un temps calculé selon la méthode de la section 5. Le trait pointillé est le temps annoncé par ALTO. Temps auto : estimation à partir de la cartographie routière grand public (Google Maps), approximative.</w:t>
      </w:r>
    </w:p>
    <w:p>
      <w:pPr>
        <w:pStyle w:val="CaptionedFigure"/>
      </w:pPr>
      <w:r>
        <w:drawing>
          <wp:inline>
            <wp:extent cx="5334000" cy="2049093"/>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2049093"/>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2049093"/>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2049093"/>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Ce que la table dit.</w:t>
      </w:r>
      <w:r>
        <w:t xml:space="preserve"> </w:t>
      </w:r>
      <w:r>
        <w:t xml:space="preserve">Aujourd’hui, le train fait à peu près jeu égal avec l’auto sur Montréal-Toronto et la perd nettement sur Montréal-Québec. Dès le scénario 1 (train pendulaire et dévers de 5 po dans les courbes), le train bat l’auto sur les quatre trajets. Au scénario 3, il la bat de 20 à 41 %, selon le segment. La modernisation n’égale pas ALTO, et ce n’est pas son rôle : la voie existante offre un train compétitif avec la route, pour une fraction de l’effort, du temps et du coût, sans pour autant atteindre des temps de trajet de niveau TGV.</w:t>
      </w:r>
    </w:p>
    <w:p>
      <w:pPr>
        <w:pStyle w:val="CaptionedFigure"/>
      </w:pPr>
      <w:r>
        <w:drawing>
          <wp:inline>
            <wp:extent cx="5334000" cy="4244615"/>
            <wp:effectExtent b="0" l="0" r="0" t="0"/>
            <wp:docPr descr="Facteurs de réduction des temps de parcours, trajet par trajet. La barre pleine, incluant les parties colorées, est l’horaire actuel. Le segment sans couleur est le temps du scénario 2 (train pendulaire, dévers de 5 po, zones urbaines modernisées, sans correction de courbes).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424461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du scénario 2 (train pendulaire, dévers de 5 po, zones urbaines modernisées, sans correction de courbes).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p>
      <w:pPr>
        <w:pStyle w:val="BodyText"/>
      </w:pPr>
      <w:r>
        <w:rPr>
          <w:b/>
          <w:bCs/>
        </w:rPr>
        <w:t xml:space="preserve">Cinq constats.</w:t>
      </w:r>
    </w:p>
    <w:p>
      <w:pPr>
        <w:pStyle w:val="Compact"/>
        <w:numPr>
          <w:ilvl w:val="0"/>
          <w:numId w:val="1002"/>
        </w:numPr>
      </w:pPr>
      <w:r>
        <w:rPr>
          <w:b/>
          <w:bCs/>
        </w:rPr>
        <w:t xml:space="preserve">Les courbes ne sont pas le problème principal.</w:t>
      </w:r>
      <w:r>
        <w:t xml:space="preserve"> </w:t>
      </w: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w:t>
      </w:r>
    </w:p>
    <w:p>
      <w:pPr>
        <w:pStyle w:val="Compact"/>
        <w:numPr>
          <w:ilvl w:val="0"/>
          <w:numId w:val="1002"/>
        </w:numPr>
      </w:pPr>
      <w:r>
        <w:rPr>
          <w:b/>
          <w:bCs/>
        </w:rPr>
        <w:t xml:space="preserve">Première condition : les passages à niveau.</w:t>
      </w:r>
      <w:r>
        <w:t xml:space="preserve"> </w:t>
      </w:r>
      <w:r>
        <w:t xml:space="preserve">Le corridor en compte 924. Au plafond de 201 km/h, 833 d’entre eux doivent être sécurisés au complet (barrières qui ferment la route aux entrées et aux sorties, terre-pleins, détection d’obstacle), et la modernisation des 672 situés dans les sections permettant la grande vitesse (178 à 201 km/h) doit être approuvée passage par passage par les autorités. Sur ces 833, 533 n’ont pas encore de système complet de feux, cloches et barrières ; l’inventaire fourni par les données ouvertes est consultable tel quel dans l’annexe technique.</w:t>
      </w:r>
    </w:p>
    <w:p>
      <w:pPr>
        <w:pStyle w:val="Compact"/>
        <w:numPr>
          <w:ilvl w:val="0"/>
          <w:numId w:val="1002"/>
        </w:numPr>
      </w:pPr>
      <w:r>
        <w:rPr>
          <w:b/>
          <w:bCs/>
        </w:rPr>
        <w:t xml:space="preserve">Deuxième condition : la signalisation.</w:t>
      </w:r>
      <w:r>
        <w:t xml:space="preserve"> </w:t>
      </w:r>
      <w:r>
        <w:t xml:space="preserve">Chaque palier de vitesse exige un système, et chacun d’entre eux existe déjà en Amérique du Nord. Le plafond de 201 km/h (125 mi/h) est la limite retenue ici pour le contrôle de train en cabine (voir section 3) : Brightline y roule en Floride</w:t>
      </w:r>
      <w:r>
        <w:t xml:space="preserve"> </w:t>
      </w:r>
      <w:r>
        <w:t xml:space="preserve">(</w:t>
      </w:r>
      <w:hyperlink w:anchor="ref-brightline2023">
        <w:r>
          <w:rPr>
            <w:rStyle w:val="Hyperlink"/>
          </w:rPr>
          <w:t xml:space="preserve">Brightline, 2023</w:t>
        </w:r>
      </w:hyperlink>
      <w:r>
        <w:t xml:space="preserve">)</w:t>
      </w:r>
      <w:r>
        <w:t xml:space="preserve">. Amtrak roule encore plus vite sur des parties de son corridor du Nord-Est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mais pour l’égaler, le vrai mur n’est plus la signalisation : c’est l’interdiction de tout passage à niveau. Ce scénario alternatif est exploré à la section 7.</w:t>
      </w:r>
    </w:p>
    <w:p>
      <w:pPr>
        <w:pStyle w:val="Compact"/>
        <w:numPr>
          <w:ilvl w:val="0"/>
          <w:numId w:val="1002"/>
        </w:numPr>
      </w:pPr>
      <w:r>
        <w:rPr>
          <w:b/>
          <w:bCs/>
        </w:rPr>
        <w:t xml:space="preserve">La voie double agit surtout comme condition préalable d’une meilleure cohabitation entre passagers et fret, et permet une variation plus faible des temps de trajet entre les départs.</w:t>
      </w:r>
      <w:r>
        <w:t xml:space="preserve"> </w:t>
      </w:r>
      <w:r>
        <w:t xml:space="preserve">Sur la voie double, tous les trains d’un même trajet font à peu près le même temps. Sur la voie simple du CN, l’horaire du même trajet varie de 8 à 16 minutes selon le départ (sur Montréal-Québec, par exemple). Et surtout, le doublement est la condition d’une cohabitation où le passager et le fret gagnent tous les deux, au lieu de se voler des minutes.</w:t>
      </w:r>
    </w:p>
    <w:p>
      <w:pPr>
        <w:pStyle w:val="Compact"/>
        <w:numPr>
          <w:ilvl w:val="0"/>
          <w:numId w:val="1002"/>
        </w:numPr>
      </w:pPr>
      <w:r>
        <w:rPr>
          <w:b/>
          <w:bCs/>
        </w:rPr>
        <w:t xml:space="preserve">La marge d’exploitation, le temps au-delà de ce qu’un trajet « seul train sur la voie » permet, est établie à 10 %.</w:t>
      </w:r>
      <w:r>
        <w:t xml:space="preserve"> </w:t>
      </w:r>
      <w:r>
        <w:t xml:space="preserve">C’est un peu plus prudent que la moyenne des règles publiées par les gestionnaires de réseau européens, et c’est la valeur du référent britannique</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schittenhelm2011">
        <w:r>
          <w:rPr>
            <w:rStyle w:val="Hyperlink"/>
          </w:rPr>
          <w:t xml:space="preserve">Schittenhelm, 2011</w:t>
        </w:r>
      </w:hyperlink>
      <w:r>
        <w:t xml:space="preserve">;</w:t>
      </w:r>
      <w:r>
        <w:t xml:space="preserve"> </w:t>
      </w:r>
      <w:hyperlink w:anchor="ref-sncf2023drr">
        <w:r>
          <w:rPr>
            <w:rStyle w:val="Hyperlink"/>
          </w:rPr>
          <w:t xml:space="preserve">SNCF Réseau, 2023</w:t>
        </w:r>
      </w:hyperlink>
      <w:r>
        <w:t xml:space="preserve">;</w:t>
      </w:r>
      <w:r>
        <w:t xml:space="preserve"> </w:t>
      </w:r>
      <w:hyperlink w:anchor="ref-trafikverket2025jnb">
        <w:r>
          <w:rPr>
            <w:rStyle w:val="Hyperlink"/>
          </w:rPr>
          <w:t xml:space="preserve">Trafikverket, 2025</w:t>
        </w:r>
      </w:hyperlink>
      <w:r>
        <w:t xml:space="preserve">;</w:t>
      </w:r>
      <w:r>
        <w:t xml:space="preserve"> </w:t>
      </w:r>
      <w:hyperlink w:anchor="ref-uic2000f451">
        <w:r>
          <w:rPr>
            <w:rStyle w:val="Hyperlink"/>
          </w:rPr>
          <w:t xml:space="preserve">Union internationale des chemins de fer, 2000</w:t>
        </w:r>
      </w:hyperlink>
      <w:r>
        <w:t xml:space="preserve">)</w:t>
      </w:r>
      <w:r>
        <w:t xml:space="preserve">. Le corridor porte aujourd’hui de 7 à 24 % de marge selon le tronçon : cet écart est le prix du régime de cohabitation actuel, mesuré pour la première fois ici.</w:t>
      </w:r>
    </w:p>
    <w:p>
      <w:pPr>
        <w:pStyle w:val="FirstParagraph"/>
      </w:pPr>
      <w:r>
        <w:rPr>
          <w:b/>
          <w:bCs/>
        </w:rPr>
        <w:t xml:space="preserve">Le précédent qui valide l’ordre de grandeur</w:t>
      </w:r>
      <w:r>
        <w:t xml:space="preserve"> </w:t>
      </w:r>
      <w:r>
        <w:t xml:space="preserve">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51 à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4"/>
    <w:bookmarkStart w:id="25" w:name="les-trois-scénarios-analysés"/>
    <w:p>
      <w:pPr>
        <w:pStyle w:val="Heading1"/>
      </w:pPr>
      <w:r>
        <w:t xml:space="preserve">Les trois scénarios analysés</w:t>
      </w:r>
    </w:p>
    <w:p>
      <w:pPr>
        <w:pStyle w:val="FirstParagraph"/>
      </w:pPr>
      <w:r>
        <w:t xml:space="preserve">Les trois scénarios utilisent le même train et le même plafond de vitesse. Ce qui change, c’est ce qu’on accepte de toucher autour du train.</w:t>
      </w:r>
    </w:p>
    <w:p>
      <w:pPr>
        <w:pStyle w:val="BodyText"/>
      </w:pPr>
      <w:r>
        <w:rPr>
          <w:b/>
          <w:bCs/>
        </w:rPr>
        <w:t xml:space="preserve">Le train : un pendulaire, comme le Canada en a déjà eu.</w:t>
      </w:r>
      <w:r>
        <w:t xml:space="preserve"> </w:t>
      </w:r>
      <w:r>
        <w:t xml:space="preserve">Un train pendulaire incline sa caisse dans les courbes. Les passagers ne sentent pas la courbe, alors le train peut la franchir plus vite.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Les trois scénarios reposent sur ce précédent canadien.</w:t>
      </w:r>
    </w:p>
    <w:p>
      <w:pPr>
        <w:pStyle w:val="BodyText"/>
      </w:pPr>
      <w:r>
        <w:rPr>
          <w:b/>
          <w:bCs/>
        </w:rPr>
        <w:t xml:space="preserve">Le plafond : 201 km/h (125 mi/h).</w:t>
      </w:r>
      <w:r>
        <w:t xml:space="preserve"> </w:t>
      </w:r>
      <w:r>
        <w:t xml:space="preserve">C’est le sommet de la marche du contrôle de train en cabine (le PTC nord-américain, dont l’I-ETMS et l’ACSES sont deux variantes), prouvée en service commercial chez Brightline en Floride</w:t>
      </w:r>
      <w:r>
        <w:t xml:space="preserve"> </w:t>
      </w:r>
      <w:r>
        <w:t xml:space="preserve">(</w:t>
      </w:r>
      <w:hyperlink w:anchor="ref-brightline2023">
        <w:r>
          <w:rPr>
            <w:rStyle w:val="Hyperlink"/>
          </w:rPr>
          <w:t xml:space="preserve">Brightline, 2023</w:t>
        </w:r>
      </w:hyperlink>
      <w:r>
        <w:t xml:space="preserve">)</w:t>
      </w:r>
      <w:r>
        <w:t xml:space="preserve">. C’est aussi la vitesse maximale de la West Coast Main Line britannique, notre précédent central, en pendulaire</w:t>
      </w:r>
      <w:r>
        <w:t xml:space="preserve"> </w:t>
      </w:r>
      <w:r>
        <w:t xml:space="preserve">(</w:t>
      </w:r>
      <w:hyperlink w:anchor="ref-hoc2010wcml">
        <w:r>
          <w:rPr>
            <w:rStyle w:val="Hyperlink"/>
          </w:rPr>
          <w:t xml:space="preserve">Butcher, 2010</w:t>
        </w:r>
      </w:hyperlink>
      <w:r>
        <w:t xml:space="preserve">)</w:t>
      </w:r>
      <w:r>
        <w:t xml:space="preserve">. Et c’est le seuil au-delà duquel le précédent américain interdit tout passage à niveau</w:t>
      </w:r>
      <w:r>
        <w:t xml:space="preserve"> </w:t>
      </w:r>
      <w:r>
        <w:t xml:space="preserve">(</w:t>
      </w:r>
      <w:hyperlink w:anchor="ref-ecfr213-347">
        <w:r>
          <w:rPr>
            <w:rStyle w:val="Hyperlink"/>
          </w:rPr>
          <w:t xml:space="preserve">Federal Railroad Administration, s. d.-a</w:t>
        </w:r>
      </w:hyperlink>
      <w:r>
        <w:t xml:space="preserve">)</w:t>
      </w:r>
      <w:r>
        <w:t xml:space="preserve"> </w:t>
      </w:r>
      <w:r>
        <w:t xml:space="preserve">: viser plus haut voudrait dire un tout autre ordre de grandeur de coûts, d’échéancier et de complexité. Le passage sur la signalisation (section 3) approfondit l’escalier réglementaire propre à la signalisation.</w:t>
      </w:r>
    </w:p>
    <w:p>
      <w:pPr>
        <w:pStyle w:val="BodyText"/>
      </w:pPr>
      <w:r>
        <w:rPr>
          <w:b/>
          <w:bCs/>
        </w:rPr>
        <w:t xml:space="preserve">Scénario 1 : le train pendulaire.</w:t>
      </w:r>
      <w:r>
        <w:t xml:space="preserve"> </w:t>
      </w:r>
      <w:r>
        <w:t xml:space="preserve">On modernise le train, la signalisation, les passages à niveau, et on incline la voie au maximum standard du CN (127 mm, 5 po) dans les courbes. Rien d’autre n’est touché et les approches urbaines gardent leur temps actuel. Résultat : le train bat déjà l’auto sur tous les segments.</w:t>
      </w:r>
    </w:p>
    <w:p>
      <w:pPr>
        <w:pStyle w:val="BodyText"/>
      </w:pPr>
      <w:r>
        <w:rPr>
          <w:b/>
          <w:bCs/>
        </w:rPr>
        <w:t xml:space="preserve">Scénario 2 : pendulaire et inclusion des zones urbaines modernisées.</w:t>
      </w:r>
      <w:r>
        <w:t xml:space="preserve"> </w:t>
      </w:r>
      <w:r>
        <w:t xml:space="preserve">Le train perd beaucoup de temps lorsqu’il circule dans les villes majeures : Montréal, Québec, Ottawa, Toronto. Le scénario 2 inclut les gains de temps permis par la modernisation dans ces zones, comme le scénario 1 le calcule sur le reste du trajet. Les zones urbaines méritent leur scénario distinct car la maximisation du dévers, le scellage des passages à niveau (qui peuvent nécessiter d’être éliminés par endroits) et le doublement sont pressentis comme plus complexes en ville. Aussi, en zone urbaine, les temps sont plausiblement influencés par des réalités locales impossibles à détecter dans les données ouvertes. C’est le levier le plus payant après le train pendulaire, de 9 à 23 minutes selon le trajet évalué, mais aussi celui qui demandera une analyse plus approfondie pour mieux comprendre son impact sous contraintes réelles.</w:t>
      </w:r>
    </w:p>
    <w:p>
      <w:pPr>
        <w:pStyle w:val="BodyText"/>
      </w:pPr>
      <w:r>
        <w:rPr>
          <w:b/>
          <w:bCs/>
        </w:rPr>
        <w:t xml:space="preserve">Scénario 3 : courbes corrigées au moment du doublement.</w:t>
      </w:r>
      <w:r>
        <w:t xml:space="preserve"> </w:t>
      </w:r>
      <w:r>
        <w:t xml:space="preserve">Une partie du corridor n’a qu’une seule voie. Le programme de doublement (section 4) reconstruit une plateforme pour y poser la deuxième voie. À ce moment-là, adoucir une courbe peut coûter moins cher dans certaines sections : la machinerie est sur place et l’emprise est ouverte. Le scénario 3 corrige donc les courbes situées sur les 213 km de segments qui recoupent les sections à doubler. Sur Montréal-Toronto, déjà doublé, ce scénario n’ajoute rien. Cette rectification n’est pas possible partout et dépend des réalités locales (notamment la disponibilité de l’emprise) ; les chiffres présentés sont donc un plafond qui indique la magnitude du gain possible.</w:t>
      </w:r>
    </w:p>
    <w:p>
      <w:pPr>
        <w:pStyle w:val="BodyText"/>
      </w:pPr>
      <w:r>
        <w:rPr>
          <w:b/>
          <w:bCs/>
        </w:rPr>
        <w:t xml:space="preserve">Pourquoi pas un pendulaire européen plus agressif?</w:t>
      </w:r>
      <w:r>
        <w:t xml:space="preserve"> </w:t>
      </w:r>
      <w:r>
        <w:t xml:space="preserve">Parce que le LRC suffit. Au-dessus de 201 km/h (125 mi/h), ce n’est plus le train qui bloque, mais bien la nécessité de retirer les passages à niveau. 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le scénario suppose un entretien et des inspections à la hauteur, ce qui impose nécessairement des coûts supplémentaires et une entente avec le propriétaire de la voie.</w:t>
      </w:r>
    </w:p>
    <w:bookmarkEnd w:id="25"/>
    <w:bookmarkStart w:id="29" w:name="ce-que-les-scénarios-demandent"/>
    <w:p>
      <w:pPr>
        <w:pStyle w:val="Heading1"/>
      </w:pPr>
      <w:r>
        <w:t xml:space="preserve">Ce que les scénarios demandent</w:t>
      </w:r>
    </w:p>
    <w:bookmarkStart w:id="26" w:name="les-passages-à-niveau"/>
    <w:p>
      <w:pPr>
        <w:pStyle w:val="Heading2"/>
      </w:pPr>
      <w:r>
        <w:t xml:space="preserve">Les passages à niveau</w:t>
      </w:r>
    </w:p>
    <w:p>
      <w:pPr>
        <w:pStyle w:val="FirstParagraph"/>
      </w:pPr>
      <w:r>
        <w:t xml:space="preserve">Un passage à niveau est un croisement entre le rail et une route. Plus le train va vite, plus la règle est exigeante. Le barème le plus clair vient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Le compte,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w:t>
      </w:r>
      <w:r>
        <w:t xml:space="preserve">: 924 passages physiques sur le corridor.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(bande de 154 à 201 km/h) se trouvent dans la partie interurbaine où le train peut physiquement dépasser 153 km/h (95 mi/h) : ce sont eux qu’il faut sceller. Les 672 de la bande la plus rapide (178 à 201 km/h) demandent en plus l’approbation formelle de chaque passage par les autorités, selon le précédent américain</w:t>
      </w:r>
      <w:r>
        <w:t xml:space="preserve"> </w:t>
      </w:r>
      <w:r>
        <w:t xml:space="preserve">(</w:t>
      </w:r>
      <w:hyperlink w:anchor="ref-ecfr213-347">
        <w:r>
          <w:rPr>
            <w:rStyle w:val="Hyperlink"/>
          </w:rPr>
          <w:t xml:space="preserve">Federal Railroad Administration, s. d.-a</w:t>
        </w:r>
      </w:hyperlink>
      <w:r>
        <w:t xml:space="preserve">)</w:t>
      </w:r>
      <w:r>
        <w:t xml:space="preserve">. 300 passages ont déjà un système complet de feux, cloches et barrières ; pour eux, il faudra ajouter les bras de sortie, les terre-pleins (qui empêchent le contournement) et la détection d’obstacle. Les</w:t>
      </w:r>
      <w:r>
        <w:t xml:space="preserve"> </w:t>
      </w:r>
      <w:r>
        <w:rPr>
          <w:b/>
          <w:bCs/>
        </w:rPr>
        <w:t xml:space="preserve">533 autres partent de plus loin</w:t>
      </w:r>
      <w:r>
        <w:t xml:space="preserve"> </w:t>
      </w:r>
      <w:r>
        <w:t xml:space="preserve">: par exemple, 475 n’ont aucune protection automatique. Enfin, 93 des 833 semblent être, selon les données, en contexte complexe (urbains, routes à plusieurs voies, ou de compétence provinciale) : ceux-ci coûteront plus cher que les autres. Les 91 passages non traités du corridor sont sur des sections qui resteront sous 154 km/h et pour lesquels le régime actuel suffit. Ces comptes sont les mêmes pour les trois scénarios, qui partagent le même plafond. À noter que l’inventaire des passages est consultable dans les annexes numériques.</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bookmarkEnd w:id="26"/>
    <w:bookmarkStart w:id="27" w:name="la-signalisation"/>
    <w:p>
      <w:pPr>
        <w:pStyle w:val="Heading2"/>
      </w:pPr>
      <w:r>
        <w:t xml:space="preserve">La signalisation</w:t>
      </w:r>
    </w:p>
    <w:p>
      <w:pPr>
        <w:pStyle w:val="FirstParagraph"/>
      </w:pPr>
      <w:r>
        <w:t xml:space="preserve">La signalisation ferroviaire fonctionne essentiellement selon un escalier à trois marches.</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proposé pour les trois scénarios.</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 du retrait des passages à niveau (voir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aux scénarios proposés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Et la capacité?</w:t>
      </w:r>
      <w:r>
        <w:t xml:space="preserve"> </w:t>
      </w:r>
      <w:r>
        <w:t xml:space="preserve">La signalisation en soi ne change pas la capacité de la voie, bien qu’elle puisse améliorer la capacité des goulots structurels (le pont Victoria, par exemple). Si l’on veut faire passer plus de trains, le levier est le raccourcissement des cantons (les tronçons qu’un seul train peut occuper) :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La modernisation proposée pourrait être l’occasion de le faire, mais son impact n’est pas étudié ici.</w:t>
      </w:r>
    </w:p>
    <w:bookmarkEnd w:id="27"/>
    <w:bookmarkStart w:id="28" w:name="le-dévers-inclinaison-de-la-voie"/>
    <w:p>
      <w:pPr>
        <w:pStyle w:val="Heading2"/>
      </w:pPr>
      <w:r>
        <w:t xml:space="preserve">Le dévers (inclinaison de la voie)</w:t>
      </w:r>
    </w:p>
    <w:p>
      <w:pPr>
        <w:pStyle w:val="FirstParagraph"/>
      </w:pPr>
      <w:r>
        <w:t xml:space="preserve">Dans une courbe, la voie est inclinée vers l’intérieur : c’est ce qu’on appelle le dévers. Les scénarios augmentent le dévers des courbes au maximum standard du CN pour trafic mixte (127 mm, soit 5 pouces)</w:t>
      </w:r>
      <w:r>
        <w:t xml:space="preserve"> </w:t>
      </w:r>
      <w:r>
        <w:t xml:space="preserve">(</w:t>
      </w:r>
      <w:hyperlink w:anchor="ref-cn2002mr1305">
        <w:r>
          <w:rPr>
            <w:rStyle w:val="Hyperlink"/>
          </w:rPr>
          <w:t xml:space="preserve">Canadien National, 2002</w:t>
        </w:r>
      </w:hyperlink>
      <w:r>
        <w:t xml:space="preserve">)</w:t>
      </w:r>
      <w:r>
        <w:t xml:space="preserve">. Cette modification ne requiert aucune dérogation et ne nuit pas aux trains de marchandises.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Scénarios 1 à 3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des scénarios analysés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(voir section 4) et des autres facteurs mesurés.</w:t>
      </w:r>
    </w:p>
    <w:p>
      <w:pPr>
        <w:pStyle w:val="BodyText"/>
      </w:pPr>
      <w:r>
        <w:rPr>
          <w:b/>
          <w:bCs/>
        </w:rPr>
        <w:t xml:space="preserve">Ce que le train pendulaire change</w:t>
      </w:r>
      <w:r>
        <w:t xml:space="preserv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w:t>
      </w:r>
    </w:p>
    <w:bookmarkEnd w:id="28"/>
    <w:bookmarkEnd w:id="29"/>
    <w:bookmarkStart w:id="36" w:name="Xe7ab6870725a631c9031127d1d3ed94a4cc89ce"/>
    <w:p>
      <w:pPr>
        <w:pStyle w:val="Heading1"/>
      </w:pPr>
      <w:r>
        <w:t xml:space="preserve">Doubler la voie, et vivre ensemble sur le rail</w:t>
      </w:r>
    </w:p>
    <w:bookmarkStart w:id="33" w:name="ce-que-la-voie-double-achète-vraiment"/>
    <w:p>
      <w:pPr>
        <w:pStyle w:val="Heading2"/>
      </w:pPr>
      <w:r>
        <w:t xml:space="preserve">Ce que la voie double achète vraiment</w:t>
      </w:r>
    </w:p>
    <w:p>
      <w:pPr>
        <w:pStyle w:val="FirstParagraph"/>
      </w:pPr>
      <w:r>
        <w:t xml:space="preserve">Une partie du corridor n’a qu’une seule voie. Le programme proposé est simple :</w:t>
      </w:r>
      <w:r>
        <w:t xml:space="preserve"> </w:t>
      </w:r>
      <w:r>
        <w:rPr>
          <w:b/>
          <w:bCs/>
        </w:rPr>
        <w:t xml:space="preserve">on double tout ce qui doit l’être, sauf les ouvrages majeurs comme les grands ponts.</w:t>
      </w:r>
      <w:r>
        <w:t xml:space="preserve"> </w:t>
      </w:r>
      <w:r>
        <w:t xml:space="preserve">Le pont de Québec et le pont Victoria restent tels quels, par exemple ; ils sont dans les zones urbaines, dont les contraintes sont traitées à part, et leur remplacement est un projet en soi. C’est une limite déclarée des scénarios analysés.</w:t>
      </w:r>
    </w:p>
    <w:p>
      <w:pPr>
        <w:pStyle w:val="BodyText"/>
      </w:pPr>
      <w:r>
        <w:t xml:space="preserve">La voie double achète deux choses déterminantes pour le projet. Pour interpréter ces données, il est important de garder en tête que la marge médiane est un exercice comparatif : les pourcentages de marge de la table qui suit ne sont pas directement transposables aux temps de trajet réels.</w:t>
      </w:r>
    </w:p>
    <w:p>
      <w:pPr>
        <w:pStyle w:val="BodyText"/>
      </w:pPr>
      <w:r>
        <w:rPr>
          <w:b/>
          <w:bCs/>
        </w:rPr>
        <w:t xml:space="preserve">D’abord, la fiabilité.</w:t>
      </w:r>
      <w:r>
        <w:t xml:space="preserve"> </w:t>
      </w:r>
      <w:r>
        <w:t xml:space="preserve">Le corridor offre une expérience naturelle : il y a des tronçons à voie simple de VIA, des tronçons à voie simple du CN, et des tronçons à voie double du CN. On peut comparer, à géométrie neutralisée, la marge que l’horaire porte dans chaque famille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 title="" id="31" name="Picture"/>
            <a:graphic>
              <a:graphicData uri="http://schemas.openxmlformats.org/drawingml/2006/picture">
                <pic:pic>
                  <pic:nvPicPr>
                    <pic:cNvPr descr="livrables/figure_cellules.png" id="32" name="Picture"/>
                    <pic:cNvPicPr>
                      <a:picLocks noChangeArrowheads="1" noChangeAspect="1"/>
                    </pic:cNvPicPr>
                  </pic:nvPicPr>
                  <pic:blipFill>
                    <a:blip r:embed="rId30"/>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est d’Ottawa reste en couleur : aucune gare entre Casselman et Ottawa ne permet de l’isoler, et la paire est gardée avec cette réserve.</w:t>
      </w:r>
    </w:p>
    <w:p>
      <w:pPr>
        <w:pStyle w:val="BodyText"/>
      </w:pPr>
      <w:r>
        <w:t xml:space="preserve">La dernière colonne est la plus parlante. Sur la voie double, tous les trains d’un même trajet font à peu près le même temps. Sur la voie simple du CN, l’horaire du même trajet varie de 8 à 16 minutes selon le départ : les attentes de croisement sont écrites dans la grille horaire elle-même. Le passager de Montréal-Québec paie jusqu’à 24 minutes de plus selon l’heure de son billet. La voie double, c’est d’abord un train qui arrive à l’heure, à la même heure, tous les jours.</w:t>
      </w:r>
    </w:p>
    <w:p>
      <w:pPr>
        <w:pStyle w:val="BodyText"/>
      </w:pPr>
      <w:r>
        <w:t xml:space="preserve">La marge réelle de chaque trajet, elle, se lit directement : c’est l’écart entre l’horaire d’aujourd’hui et le temps de base du train actuel, calculé avec les mêmes arrêts et les mêmes approches urbaines. C’est cette marge que l’on compare à la norme de 10 % des scénarios, et c’est elle qui borne ce que le doublement et la cohabitation peuvent rendre au voyageur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44</w:t>
            </w:r>
          </w:p>
        </w:tc>
        <w:tc>
          <w:tcPr/>
          <w:p>
            <w:pPr>
              <w:pStyle w:val="Compact"/>
            </w:pPr>
            <w:r>
              <w:t xml:space="preserve">24 % (39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rPr>
          <w:b/>
          <w:bCs/>
        </w:rPr>
        <w:t xml:space="preserve">Ensuite, le doublement est la condition critique pour réduire la marge d’exploitation.</w:t>
      </w:r>
      <w:r>
        <w:t xml:space="preserve"> </w:t>
      </w:r>
      <w:r>
        <w:t xml:space="preserve">Chez le CN, passer d’une voie simple à une voie double fait tomber la marge de 60 à 33 % : environ 27 points, soit une vingtaine de minutes sur Montréal-Québec. Mais le chiffre le plus instructif de la table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rPr>
          <w:b/>
          <w:bCs/>
        </w:rPr>
        <w:t xml:space="preserve">Conséquemment, le doublement seul ne suffit pas.</w:t>
      </w:r>
      <w:r>
        <w:t xml:space="preserve"> </w:t>
      </w:r>
      <w:r>
        <w:t xml:space="preserve">Montréal-Toronto est déjà doublé. Son horaire porte pourtant encore 12 % de marge, contre la norme de 10 % retenue pour les scénarios et contre les 7 % de marge actuelle sur la voie simple de VIA, entre Montréal et Ottawa. Montréal-Québec, sur voie simple, en porte 24 %. Le doublement existant rapproche donc de l’optimum sans l’atteindre, et il ne règle pas seul l’enjeu de la régularité des temps de trajet. Trois compléments restent nécessaires : des liaisons rapides entre les deux voies pour dépasser sans ralentir, des sections de troisième voie aux points de friction, et surtout un régime de cohabitation arbitré</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agit comme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 Le fret garde sa fluidité, le passager gagne sa régularité, dans une configuration gagnant-gagnant.</w:t>
      </w:r>
    </w:p>
    <w:bookmarkEnd w:id="33"/>
    <w:bookmarkStart w:id="34" w:name="Xe870b771d6d846327e27c8161e0e3641846dbc5"/>
    <w:p>
      <w:pPr>
        <w:pStyle w:val="Heading2"/>
      </w:pPr>
      <w:r>
        <w:t xml:space="preserve">Le régime de cohabitation et ses frictions</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 : une note juridique plus détaillée est fournie en complément.</w:t>
      </w:r>
    </w:p>
    <w:bookmarkEnd w:id="34"/>
    <w:bookmarkStart w:id="35" w:name="par-où-commencer-le-doublement"/>
    <w:p>
      <w:pPr>
        <w:pStyle w:val="Heading2"/>
      </w:pPr>
      <w:r>
        <w:t xml:space="preserve">Par où commencer le doublement</w:t>
      </w:r>
    </w:p>
    <w:p>
      <w:pPr>
        <w:pStyle w:val="FirstParagraph"/>
      </w:pPr>
      <w:r>
        <w:t xml:space="preserve">Un corridor à voie unique équipé d’évitements (des tronçons courts de deuxième voie où un train peut être mis en attente) est déjà, dans les faits, partiellement doublé. La simulation montre que chaque tronçon de deuxième voie ajouté réduit le retard, régulièrement, sans effet de seuil,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 sur le corridor Chicago-Detroit,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et le régulateur américain reconnaît de longue date qu’une série d’évitements longs accroît la capacité à un coût substantiellement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devrait donc commencer là : allonger et relier les évitements en place, la deuxième voie continue venant fermer les intervalles restants.</w:t>
      </w:r>
    </w:p>
    <w:bookmarkEnd w:id="35"/>
    <w:bookmarkEnd w:id="36"/>
    <w:bookmarkStart w:id="42" w:name="comment-nous-avons-mesuré"/>
    <w:p>
      <w:pPr>
        <w:pStyle w:val="Heading1"/>
      </w:pPr>
      <w:r>
        <w:t xml:space="preserve">Comment nous avons mesuré</w:t>
      </w:r>
    </w:p>
    <w:bookmarkStart w:id="37" w:name="les-données"/>
    <w:p>
      <w:pPr>
        <w:pStyle w:val="Heading2"/>
      </w:pPr>
      <w:r>
        <w:t xml:space="preserve">Les données</w:t>
      </w:r>
    </w:p>
    <w:p>
      <w:pPr>
        <w:pStyle w:val="FirstParagraph"/>
      </w:pPr>
      <w:r>
        <w:t xml:space="preserve">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Comme VIA Rail ne fournit pas une géométrie suffisamment détaillée de sa voie, la géométrie du tracé (les courbes) vient de ces données ouvertes :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est détecté par la géométrie des voies parallèles dans la carte.</w:t>
      </w:r>
    </w:p>
    <w:bookmarkEnd w:id="37"/>
    <w:bookmarkStart w:id="38"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4"/>
        </w:numPr>
      </w:pPr>
      <w:r>
        <w:rPr>
          <w:b/>
          <w:bCs/>
        </w:rPr>
        <w:t xml:space="preserve">les zones urbaines</w:t>
      </w:r>
      <w:r>
        <w:t xml:space="preserve"> </w:t>
      </w:r>
      <w:r>
        <w:t xml:space="preserve">(les approches de Montréal, Québec, Ottawa et Toronto) : figées au temps de l’horaire actuel dans le scénario 1, intégrées sous le même calcul de vitesse que l’interurbain dans les scénarios 2 et 3 ;</w:t>
      </w:r>
    </w:p>
    <w:p>
      <w:pPr>
        <w:pStyle w:val="Compact"/>
        <w:numPr>
          <w:ilvl w:val="0"/>
          <w:numId w:val="1004"/>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 (voir les sensibilités de la section 6)</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4"/>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4"/>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bookmarkEnd w:id="38"/>
    <w:bookmarkStart w:id="39" w:name="la-marge-de-10"/>
    <w:p>
      <w:pPr>
        <w:pStyle w:val="Heading2"/>
      </w:pPr>
      <w:r>
        <w:t xml:space="preserve">La marge de 10 %</w:t>
      </w:r>
    </w:p>
    <w:p>
      <w:pPr>
        <w:pStyle w:val="FirstParagraph"/>
      </w:pPr>
      <w:r>
        <w:t xml:space="preserve">La marge est le coussin que l’horaire ajoute au temps de roulement pur.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 L’étude retient une borne conservatrice de</w:t>
      </w:r>
      <w:r>
        <w:t xml:space="preserve"> </w:t>
      </w:r>
      <w:r>
        <w:rPr>
          <w:b/>
          <w:bCs/>
        </w:rPr>
        <w:t xml:space="preserve">10 %</w:t>
      </w:r>
      <w:r>
        <w:t xml:space="preserve"> </w:t>
      </w:r>
      <w:r>
        <w:t xml:space="preserve">: légèrement plus prudent que la médiane, et aligné sur le référent britannique dont ce rapport invoque le précédent. En regard, le corridor porte aujourd’hui de 7 à 24 % de marge selon le tronçon : l’écart entre cette réalité et la norme est le prix du régime de cohabitation, mesuré à la section précédente.</w:t>
      </w:r>
    </w:p>
    <w:bookmarkEnd w:id="39"/>
    <w:bookmarkStart w:id="40" w:name="la-correction-des-courbes-courtes"/>
    <w:p>
      <w:pPr>
        <w:pStyle w:val="Heading2"/>
      </w:pPr>
      <w:r>
        <w:t xml:space="preserve">La correction des courbes courtes</w:t>
      </w:r>
    </w:p>
    <w:p>
      <w:pPr>
        <w:pStyle w:val="FirstParagraph"/>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l’aide d’un expert ferroviaire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40"/>
    <w:bookmarkStart w:id="41"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41"/>
    <w:bookmarkEnd w:id="42"/>
    <w:bookmarkStart w:id="43" w:name="résultats-détaillés"/>
    <w:p>
      <w:pPr>
        <w:pStyle w:val="Heading1"/>
      </w:pPr>
      <w:r>
        <w:t xml:space="preserve">Résultats détaillés</w:t>
      </w:r>
    </w:p>
    <w:p>
      <w:pPr>
        <w:pStyle w:val="FirstParagraph"/>
      </w:pPr>
      <w:r>
        <w:rPr>
          <w:b/>
          <w:bCs/>
        </w:rPr>
        <w:t xml:space="preserve">Temps de parcours estimés,</w:t>
      </w:r>
      <w:r>
        <w:t xml:space="preserve"> </w:t>
      </w:r>
      <w:r>
        <w:t xml:space="preserve">par tronçon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Tronçon</w:t>
            </w:r>
          </w:p>
        </w:tc>
        <w:tc>
          <w:tcPr/>
          <w:p>
            <w:pPr>
              <w:pStyle w:val="Compact"/>
            </w:pPr>
            <w:r>
              <w:t xml:space="preserve">Horaire actuel</w:t>
            </w:r>
          </w:p>
        </w:tc>
        <w:tc>
          <w:tcPr/>
          <w:p>
            <w:pPr>
              <w:pStyle w:val="Compact"/>
            </w:pPr>
            <w:r>
              <w:t xml:space="preserve">Scénario 1</w:t>
            </w:r>
          </w:p>
        </w:tc>
        <w:tc>
          <w:tcPr/>
          <w:p>
            <w:pPr>
              <w:pStyle w:val="Compact"/>
            </w:pPr>
            <w:r>
              <w:t xml:space="preserve">Scénario 2</w:t>
            </w:r>
          </w:p>
        </w:tc>
        <w:tc>
          <w:tcPr/>
          <w:p>
            <w:pPr>
              <w:pStyle w:val="Compact"/>
            </w:pPr>
            <w:r>
              <w:t xml:space="preserve">Scénario 3</w:t>
            </w:r>
          </w:p>
        </w:tc>
        <w:tc>
          <w:tcPr/>
          <w:p>
            <w:pPr>
              <w:pStyle w:val="Compact"/>
            </w:pPr>
            <w:r>
              <w:t xml:space="preserve">ALTO annoncé</w:t>
            </w:r>
          </w:p>
        </w:tc>
      </w:tr>
      <w:tr>
        <w:tc>
          <w:tcPr/>
          <w:p>
            <w:pPr>
              <w:pStyle w:val="Compact"/>
            </w:pPr>
            <w:r>
              <w:t xml:space="preserve">Montréal-Québec</w:t>
            </w:r>
          </w:p>
        </w:tc>
        <w:tc>
          <w:tcPr/>
          <w:p>
            <w:pPr>
              <w:pStyle w:val="Compact"/>
            </w:pPr>
            <w:r>
              <w:t xml:space="preserve">3 h 22</w:t>
            </w:r>
          </w:p>
        </w:tc>
        <w:tc>
          <w:tcPr/>
          <w:p>
            <w:pPr>
              <w:pStyle w:val="Compact"/>
            </w:pPr>
            <w:r>
              <w:t xml:space="preserve">2 h 38</w:t>
            </w:r>
          </w:p>
        </w:tc>
        <w:tc>
          <w:tcPr/>
          <w:p>
            <w:pPr>
              <w:pStyle w:val="Compact"/>
            </w:pPr>
            <w:r>
              <w:t xml:space="preserve">2 h 16</w:t>
            </w:r>
          </w:p>
        </w:tc>
        <w:tc>
          <w:tcPr/>
          <w:p>
            <w:pPr>
              <w:pStyle w:val="Compact"/>
            </w:pPr>
            <w:r>
              <w:t xml:space="preserve">1 h 56</w:t>
            </w:r>
          </w:p>
        </w:tc>
        <w:tc>
          <w:tcPr/>
          <w:p>
            <w:pPr>
              <w:pStyle w:val="Compact"/>
            </w:pPr>
            <w:r>
              <w:t xml:space="preserve">~1 h 30</w:t>
            </w:r>
          </w:p>
        </w:tc>
      </w:tr>
      <w:tr>
        <w:tc>
          <w:tcPr/>
          <w:p>
            <w:pPr>
              <w:pStyle w:val="Compact"/>
            </w:pPr>
            <w:r>
              <w:t xml:space="preserve">Montréal-Ottawa</w:t>
            </w:r>
          </w:p>
        </w:tc>
        <w:tc>
          <w:tcPr/>
          <w:p>
            <w:pPr>
              <w:pStyle w:val="Compact"/>
            </w:pPr>
            <w:r>
              <w:t xml:space="preserve">2 h 02</w:t>
            </w:r>
          </w:p>
        </w:tc>
        <w:tc>
          <w:tcPr/>
          <w:p>
            <w:pPr>
              <w:pStyle w:val="Compact"/>
            </w:pPr>
            <w:r>
              <w:t xml:space="preserve">1 h 50</w:t>
            </w:r>
          </w:p>
        </w:tc>
        <w:tc>
          <w:tcPr/>
          <w:p>
            <w:pPr>
              <w:pStyle w:val="Compact"/>
            </w:pPr>
            <w:r>
              <w:t xml:space="preserve">1 h 34</w:t>
            </w:r>
          </w:p>
        </w:tc>
        <w:tc>
          <w:tcPr/>
          <w:p>
            <w:pPr>
              <w:pStyle w:val="Compact"/>
            </w:pPr>
            <w:r>
              <w:t xml:space="preserve">1 h 23</w:t>
            </w:r>
          </w:p>
        </w:tc>
        <w:tc>
          <w:tcPr/>
          <w:p>
            <w:pPr>
              <w:pStyle w:val="Compact"/>
            </w:pPr>
            <w:r>
              <w:t xml:space="preserve">~1 h</w:t>
            </w:r>
          </w:p>
        </w:tc>
      </w:tr>
      <w:tr>
        <w:tc>
          <w:tcPr/>
          <w:p>
            <w:pPr>
              <w:pStyle w:val="Compact"/>
            </w:pPr>
            <w:r>
              <w:t xml:space="preserve">Ottawa-Toronto</w:t>
            </w:r>
          </w:p>
        </w:tc>
        <w:tc>
          <w:tcPr/>
          <w:p>
            <w:pPr>
              <w:pStyle w:val="Compact"/>
            </w:pPr>
            <w:r>
              <w:t xml:space="preserve">4 h 35</w:t>
            </w:r>
          </w:p>
        </w:tc>
        <w:tc>
          <w:tcPr/>
          <w:p>
            <w:pPr>
              <w:pStyle w:val="Compact"/>
            </w:pPr>
            <w:r>
              <w:t xml:space="preserve">3 h 43</w:t>
            </w:r>
          </w:p>
        </w:tc>
        <w:tc>
          <w:tcPr/>
          <w:p>
            <w:pPr>
              <w:pStyle w:val="Compact"/>
            </w:pPr>
            <w:r>
              <w:t xml:space="preserve">3 h 34</w:t>
            </w:r>
          </w:p>
        </w:tc>
        <w:tc>
          <w:tcPr/>
          <w:p>
            <w:pPr>
              <w:pStyle w:val="Compact"/>
            </w:pPr>
            <w:r>
              <w:t xml:space="preserve">3 h 29</w:t>
            </w:r>
          </w:p>
        </w:tc>
        <w:tc>
          <w:tcPr/>
          <w:p>
            <w:pPr>
              <w:pStyle w:val="Compact"/>
            </w:pPr>
            <w:r>
              <w:t xml:space="preserve">~2 h</w:t>
            </w:r>
          </w:p>
        </w:tc>
      </w:tr>
      <w:tr>
        <w:tc>
          <w:tcPr/>
          <w:p>
            <w:pPr>
              <w:pStyle w:val="Compact"/>
            </w:pPr>
            <w:r>
              <w:t xml:space="preserve">Montréal-Toronto</w:t>
            </w:r>
          </w:p>
        </w:tc>
        <w:tc>
          <w:tcPr/>
          <w:p>
            <w:pPr>
              <w:pStyle w:val="Compact"/>
            </w:pPr>
            <w:r>
              <w:t xml:space="preserve">5 h 18</w:t>
            </w:r>
          </w:p>
        </w:tc>
        <w:tc>
          <w:tcPr/>
          <w:p>
            <w:pPr>
              <w:pStyle w:val="Compact"/>
            </w:pPr>
            <w:r>
              <w:t xml:space="preserve">4 h 27</w:t>
            </w:r>
          </w:p>
        </w:tc>
        <w:tc>
          <w:tcPr/>
          <w:p>
            <w:pPr>
              <w:pStyle w:val="Compact"/>
            </w:pPr>
            <w:r>
              <w:t xml:space="preserve">4 h 04</w:t>
            </w:r>
          </w:p>
        </w:tc>
        <w:tc>
          <w:tcPr/>
          <w:p>
            <w:pPr>
              <w:pStyle w:val="Compact"/>
            </w:pPr>
            <w:r>
              <w:t xml:space="preserve">4 h 04</w:t>
            </w:r>
          </w:p>
        </w:tc>
        <w:tc>
          <w:tcPr/>
          <w:p>
            <w:pPr>
              <w:pStyle w:val="Compact"/>
            </w:pPr>
            <w:r>
              <w:t xml:space="preserve">3 h</w:t>
            </w:r>
          </w:p>
        </w:tc>
      </w:tr>
      <w:tr>
        <w:tc>
          <w:tcPr/>
          <w:p>
            <w:pPr>
              <w:pStyle w:val="Compact"/>
            </w:pPr>
            <w:r>
              <w:t xml:space="preserve">Québec-Toronto via Montréal (arrêt de 10 min)</w:t>
            </w:r>
          </w:p>
        </w:tc>
        <w:tc>
          <w:tcPr/>
          <w:p>
            <w:pPr>
              <w:pStyle w:val="Compact"/>
            </w:pPr>
            <w:r>
              <w:t xml:space="preserve">8 h 50</w:t>
            </w:r>
          </w:p>
        </w:tc>
        <w:tc>
          <w:tcPr/>
          <w:p>
            <w:pPr>
              <w:pStyle w:val="Compact"/>
            </w:pPr>
            <w:r>
              <w:t xml:space="preserve">7 h 15</w:t>
            </w:r>
          </w:p>
        </w:tc>
        <w:tc>
          <w:tcPr/>
          <w:p>
            <w:pPr>
              <w:pStyle w:val="Compact"/>
            </w:pPr>
            <w:r>
              <w:t xml:space="preserve">6 h 30</w:t>
            </w:r>
          </w:p>
        </w:tc>
        <w:tc>
          <w:tcPr/>
          <w:p>
            <w:pPr>
              <w:pStyle w:val="Compact"/>
            </w:pPr>
            <w:r>
              <w:t xml:space="preserve">6 h 10</w:t>
            </w:r>
          </w:p>
        </w:tc>
        <w:tc>
          <w:tcPr/>
          <w:p>
            <w:pPr>
              <w:pStyle w:val="Compact"/>
            </w:pPr>
            <w:r>
              <w:t xml:space="preserve">~4 h 30</w:t>
            </w:r>
          </w:p>
        </w:tc>
      </w:tr>
    </w:tbl>
    <w:p>
      <w:pPr>
        <w:pStyle w:val="BodyText"/>
      </w:pPr>
      <w:r>
        <w:t xml:space="preserve">Le trajet Québec-Toronto additionne Québec-Montréal et Montréal-Toronto, plus dix minutes d’arrêt à Montréal (hypothèse déclarée). Les temps de base sans marge et la méthode d’attribution des tranches de la figure des gains sont dans l’annexe numérique (</w:t>
      </w:r>
      <w:r>
        <w:rPr>
          <w:rStyle w:val="VerbatimChar"/>
        </w:rPr>
        <w:t xml:space="preserve">temps_scenario_1.csv</w:t>
      </w:r>
      <w:r>
        <w:t xml:space="preserve">,</w:t>
      </w:r>
      <w:r>
        <w:t xml:space="preserve"> </w:t>
      </w:r>
      <w:r>
        <w:rPr>
          <w:rStyle w:val="VerbatimChar"/>
        </w:rPr>
        <w:t xml:space="preserve">decomposition_gains.csv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du scénario 1. La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 Les conventions de calcul sont au registre des sources.</w:t>
      </w:r>
    </w:p>
    <w:bookmarkEnd w:id="43"/>
    <w:bookmarkStart w:id="44"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 les 297 autres garderaient le régime du scénario 3.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p>
      <w:pPr>
        <w:pStyle w:val="BodyText"/>
      </w:pPr>
      <w:r>
        <w:t xml:space="preserve">La réponse, sur le scénario 3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Scénario 3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1 h 56</w:t>
            </w:r>
          </w:p>
        </w:tc>
        <w:tc>
          <w:tcPr/>
          <w:p>
            <w:pPr>
              <w:pStyle w:val="Compact"/>
            </w:pPr>
            <w:r>
              <w:t xml:space="preserve">1 h 52</w:t>
            </w:r>
          </w:p>
        </w:tc>
        <w:tc>
          <w:tcPr/>
          <w:p>
            <w:pPr>
              <w:pStyle w:val="Compact"/>
            </w:pPr>
            <w:r>
              <w:t xml:space="preserve">4 min</w:t>
            </w:r>
          </w:p>
        </w:tc>
        <w:tc>
          <w:tcPr/>
          <w:p>
            <w:pPr>
              <w:pStyle w:val="Compact"/>
            </w:pPr>
            <w:r>
              <w:t xml:space="preserve">~1 h 30</w:t>
            </w:r>
          </w:p>
        </w:tc>
      </w:tr>
      <w:tr>
        <w:tc>
          <w:tcPr/>
          <w:p>
            <w:pPr>
              <w:pStyle w:val="Compact"/>
            </w:pPr>
            <w:r>
              <w:t xml:space="preserve">Montréal-Ottawa</w:t>
            </w:r>
          </w:p>
        </w:tc>
        <w:tc>
          <w:tcPr/>
          <w:p>
            <w:pPr>
              <w:pStyle w:val="Compact"/>
            </w:pPr>
            <w:r>
              <w:t xml:space="preserve">1 h 23</w:t>
            </w:r>
          </w:p>
        </w:tc>
        <w:tc>
          <w:tcPr/>
          <w:p>
            <w:pPr>
              <w:pStyle w:val="Compact"/>
            </w:pPr>
            <w:r>
              <w:t xml:space="preserve">1 h 21</w:t>
            </w:r>
          </w:p>
        </w:tc>
        <w:tc>
          <w:tcPr/>
          <w:p>
            <w:pPr>
              <w:pStyle w:val="Compact"/>
            </w:pPr>
            <w:r>
              <w:t xml:space="preserve">2 min</w:t>
            </w:r>
          </w:p>
        </w:tc>
        <w:tc>
          <w:tcPr/>
          <w:p>
            <w:pPr>
              <w:pStyle w:val="Compact"/>
            </w:pPr>
            <w:r>
              <w:t xml:space="preserve">~1 h</w:t>
            </w:r>
          </w:p>
        </w:tc>
      </w:tr>
      <w:tr>
        <w:tc>
          <w:tcPr/>
          <w:p>
            <w:pPr>
              <w:pStyle w:val="Compact"/>
            </w:pPr>
            <w:r>
              <w:t xml:space="preserve">Ottawa-Toronto</w:t>
            </w:r>
          </w:p>
        </w:tc>
        <w:tc>
          <w:tcPr/>
          <w:p>
            <w:pPr>
              <w:pStyle w:val="Compact"/>
            </w:pPr>
            <w:r>
              <w:t xml:space="preserve">3 h 29</w:t>
            </w:r>
          </w:p>
        </w:tc>
        <w:tc>
          <w:tcPr/>
          <w:p>
            <w:pPr>
              <w:pStyle w:val="Compact"/>
            </w:pPr>
            <w:r>
              <w:t xml:space="preserve">3 h 21</w:t>
            </w:r>
          </w:p>
        </w:tc>
        <w:tc>
          <w:tcPr/>
          <w:p>
            <w:pPr>
              <w:pStyle w:val="Compact"/>
            </w:pPr>
            <w:r>
              <w:t xml:space="preserve">8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Sur le scénario 1, les gains sont du même ordre : de 1 à 12 minutes selon le trajet. De bout en bout, Québec-Toronto pourrait y gagner 16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2 à 12 minutes, alors que le traitement des passages en place des scénarios 1 à 3 coûte une fraction de ce prix. Les retraits gardent leurs autres mérites, notamment la sécurité, et quelques-uns se justifieront site par site. Mais quiconque veut des minutes au-delà du scénario 3 doit toucher au tracé lui-même, et c’est un autre projet : celui d’ALTO. Cette page établit l’écart entre les deux mondes.</w:t>
      </w:r>
    </w:p>
    <w:bookmarkEnd w:id="44"/>
    <w:bookmarkStart w:id="45"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aucun coût.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w:t>
      </w:r>
    </w:p>
    <w:bookmarkEnd w:id="45"/>
    <w:bookmarkStart w:id="46"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46"/>
    <w:bookmarkStart w:id="156" w:name="références"/>
    <w:p>
      <w:pPr>
        <w:pStyle w:val="Heading1"/>
      </w:pPr>
      <w:r>
        <w:t xml:space="preserve">Références</w:t>
      </w:r>
    </w:p>
    <w:bookmarkStart w:id="155" w:name="refs"/>
    <w:bookmarkStart w:id="48"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47">
        <w:r>
          <w:rPr>
            <w:rStyle w:val="Hyperlink"/>
          </w:rPr>
          <w:t xml:space="preserve">https://www.alstom.com/press-releases-news/2005/6/The-NEW-PENDOLINO-The-fourth-generation-of-tilting-technology-20050628</w:t>
        </w:r>
      </w:hyperlink>
    </w:p>
    <w:bookmarkEnd w:id="48"/>
    <w:bookmarkStart w:id="50" w:name="ref-alto2025"/>
    <w:p>
      <w:pPr>
        <w:pStyle w:val="Bibliography"/>
      </w:pPr>
      <w:r>
        <w:t xml:space="preserve">Alto. (2025).</w:t>
      </w:r>
      <w:r>
        <w:t xml:space="preserve"> </w:t>
      </w:r>
      <w:r>
        <w:rPr>
          <w:i/>
          <w:iCs/>
        </w:rPr>
        <w:t xml:space="preserve">About Alto</w:t>
      </w:r>
      <w:r>
        <w:t xml:space="preserve">.</w:t>
      </w:r>
      <w:r>
        <w:t xml:space="preserve"> </w:t>
      </w:r>
      <w:hyperlink r:id="rId49">
        <w:r>
          <w:rPr>
            <w:rStyle w:val="Hyperlink"/>
          </w:rPr>
          <w:t xml:space="preserve">https://www.altotrain.ca/en/about-alto</w:t>
        </w:r>
      </w:hyperlink>
    </w:p>
    <w:bookmarkEnd w:id="50"/>
    <w:bookmarkStart w:id="52"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1">
        <w:r>
          <w:rPr>
            <w:rStyle w:val="Hyperlink"/>
          </w:rPr>
          <w:t xml:space="preserve">https://www.altotrain.ca/fr/foire-aux-questions</w:t>
        </w:r>
      </w:hyperlink>
    </w:p>
    <w:bookmarkEnd w:id="52"/>
    <w:bookmarkStart w:id="54"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53">
        <w:r>
          <w:rPr>
            <w:rStyle w:val="Hyperlink"/>
          </w:rPr>
          <w:t xml:space="preserve">https://amtrakoig.gov/sites/default/files/reports/OIG-A-2020-001%20OTP%20mandate.pdf</w:t>
        </w:r>
      </w:hyperlink>
    </w:p>
    <w:bookmarkEnd w:id="54"/>
    <w:bookmarkStart w:id="56"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55">
        <w:r>
          <w:rPr>
            <w:rStyle w:val="Hyperlink"/>
          </w:rPr>
          <w:t xml:space="preserve">https://exporail.org/canrail/canadian_rail_1962_1989/canadian-rail-296-1976.pdf</w:t>
        </w:r>
      </w:hyperlink>
    </w:p>
    <w:bookmarkEnd w:id="56"/>
    <w:bookmarkStart w:id="58"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57">
        <w:r>
          <w:rPr>
            <w:rStyle w:val="Hyperlink"/>
          </w:rPr>
          <w:t xml:space="preserve">https://austria-forum.org/af/AustriaWiki/ICE_T</w:t>
        </w:r>
      </w:hyperlink>
    </w:p>
    <w:bookmarkEnd w:id="58"/>
    <w:bookmarkStart w:id="60"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59">
        <w:r>
          <w:rPr>
            <w:rStyle w:val="Hyperlink"/>
          </w:rPr>
          <w:t xml:space="preserve">https://spacing.ca/toronto/2015/12/09/53711/</w:t>
        </w:r>
      </w:hyperlink>
    </w:p>
    <w:bookmarkEnd w:id="60"/>
    <w:bookmarkStart w:id="62"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61">
        <w:r>
          <w:rPr>
            <w:rStyle w:val="Hyperlink"/>
          </w:rPr>
          <w:t xml:space="preserve">https://railroads.dot.gov/sites/fra.dot.gov/files/fra_net/300/ord0917.pdf</w:t>
        </w:r>
      </w:hyperlink>
    </w:p>
    <w:bookmarkEnd w:id="62"/>
    <w:bookmarkStart w:id="64"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63">
        <w:r>
          <w:rPr>
            <w:rStyle w:val="Hyperlink"/>
          </w:rPr>
          <w:t xml:space="preserve">https://www.gobrightline.com/press-room/2023/brightline-130-mph-milestone</w:t>
        </w:r>
      </w:hyperlink>
    </w:p>
    <w:bookmarkEnd w:id="64"/>
    <w:bookmarkStart w:id="66"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65">
        <w:r>
          <w:rPr>
            <w:rStyle w:val="Hyperlink"/>
          </w:rPr>
          <w:t xml:space="preserve">https://researchbriefings.files.parliament.uk/documents/SN00364/SN00364.pdf</w:t>
        </w:r>
      </w:hyperlink>
    </w:p>
    <w:bookmarkEnd w:id="66"/>
    <w:bookmarkStart w:id="68"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67">
        <w:r>
          <w:rPr>
            <w:rStyle w:val="Hyperlink"/>
          </w:rPr>
          <w:t xml:space="preserve">https://www.pm.gc.ca/en/news/news-releases/2025/02/19/canada-getting-high-speed</w:t>
        </w:r>
      </w:hyperlink>
    </w:p>
    <w:bookmarkEnd w:id="68"/>
    <w:bookmarkStart w:id="69"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69"/>
    <w:bookmarkStart w:id="71"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70">
        <w:r>
          <w:rPr>
            <w:rStyle w:val="Hyperlink"/>
          </w:rPr>
          <w:t xml:space="preserve">https://www.cbc.ca/news/canada/ottawa/via-montreal-toronto-pilot-that-skipped-eastern-ontario-postponed-1.7646512</w:t>
        </w:r>
      </w:hyperlink>
    </w:p>
    <w:bookmarkEnd w:id="71"/>
    <w:bookmarkStart w:id="73"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72">
        <w:r>
          <w:rPr>
            <w:rStyle w:val="Hyperlink"/>
          </w:rPr>
          <w:t xml:space="preserve">https://eur-lex.europa.eu/legal-content/FR/TXT/?uri=CELEX:32023R1695</w:t>
        </w:r>
      </w:hyperlink>
    </w:p>
    <w:bookmarkEnd w:id="73"/>
    <w:bookmarkStart w:id="75"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74">
        <w:r>
          <w:rPr>
            <w:rStyle w:val="Hyperlink"/>
          </w:rPr>
          <w:t xml:space="preserve">https://transport.ec.europa.eu/transport-modes/rail/ertms/what-ertms-and-how-does-it-work/etcs-levels-and-modes_en</w:t>
        </w:r>
      </w:hyperlink>
    </w:p>
    <w:bookmarkEnd w:id="75"/>
    <w:bookmarkStart w:id="77"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76">
        <w:r>
          <w:rPr>
            <w:rStyle w:val="Hyperlink"/>
          </w:rPr>
          <w:t xml:space="preserve">https://assets.static-bahn.de/dam/jcr:4925f5ab-a1e2-4b5e-9205-221aab02f243/215191-289017.pdf</w:t>
        </w:r>
      </w:hyperlink>
    </w:p>
    <w:bookmarkEnd w:id="77"/>
    <w:bookmarkStart w:id="79"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78">
        <w:r>
          <w:rPr>
            <w:rStyle w:val="Hyperlink"/>
          </w:rPr>
          <w:t xml:space="preserve">https://doi.org/10.1177/0361198119841852</w:t>
        </w:r>
      </w:hyperlink>
    </w:p>
    <w:bookmarkEnd w:id="79"/>
    <w:bookmarkStart w:id="81"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80">
        <w:r>
          <w:rPr>
            <w:rStyle w:val="Hyperlink"/>
          </w:rPr>
          <w:t xml:space="preserve">https://www.ecfr.gov/current/title-49/section-213.347</w:t>
        </w:r>
      </w:hyperlink>
    </w:p>
    <w:bookmarkEnd w:id="81"/>
    <w:bookmarkStart w:id="83"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82">
        <w:r>
          <w:rPr>
            <w:rStyle w:val="Hyperlink"/>
          </w:rPr>
          <w:t xml:space="preserve">https://railroads.dot.gov/sites/fra.dot.gov/files/fra_net/19085/Superelevation.pdf</w:t>
        </w:r>
      </w:hyperlink>
    </w:p>
    <w:bookmarkEnd w:id="83"/>
    <w:bookmarkStart w:id="85"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84">
        <w:r>
          <w:rPr>
            <w:rStyle w:val="Hyperlink"/>
          </w:rPr>
          <w:t xml:space="preserve">https://railroads.dot.gov/sites/fra.dot.gov/files/fra_net/17524/ptc_ben_cost_report.pdf</w:t>
        </w:r>
      </w:hyperlink>
    </w:p>
    <w:bookmarkEnd w:id="85"/>
    <w:bookmarkStart w:id="87"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86">
        <w:r>
          <w:rPr>
            <w:rStyle w:val="Hyperlink"/>
          </w:rPr>
          <w:t xml:space="preserve">https://railroads.dot.gov/sites/fra.dot.gov/files/fra_net/17118/Chapter%202%20Alternatives%20Considered.pdf</w:t>
        </w:r>
      </w:hyperlink>
    </w:p>
    <w:bookmarkEnd w:id="87"/>
    <w:bookmarkStart w:id="89"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88">
        <w:r>
          <w:rPr>
            <w:rStyle w:val="Hyperlink"/>
          </w:rPr>
          <w:t xml:space="preserve">https://globalnews.ca/news/10868587/via-rail-judicial-review-cn-rail-speed-restrictions/</w:t>
        </w:r>
      </w:hyperlink>
    </w:p>
    <w:bookmarkEnd w:id="89"/>
    <w:bookmarkStart w:id="91"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90">
        <w:r>
          <w:rPr>
            <w:rStyle w:val="Hyperlink"/>
          </w:rPr>
          <w:t xml:space="preserve">https://www.nao.org.uk/reports/the-modernisation-of-the-west-coast-main-line/</w:t>
        </w:r>
      </w:hyperlink>
    </w:p>
    <w:bookmarkEnd w:id="91"/>
    <w:bookmarkStart w:id="93"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92">
        <w:r>
          <w:rPr>
            <w:rStyle w:val="Hyperlink"/>
          </w:rPr>
          <w:t xml:space="preserve">https://otc-cta.gc.ca/fra/differends-sur-droits-circulation-et-sur-lusage-commun-des-voies</w:t>
        </w:r>
      </w:hyperlink>
    </w:p>
    <w:bookmarkEnd w:id="93"/>
    <w:bookmarkStart w:id="95"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94">
        <w:r>
          <w:rPr>
            <w:rStyle w:val="Hyperlink"/>
          </w:rPr>
          <w:t xml:space="preserve">https://www.orr.gov.uk/sites/default/files/2021-07/guidance-on-the-statutory-and-contractual-framework.pdf</w:t>
        </w:r>
      </w:hyperlink>
    </w:p>
    <w:bookmarkEnd w:id="95"/>
    <w:bookmarkStart w:id="97"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96">
        <w:r>
          <w:rPr>
            <w:rStyle w:val="Hyperlink"/>
          </w:rPr>
          <w:t xml:space="preserve">https://www.orr.gov.uk/sites/default/files/2024-05/train-protection-systems-guidance-on-rsr-1999.pdf</w:t>
        </w:r>
      </w:hyperlink>
    </w:p>
    <w:bookmarkEnd w:id="97"/>
    <w:bookmarkStart w:id="99"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98">
        <w:r>
          <w:rPr>
            <w:rStyle w:val="Hyperlink"/>
          </w:rPr>
          <w:t xml:space="preserve">https://www.orr.gov.uk/sites/default/files/2025-07/2025-07-03-applications-for-access-to-the-west-coast-main-line-decision.pdf</w:t>
        </w:r>
      </w:hyperlink>
    </w:p>
    <w:bookmarkEnd w:id="99"/>
    <w:bookmarkStart w:id="101"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00">
        <w:r>
          <w:rPr>
            <w:rStyle w:val="Hyperlink"/>
          </w:rPr>
          <w:t xml:space="preserve">https://download.geofabrik.de/</w:t>
        </w:r>
      </w:hyperlink>
    </w:p>
    <w:bookmarkEnd w:id="101"/>
    <w:bookmarkStart w:id="103"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02">
        <w:r>
          <w:rPr>
            <w:rStyle w:val="Hyperlink"/>
          </w:rPr>
          <w:t xml:space="preserve">https://laws-lois.justice.gc.ca/fra/lois/c-10.4/section-138.html</w:t>
        </w:r>
      </w:hyperlink>
    </w:p>
    <w:bookmarkEnd w:id="103"/>
    <w:bookmarkStart w:id="105"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04">
        <w:r>
          <w:rPr>
            <w:rStyle w:val="Hyperlink"/>
          </w:rPr>
          <w:t xml:space="preserve">https://www.legislation.gov.uk/ukpga/1993/43/section/17</w:t>
        </w:r>
      </w:hyperlink>
    </w:p>
    <w:bookmarkEnd w:id="105"/>
    <w:bookmarkStart w:id="107"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06">
        <w:r>
          <w:rPr>
            <w:rStyle w:val="Hyperlink"/>
          </w:rPr>
          <w:t xml:space="preserve">https://tfl.gov.uk/cdn/static/cms/documents/rfli-ccos-tpr-2026.pdf</w:t>
        </w:r>
      </w:hyperlink>
    </w:p>
    <w:bookmarkEnd w:id="107"/>
    <w:bookmarkStart w:id="109"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08">
        <w:r>
          <w:rPr>
            <w:rStyle w:val="Hyperlink"/>
          </w:rPr>
          <w:t xml:space="preserve">https://journals.aau.dk/index.php/td/article/download/5554/4887</w:t>
        </w:r>
      </w:hyperlink>
    </w:p>
    <w:bookmarkEnd w:id="109"/>
    <w:bookmarkStart w:id="111"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10">
        <w:r>
          <w:rPr>
            <w:rStyle w:val="Hyperlink"/>
          </w:rPr>
          <w:t xml:space="preserve">https://assets.new.siemens.com/siemens/assets/api/uuid:f1a77eb1-1b1a-4335-913e-8f831d82d778/WSDOT-Charger-Data-Sheet_original.pdf</w:t>
        </w:r>
      </w:hyperlink>
    </w:p>
    <w:bookmarkEnd w:id="111"/>
    <w:bookmarkStart w:id="113"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12">
        <w:r>
          <w:rPr>
            <w:rStyle w:val="Hyperlink"/>
          </w:rPr>
          <w:t xml:space="preserve">https://www.sncf-reseau.com/medias-publics/2023-12/DRR2025-annexe-4-1.pdf</w:t>
        </w:r>
      </w:hyperlink>
    </w:p>
    <w:bookmarkEnd w:id="113"/>
    <w:bookmarkStart w:id="115"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14">
        <w:r>
          <w:rPr>
            <w:rStyle w:val="Hyperlink"/>
          </w:rPr>
          <w:t xml:space="preserve">https://railtec.illinois.edu/wp/wp-content/uploads/2019/01/Sogin%20et%20al%202013b%20IAROR.pdf</w:t>
        </w:r>
      </w:hyperlink>
    </w:p>
    <w:bookmarkEnd w:id="115"/>
    <w:bookmarkStart w:id="117"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16">
        <w:r>
          <w:rPr>
            <w:rStyle w:val="Hyperlink"/>
          </w:rPr>
          <w:t xml:space="preserve">https://bransch.trafikverket.se/contentassets/6526f430ae7f489aae8e88c06f2eef6b/jnb-2027-2025-12-05.pdf</w:t>
        </w:r>
      </w:hyperlink>
    </w:p>
    <w:bookmarkEnd w:id="117"/>
    <w:bookmarkStart w:id="119"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18">
        <w:r>
          <w:rPr>
            <w:rStyle w:val="Hyperlink"/>
          </w:rPr>
          <w:t xml:space="preserve">https://tc.canada.ca/en/rail-transportation/rules/2022-2023/rules-respecting-track-safety/subpart-c</w:t>
        </w:r>
      </w:hyperlink>
    </w:p>
    <w:bookmarkEnd w:id="119"/>
    <w:bookmarkStart w:id="121"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20">
        <w:r>
          <w:rPr>
            <w:rStyle w:val="Hyperlink"/>
          </w:rPr>
          <w:t xml:space="preserve">https://ouvert.canada.ca/data/fr/dataset/d0f54727-6c0b-4e5a-aa04-ea1463cf9f4c</w:t>
        </w:r>
      </w:hyperlink>
    </w:p>
    <w:bookmarkEnd w:id="121"/>
    <w:bookmarkStart w:id="123"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22">
        <w:r>
          <w:rPr>
            <w:rStyle w:val="Hyperlink"/>
          </w:rPr>
          <w:t xml:space="preserve">https://tc.canada.ca/en/binder/3-pic-operating-restrictions-via-rail-quebec-city-windsor-corridor</w:t>
        </w:r>
      </w:hyperlink>
    </w:p>
    <w:bookmarkEnd w:id="123"/>
    <w:bookmarkStart w:id="125"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24">
        <w:r>
          <w:rPr>
            <w:rStyle w:val="Hyperlink"/>
          </w:rPr>
          <w:t xml:space="preserve">https://tc.canada.ca/sites/default/files/2025-01/Jan_2025_Canadian_rail_operating_rules_EN.pdf</w:t>
        </w:r>
      </w:hyperlink>
    </w:p>
    <w:bookmarkEnd w:id="125"/>
    <w:bookmarkStart w:id="126"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26"/>
    <w:bookmarkStart w:id="128"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27">
        <w:r>
          <w:rPr>
            <w:rStyle w:val="Hyperlink"/>
          </w:rPr>
          <w:t xml:space="preserve">https://railroads.dot.gov/elibrary/secretary-slater-announces-approval-150mph-amtrak-acela-service</w:t>
        </w:r>
      </w:hyperlink>
    </w:p>
    <w:bookmarkEnd w:id="128"/>
    <w:bookmarkStart w:id="130"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29">
        <w:r>
          <w:rPr>
            <w:rStyle w:val="Hyperlink"/>
          </w:rPr>
          <w:t xml:space="preserve">https://www.federalregister.gov/documents/2010/01/15/E9-31362/positive-train-control-systems</w:t>
        </w:r>
      </w:hyperlink>
    </w:p>
    <w:bookmarkEnd w:id="130"/>
    <w:bookmarkStart w:id="132"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31">
        <w:r>
          <w:rPr>
            <w:rStyle w:val="Hyperlink"/>
          </w:rPr>
          <w:t xml:space="preserve">https://www.federalregister.gov/documents/2023/03/09/2023-04832/brightline-trains-florida-llcs-positive-train-control-safety-plan-and-request-for-positive-train</w:t>
        </w:r>
      </w:hyperlink>
    </w:p>
    <w:bookmarkEnd w:id="132"/>
    <w:bookmarkStart w:id="134"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33">
        <w:r>
          <w:rPr>
            <w:rStyle w:val="Hyperlink"/>
          </w:rPr>
          <w:t xml:space="preserve">https://www.ecfr.gov/current/title-49/subtitle-B/chapter-II/part-236/subject-group-ECFR3fd63a3e8f8e42d/section-236.0</w:t>
        </w:r>
      </w:hyperlink>
    </w:p>
    <w:bookmarkEnd w:id="134"/>
    <w:bookmarkStart w:id="136"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35">
        <w:r>
          <w:rPr>
            <w:rStyle w:val="Hyperlink"/>
          </w:rPr>
          <w:t xml:space="preserve">https://www.viarail.ca/sites/all/files/media/pdfs/About_VIA/our-company/capital-investment-plan/BK090501E%20-%20VIA%20LRC.pdf</w:t>
        </w:r>
      </w:hyperlink>
    </w:p>
    <w:bookmarkEnd w:id="136"/>
    <w:bookmarkStart w:id="138"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37">
        <w:r>
          <w:rPr>
            <w:rStyle w:val="Hyperlink"/>
          </w:rPr>
          <w:t xml:space="preserve">https://corpo.viarail.ca/en/projects-infrastructure/train-fleet/corridor-fleet</w:t>
        </w:r>
      </w:hyperlink>
    </w:p>
    <w:bookmarkEnd w:id="138"/>
    <w:bookmarkStart w:id="140"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39">
        <w:r>
          <w:rPr>
            <w:rStyle w:val="Hyperlink"/>
          </w:rPr>
          <w:t xml:space="preserve">https://media.viarail.ca/sites/default/files/publications/VIA-Rail_Annual-Report_2024.pdf</w:t>
        </w:r>
      </w:hyperlink>
    </w:p>
    <w:bookmarkEnd w:id="140"/>
    <w:bookmarkStart w:id="142"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41">
        <w:r>
          <w:rPr>
            <w:rStyle w:val="Hyperlink"/>
          </w:rPr>
          <w:t xml:space="preserve">https://media.viarail.ca/sites/default/files/publications/2025_VIA-Rail_First-Quarter-Report.pdf</w:t>
        </w:r>
      </w:hyperlink>
    </w:p>
    <w:bookmarkEnd w:id="142"/>
    <w:bookmarkStart w:id="144"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43">
        <w:r>
          <w:rPr>
            <w:rStyle w:val="Hyperlink"/>
          </w:rPr>
          <w:t xml:space="preserve">https://www.viarail.ca/fr/developpeurs</w:t>
        </w:r>
      </w:hyperlink>
    </w:p>
    <w:bookmarkEnd w:id="144"/>
    <w:bookmarkStart w:id="146"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45">
        <w:r>
          <w:rPr>
            <w:rStyle w:val="Hyperlink"/>
          </w:rPr>
          <w:t xml:space="preserve">https://en.wikipedia.org/wiki/British_Rail_Class_390</w:t>
        </w:r>
      </w:hyperlink>
    </w:p>
    <w:bookmarkEnd w:id="146"/>
    <w:bookmarkStart w:id="148"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47">
        <w:r>
          <w:rPr>
            <w:rStyle w:val="Hyperlink"/>
          </w:rPr>
          <w:t xml:space="preserve">https://en.wikipedia.org/wiki/New_Pendolino</w:t>
        </w:r>
      </w:hyperlink>
    </w:p>
    <w:bookmarkEnd w:id="148"/>
    <w:bookmarkStart w:id="150"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49">
        <w:r>
          <w:rPr>
            <w:rStyle w:val="Hyperlink"/>
          </w:rPr>
          <w:t xml:space="preserve">https://en.wikipedia.org/wiki/Siemens_Charger</w:t>
        </w:r>
      </w:hyperlink>
    </w:p>
    <w:bookmarkEnd w:id="150"/>
    <w:bookmarkStart w:id="152"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51">
        <w:r>
          <w:rPr>
            <w:rStyle w:val="Hyperlink"/>
          </w:rPr>
          <w:t xml:space="preserve">https://en.wikipedia.org/wiki/Siemens_Venture</w:t>
        </w:r>
      </w:hyperlink>
    </w:p>
    <w:bookmarkEnd w:id="152"/>
    <w:bookmarkStart w:id="154"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53">
        <w:r>
          <w:rPr>
            <w:rStyle w:val="Hyperlink"/>
          </w:rPr>
          <w:t xml:space="preserve">https://en.wikipedia.org/wiki/West_Coast_Main_Line_route_modernisation</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53" Type="http://schemas.openxmlformats.org/officeDocument/2006/relationships/hyperlink" Target="https://amtrakoig.gov/sites/default/files/reports/OIG-A-2020-001%20OTP%20mandate.pdf" TargetMode="External"/><Relationship Id="rId110" Type="http://schemas.openxmlformats.org/officeDocument/2006/relationships/hyperlink" Target="https://assets.new.siemens.com/siemens/assets/api/uuid:f1a77eb1-1b1a-4335-913e-8f831d82d778/WSDOT-Charger-Data-Sheet_original.pdf" TargetMode="External"/><Relationship Id="rId76" Type="http://schemas.openxmlformats.org/officeDocument/2006/relationships/hyperlink" Target="https://assets.static-bahn.de/dam/jcr:4925f5ab-a1e2-4b5e-9205-221aab02f243/215191-289017.pdf" TargetMode="External"/><Relationship Id="rId57" Type="http://schemas.openxmlformats.org/officeDocument/2006/relationships/hyperlink" Target="https://austria-forum.org/af/AustriaWiki/ICE_T" TargetMode="External"/><Relationship Id="rId116" Type="http://schemas.openxmlformats.org/officeDocument/2006/relationships/hyperlink" Target="https://bransch.trafikverket.se/contentassets/6526f430ae7f489aae8e88c06f2eef6b/jnb-2027-2025-12-05.pdf" TargetMode="External"/><Relationship Id="rId137" Type="http://schemas.openxmlformats.org/officeDocument/2006/relationships/hyperlink" Target="https://corpo.viarail.ca/en/projects-infrastructure/train-fleet/corridor-fleet" TargetMode="External"/><Relationship Id="rId78" Type="http://schemas.openxmlformats.org/officeDocument/2006/relationships/hyperlink" Target="https://doi.org/10.1177/0361198119841852" TargetMode="External"/><Relationship Id="rId100" Type="http://schemas.openxmlformats.org/officeDocument/2006/relationships/hyperlink" Target="https://download.geofabrik.de/" TargetMode="External"/><Relationship Id="rId145" Type="http://schemas.openxmlformats.org/officeDocument/2006/relationships/hyperlink" Target="https://en.wikipedia.org/wiki/British_Rail_Class_390" TargetMode="External"/><Relationship Id="rId147" Type="http://schemas.openxmlformats.org/officeDocument/2006/relationships/hyperlink" Target="https://en.wikipedia.org/wiki/New_Pendolino" TargetMode="External"/><Relationship Id="rId149" Type="http://schemas.openxmlformats.org/officeDocument/2006/relationships/hyperlink" Target="https://en.wikipedia.org/wiki/Siemens_Charger" TargetMode="External"/><Relationship Id="rId151" Type="http://schemas.openxmlformats.org/officeDocument/2006/relationships/hyperlink" Target="https://en.wikipedia.org/wiki/Siemens_Venture" TargetMode="External"/><Relationship Id="rId153" Type="http://schemas.openxmlformats.org/officeDocument/2006/relationships/hyperlink" Target="https://en.wikipedia.org/wiki/West_Coast_Main_Line_route_modernisation" TargetMode="External"/><Relationship Id="rId72" Type="http://schemas.openxmlformats.org/officeDocument/2006/relationships/hyperlink" Target="https://eur-lex.europa.eu/legal-content/FR/TXT/?uri=CELEX:32023R1695" TargetMode="External"/><Relationship Id="rId55" Type="http://schemas.openxmlformats.org/officeDocument/2006/relationships/hyperlink" Target="https://exporail.org/canrail/canadian_rail_1962_1989/canadian-rail-296-1976.pdf" TargetMode="External"/><Relationship Id="rId88" Type="http://schemas.openxmlformats.org/officeDocument/2006/relationships/hyperlink" Target="https://globalnews.ca/news/10868587/via-rail-judicial-review-cn-rail-speed-restrictions/" TargetMode="External"/><Relationship Id="rId108" Type="http://schemas.openxmlformats.org/officeDocument/2006/relationships/hyperlink" Target="https://journals.aau.dk/index.php/td/article/download/5554/4887" TargetMode="External"/><Relationship Id="rId102" Type="http://schemas.openxmlformats.org/officeDocument/2006/relationships/hyperlink" Target="https://laws-lois.justice.gc.ca/fra/lois/c-10.4/section-138.html" TargetMode="External"/><Relationship Id="rId141" Type="http://schemas.openxmlformats.org/officeDocument/2006/relationships/hyperlink" Target="https://media.viarail.ca/sites/default/files/publications/2025_VIA-Rail_First-Quarter-Report.pdf" TargetMode="External"/><Relationship Id="rId139" Type="http://schemas.openxmlformats.org/officeDocument/2006/relationships/hyperlink" Target="https://media.viarail.ca/sites/default/files/publications/VIA-Rail_Annual-Report_2024.pdf" TargetMode="External"/><Relationship Id="rId92" Type="http://schemas.openxmlformats.org/officeDocument/2006/relationships/hyperlink" Target="https://otc-cta.gc.ca/fra/differends-sur-droits-circulation-et-sur-lusage-commun-des-voies" TargetMode="External"/><Relationship Id="rId120" Type="http://schemas.openxmlformats.org/officeDocument/2006/relationships/hyperlink" Target="https://ouvert.canada.ca/data/fr/dataset/d0f54727-6c0b-4e5a-aa04-ea1463cf9f4c" TargetMode="External"/><Relationship Id="rId127" Type="http://schemas.openxmlformats.org/officeDocument/2006/relationships/hyperlink" Target="https://railroads.dot.gov/elibrary/secretary-slater-announces-approval-150mph-amtrak-acela-service" TargetMode="External"/><Relationship Id="rId86" Type="http://schemas.openxmlformats.org/officeDocument/2006/relationships/hyperlink" Target="https://railroads.dot.gov/sites/fra.dot.gov/files/fra_net/17118/Chapter%202%20Alternatives%20Considered.pdf" TargetMode="External"/><Relationship Id="rId84" Type="http://schemas.openxmlformats.org/officeDocument/2006/relationships/hyperlink" Target="https://railroads.dot.gov/sites/fra.dot.gov/files/fra_net/17524/ptc_ben_cost_report.pdf" TargetMode="External"/><Relationship Id="rId82" Type="http://schemas.openxmlformats.org/officeDocument/2006/relationships/hyperlink" Target="https://railroads.dot.gov/sites/fra.dot.gov/files/fra_net/19085/Superelevation.pdf" TargetMode="External"/><Relationship Id="rId61" Type="http://schemas.openxmlformats.org/officeDocument/2006/relationships/hyperlink" Target="https://railroads.dot.gov/sites/fra.dot.gov/files/fra_net/300/ord0917.pdf" TargetMode="External"/><Relationship Id="rId114" Type="http://schemas.openxmlformats.org/officeDocument/2006/relationships/hyperlink" Target="https://railtec.illinois.edu/wp/wp-content/uploads/2019/01/Sogin%20et%20al%202013b%20IAROR.pdf" TargetMode="External"/><Relationship Id="rId65" Type="http://schemas.openxmlformats.org/officeDocument/2006/relationships/hyperlink" Target="https://researchbriefings.files.parliament.uk/documents/SN00364/SN00364.pdf" TargetMode="External"/><Relationship Id="rId59" Type="http://schemas.openxmlformats.org/officeDocument/2006/relationships/hyperlink" Target="https://spacing.ca/toronto/2015/12/09/53711/" TargetMode="External"/><Relationship Id="rId122" Type="http://schemas.openxmlformats.org/officeDocument/2006/relationships/hyperlink" Target="https://tc.canada.ca/en/binder/3-pic-operating-restrictions-via-rail-quebec-city-windsor-corridor" TargetMode="External"/><Relationship Id="rId118" Type="http://schemas.openxmlformats.org/officeDocument/2006/relationships/hyperlink" Target="https://tc.canada.ca/en/rail-transportation/rules/2022-2023/rules-respecting-track-safety/subpart-c" TargetMode="External"/><Relationship Id="rId124" Type="http://schemas.openxmlformats.org/officeDocument/2006/relationships/hyperlink" Target="https://tc.canada.ca/sites/default/files/2025-01/Jan_2025_Canadian_rail_operating_rules_EN.pdf" TargetMode="External"/><Relationship Id="rId106" Type="http://schemas.openxmlformats.org/officeDocument/2006/relationships/hyperlink" Target="https://tfl.gov.uk/cdn/static/cms/documents/rfli-ccos-tpr-2026.pdf" TargetMode="External"/><Relationship Id="rId74" Type="http://schemas.openxmlformats.org/officeDocument/2006/relationships/hyperlink" Target="https://transport.ec.europa.eu/transport-modes/rail/ertms/what-ertms-and-how-does-it-work/etcs-levels-and-modes_en" TargetMode="External"/><Relationship Id="rId47" Type="http://schemas.openxmlformats.org/officeDocument/2006/relationships/hyperlink" Target="https://www.alstom.com/press-releases-news/2005/6/The-NEW-PENDOLINO-The-fourth-generation-of-tilting-technology-20050628" TargetMode="External"/><Relationship Id="rId49" Type="http://schemas.openxmlformats.org/officeDocument/2006/relationships/hyperlink" Target="https://www.altotrain.ca/en/about-alto" TargetMode="External"/><Relationship Id="rId51" Type="http://schemas.openxmlformats.org/officeDocument/2006/relationships/hyperlink" Target="https://www.altotrain.ca/fr/foire-aux-questions" TargetMode="External"/><Relationship Id="rId70" Type="http://schemas.openxmlformats.org/officeDocument/2006/relationships/hyperlink" Target="https://www.cbc.ca/news/canada/ottawa/via-montreal-toronto-pilot-that-skipped-eastern-ontario-postponed-1.7646512" TargetMode="External"/><Relationship Id="rId80" Type="http://schemas.openxmlformats.org/officeDocument/2006/relationships/hyperlink" Target="https://www.ecfr.gov/current/title-49/section-213.347" TargetMode="External"/><Relationship Id="rId133" Type="http://schemas.openxmlformats.org/officeDocument/2006/relationships/hyperlink" Target="https://www.ecfr.gov/current/title-49/subtitle-B/chapter-II/part-236/subject-group-ECFR3fd63a3e8f8e42d/section-236.0" TargetMode="External"/><Relationship Id="rId129" Type="http://schemas.openxmlformats.org/officeDocument/2006/relationships/hyperlink" Target="https://www.federalregister.gov/documents/2010/01/15/E9-31362/positive-train-control-systems" TargetMode="External"/><Relationship Id="rId131" Type="http://schemas.openxmlformats.org/officeDocument/2006/relationships/hyperlink" Target="https://www.federalregister.gov/documents/2023/03/09/2023-04832/brightline-trains-florida-llcs-positive-train-control-safety-plan-and-request-for-positive-train" TargetMode="External"/><Relationship Id="rId63" Type="http://schemas.openxmlformats.org/officeDocument/2006/relationships/hyperlink" Target="https://www.gobrightline.com/press-room/2023/brightline-130-mph-milestone" TargetMode="External"/><Relationship Id="rId104" Type="http://schemas.openxmlformats.org/officeDocument/2006/relationships/hyperlink" Target="https://www.legislation.gov.uk/ukpga/1993/43/section/17" TargetMode="External"/><Relationship Id="rId90" Type="http://schemas.openxmlformats.org/officeDocument/2006/relationships/hyperlink" Target="https://www.nao.org.uk/reports/the-modernisation-of-the-west-coast-main-line/" TargetMode="External"/><Relationship Id="rId94" Type="http://schemas.openxmlformats.org/officeDocument/2006/relationships/hyperlink" Target="https://www.orr.gov.uk/sites/default/files/2021-07/guidance-on-the-statutory-and-contractual-framework.pdf" TargetMode="External"/><Relationship Id="rId96" Type="http://schemas.openxmlformats.org/officeDocument/2006/relationships/hyperlink" Target="https://www.orr.gov.uk/sites/default/files/2024-05/train-protection-systems-guidance-on-rsr-1999.pdf" TargetMode="External"/><Relationship Id="rId98" Type="http://schemas.openxmlformats.org/officeDocument/2006/relationships/hyperlink" Target="https://www.orr.gov.uk/sites/default/files/2025-07/2025-07-03-applications-for-access-to-the-west-coast-main-line-decision.pdf" TargetMode="External"/><Relationship Id="rId67" Type="http://schemas.openxmlformats.org/officeDocument/2006/relationships/hyperlink" Target="https://www.pm.gc.ca/en/news/news-releases/2025/02/19/canada-getting-high-speed" TargetMode="External"/><Relationship Id="rId112" Type="http://schemas.openxmlformats.org/officeDocument/2006/relationships/hyperlink" Target="https://www.sncf-reseau.com/medias-publics/2023-12/DRR2025-annexe-4-1.pdf" TargetMode="External"/><Relationship Id="rId143" Type="http://schemas.openxmlformats.org/officeDocument/2006/relationships/hyperlink" Target="https://www.viarail.ca/fr/developpeurs" TargetMode="External"/><Relationship Id="rId135"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amtrakoig.gov/sites/default/files/reports/OIG-A-2020-001%20OTP%20mandate.pdf" TargetMode="External"/><Relationship Id="rId110" Type="http://schemas.openxmlformats.org/officeDocument/2006/relationships/hyperlink" Target="https://assets.new.siemens.com/siemens/assets/api/uuid:f1a77eb1-1b1a-4335-913e-8f831d82d778/WSDOT-Charger-Data-Sheet_original.pdf" TargetMode="External"/><Relationship Id="rId76" Type="http://schemas.openxmlformats.org/officeDocument/2006/relationships/hyperlink" Target="https://assets.static-bahn.de/dam/jcr:4925f5ab-a1e2-4b5e-9205-221aab02f243/215191-289017.pdf" TargetMode="External"/><Relationship Id="rId57" Type="http://schemas.openxmlformats.org/officeDocument/2006/relationships/hyperlink" Target="https://austria-forum.org/af/AustriaWiki/ICE_T" TargetMode="External"/><Relationship Id="rId116" Type="http://schemas.openxmlformats.org/officeDocument/2006/relationships/hyperlink" Target="https://bransch.trafikverket.se/contentassets/6526f430ae7f489aae8e88c06f2eef6b/jnb-2027-2025-12-05.pdf" TargetMode="External"/><Relationship Id="rId137" Type="http://schemas.openxmlformats.org/officeDocument/2006/relationships/hyperlink" Target="https://corpo.viarail.ca/en/projects-infrastructure/train-fleet/corridor-fleet" TargetMode="External"/><Relationship Id="rId78" Type="http://schemas.openxmlformats.org/officeDocument/2006/relationships/hyperlink" Target="https://doi.org/10.1177/0361198119841852" TargetMode="External"/><Relationship Id="rId100" Type="http://schemas.openxmlformats.org/officeDocument/2006/relationships/hyperlink" Target="https://download.geofabrik.de/" TargetMode="External"/><Relationship Id="rId145" Type="http://schemas.openxmlformats.org/officeDocument/2006/relationships/hyperlink" Target="https://en.wikipedia.org/wiki/British_Rail_Class_390" TargetMode="External"/><Relationship Id="rId147" Type="http://schemas.openxmlformats.org/officeDocument/2006/relationships/hyperlink" Target="https://en.wikipedia.org/wiki/New_Pendolino" TargetMode="External"/><Relationship Id="rId149" Type="http://schemas.openxmlformats.org/officeDocument/2006/relationships/hyperlink" Target="https://en.wikipedia.org/wiki/Siemens_Charger" TargetMode="External"/><Relationship Id="rId151" Type="http://schemas.openxmlformats.org/officeDocument/2006/relationships/hyperlink" Target="https://en.wikipedia.org/wiki/Siemens_Venture" TargetMode="External"/><Relationship Id="rId153" Type="http://schemas.openxmlformats.org/officeDocument/2006/relationships/hyperlink" Target="https://en.wikipedia.org/wiki/West_Coast_Main_Line_route_modernisation" TargetMode="External"/><Relationship Id="rId72" Type="http://schemas.openxmlformats.org/officeDocument/2006/relationships/hyperlink" Target="https://eur-lex.europa.eu/legal-content/FR/TXT/?uri=CELEX:32023R1695" TargetMode="External"/><Relationship Id="rId55" Type="http://schemas.openxmlformats.org/officeDocument/2006/relationships/hyperlink" Target="https://exporail.org/canrail/canadian_rail_1962_1989/canadian-rail-296-1976.pdf" TargetMode="External"/><Relationship Id="rId88" Type="http://schemas.openxmlformats.org/officeDocument/2006/relationships/hyperlink" Target="https://globalnews.ca/news/10868587/via-rail-judicial-review-cn-rail-speed-restrictions/" TargetMode="External"/><Relationship Id="rId108" Type="http://schemas.openxmlformats.org/officeDocument/2006/relationships/hyperlink" Target="https://journals.aau.dk/index.php/td/article/download/5554/4887" TargetMode="External"/><Relationship Id="rId102" Type="http://schemas.openxmlformats.org/officeDocument/2006/relationships/hyperlink" Target="https://laws-lois.justice.gc.ca/fra/lois/c-10.4/section-138.html" TargetMode="External"/><Relationship Id="rId141" Type="http://schemas.openxmlformats.org/officeDocument/2006/relationships/hyperlink" Target="https://media.viarail.ca/sites/default/files/publications/2025_VIA-Rail_First-Quarter-Report.pdf" TargetMode="External"/><Relationship Id="rId139" Type="http://schemas.openxmlformats.org/officeDocument/2006/relationships/hyperlink" Target="https://media.viarail.ca/sites/default/files/publications/VIA-Rail_Annual-Report_2024.pdf" TargetMode="External"/><Relationship Id="rId92" Type="http://schemas.openxmlformats.org/officeDocument/2006/relationships/hyperlink" Target="https://otc-cta.gc.ca/fra/differends-sur-droits-circulation-et-sur-lusage-commun-des-voies" TargetMode="External"/><Relationship Id="rId120" Type="http://schemas.openxmlformats.org/officeDocument/2006/relationships/hyperlink" Target="https://ouvert.canada.ca/data/fr/dataset/d0f54727-6c0b-4e5a-aa04-ea1463cf9f4c" TargetMode="External"/><Relationship Id="rId127" Type="http://schemas.openxmlformats.org/officeDocument/2006/relationships/hyperlink" Target="https://railroads.dot.gov/elibrary/secretary-slater-announces-approval-150mph-amtrak-acela-service" TargetMode="External"/><Relationship Id="rId86" Type="http://schemas.openxmlformats.org/officeDocument/2006/relationships/hyperlink" Target="https://railroads.dot.gov/sites/fra.dot.gov/files/fra_net/17118/Chapter%202%20Alternatives%20Considered.pdf" TargetMode="External"/><Relationship Id="rId84" Type="http://schemas.openxmlformats.org/officeDocument/2006/relationships/hyperlink" Target="https://railroads.dot.gov/sites/fra.dot.gov/files/fra_net/17524/ptc_ben_cost_report.pdf" TargetMode="External"/><Relationship Id="rId82" Type="http://schemas.openxmlformats.org/officeDocument/2006/relationships/hyperlink" Target="https://railroads.dot.gov/sites/fra.dot.gov/files/fra_net/19085/Superelevation.pdf" TargetMode="External"/><Relationship Id="rId61" Type="http://schemas.openxmlformats.org/officeDocument/2006/relationships/hyperlink" Target="https://railroads.dot.gov/sites/fra.dot.gov/files/fra_net/300/ord0917.pdf" TargetMode="External"/><Relationship Id="rId114" Type="http://schemas.openxmlformats.org/officeDocument/2006/relationships/hyperlink" Target="https://railtec.illinois.edu/wp/wp-content/uploads/2019/01/Sogin%20et%20al%202013b%20IAROR.pdf" TargetMode="External"/><Relationship Id="rId65" Type="http://schemas.openxmlformats.org/officeDocument/2006/relationships/hyperlink" Target="https://researchbriefings.files.parliament.uk/documents/SN00364/SN00364.pdf" TargetMode="External"/><Relationship Id="rId59" Type="http://schemas.openxmlformats.org/officeDocument/2006/relationships/hyperlink" Target="https://spacing.ca/toronto/2015/12/09/53711/" TargetMode="External"/><Relationship Id="rId122" Type="http://schemas.openxmlformats.org/officeDocument/2006/relationships/hyperlink" Target="https://tc.canada.ca/en/binder/3-pic-operating-restrictions-via-rail-quebec-city-windsor-corridor" TargetMode="External"/><Relationship Id="rId118" Type="http://schemas.openxmlformats.org/officeDocument/2006/relationships/hyperlink" Target="https://tc.canada.ca/en/rail-transportation/rules/2022-2023/rules-respecting-track-safety/subpart-c" TargetMode="External"/><Relationship Id="rId124" Type="http://schemas.openxmlformats.org/officeDocument/2006/relationships/hyperlink" Target="https://tc.canada.ca/sites/default/files/2025-01/Jan_2025_Canadian_rail_operating_rules_EN.pdf" TargetMode="External"/><Relationship Id="rId106" Type="http://schemas.openxmlformats.org/officeDocument/2006/relationships/hyperlink" Target="https://tfl.gov.uk/cdn/static/cms/documents/rfli-ccos-tpr-2026.pdf" TargetMode="External"/><Relationship Id="rId74" Type="http://schemas.openxmlformats.org/officeDocument/2006/relationships/hyperlink" Target="https://transport.ec.europa.eu/transport-modes/rail/ertms/what-ertms-and-how-does-it-work/etcs-levels-and-modes_en" TargetMode="External"/><Relationship Id="rId47" Type="http://schemas.openxmlformats.org/officeDocument/2006/relationships/hyperlink" Target="https://www.alstom.com/press-releases-news/2005/6/The-NEW-PENDOLINO-The-fourth-generation-of-tilting-technology-20050628" TargetMode="External"/><Relationship Id="rId49" Type="http://schemas.openxmlformats.org/officeDocument/2006/relationships/hyperlink" Target="https://www.altotrain.ca/en/about-alto" TargetMode="External"/><Relationship Id="rId51" Type="http://schemas.openxmlformats.org/officeDocument/2006/relationships/hyperlink" Target="https://www.altotrain.ca/fr/foire-aux-questions" TargetMode="External"/><Relationship Id="rId70" Type="http://schemas.openxmlformats.org/officeDocument/2006/relationships/hyperlink" Target="https://www.cbc.ca/news/canada/ottawa/via-montreal-toronto-pilot-that-skipped-eastern-ontario-postponed-1.7646512" TargetMode="External"/><Relationship Id="rId80" Type="http://schemas.openxmlformats.org/officeDocument/2006/relationships/hyperlink" Target="https://www.ecfr.gov/current/title-49/section-213.347" TargetMode="External"/><Relationship Id="rId133" Type="http://schemas.openxmlformats.org/officeDocument/2006/relationships/hyperlink" Target="https://www.ecfr.gov/current/title-49/subtitle-B/chapter-II/part-236/subject-group-ECFR3fd63a3e8f8e42d/section-236.0" TargetMode="External"/><Relationship Id="rId129" Type="http://schemas.openxmlformats.org/officeDocument/2006/relationships/hyperlink" Target="https://www.federalregister.gov/documents/2010/01/15/E9-31362/positive-train-control-systems" TargetMode="External"/><Relationship Id="rId131" Type="http://schemas.openxmlformats.org/officeDocument/2006/relationships/hyperlink" Target="https://www.federalregister.gov/documents/2023/03/09/2023-04832/brightline-trains-florida-llcs-positive-train-control-safety-plan-and-request-for-positive-train" TargetMode="External"/><Relationship Id="rId63" Type="http://schemas.openxmlformats.org/officeDocument/2006/relationships/hyperlink" Target="https://www.gobrightline.com/press-room/2023/brightline-130-mph-milestone" TargetMode="External"/><Relationship Id="rId104" Type="http://schemas.openxmlformats.org/officeDocument/2006/relationships/hyperlink" Target="https://www.legislation.gov.uk/ukpga/1993/43/section/17" TargetMode="External"/><Relationship Id="rId90" Type="http://schemas.openxmlformats.org/officeDocument/2006/relationships/hyperlink" Target="https://www.nao.org.uk/reports/the-modernisation-of-the-west-coast-main-line/" TargetMode="External"/><Relationship Id="rId94" Type="http://schemas.openxmlformats.org/officeDocument/2006/relationships/hyperlink" Target="https://www.orr.gov.uk/sites/default/files/2021-07/guidance-on-the-statutory-and-contractual-framework.pdf" TargetMode="External"/><Relationship Id="rId96" Type="http://schemas.openxmlformats.org/officeDocument/2006/relationships/hyperlink" Target="https://www.orr.gov.uk/sites/default/files/2024-05/train-protection-systems-guidance-on-rsr-1999.pdf" TargetMode="External"/><Relationship Id="rId98" Type="http://schemas.openxmlformats.org/officeDocument/2006/relationships/hyperlink" Target="https://www.orr.gov.uk/sites/default/files/2025-07/2025-07-03-applications-for-access-to-the-west-coast-main-line-decision.pdf" TargetMode="External"/><Relationship Id="rId67" Type="http://schemas.openxmlformats.org/officeDocument/2006/relationships/hyperlink" Target="https://www.pm.gc.ca/en/news/news-releases/2025/02/19/canada-getting-high-speed" TargetMode="External"/><Relationship Id="rId112" Type="http://schemas.openxmlformats.org/officeDocument/2006/relationships/hyperlink" Target="https://www.sncf-reseau.com/medias-publics/2023-12/DRR2025-annexe-4-1.pdf" TargetMode="External"/><Relationship Id="rId143" Type="http://schemas.openxmlformats.org/officeDocument/2006/relationships/hyperlink" Target="https://www.viarail.ca/fr/developpeurs" TargetMode="External"/><Relationship Id="rId135"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2026-09-03T21:40:00Z</dcterms:created>
  <dcterms:modified xsi:type="dcterms:W3CDTF">2026-09-03T21:40:00Z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Trois scénarios de modernisation sur la voie actuelle : temps de parcours, conditions, et mise en regard avec le projet ALTO</vt:lpwstr>
  </property>
</Properties>
</file>