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981148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 : 3 h 22).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(77 à 83 pour cent de son temps) et fait au</w:t>
      </w:r>
      <w:r>
        <w:t xml:space="preserve"> </w:t>
      </w:r>
      <w:r>
        <w:t xml:space="preserve">moins jeu égal sur Montréal-Québec (86 à 104 pour cent) ; en S3 à la bande 300, il tombe</w:t>
      </w:r>
      <w:r>
        <w:t xml:space="preserve"> </w:t>
      </w:r>
      <w:r>
        <w:t xml:space="preserve">à 65 à 70 pour cent du temps de l’auto sur Montréal-Toronto et à 75 à 91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12 sur Montréal-Toronto, soit 76 pour cent du temps de l’auto, et 2 h 25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 : de 11 pour cent sur Montréal-Ottawa à 32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1 433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45 à 63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199 km (14 pour cent du réseau parcouru)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301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(la « bande ») ; entre</w:t>
      </w:r>
      <w:r>
        <w:t xml:space="preserve"> </w:t>
      </w:r>
      <w:r>
        <w:t xml:space="preserve">ces bornes, son profil réel d’accélération et de freinage est simulé (voir plus</w:t>
      </w:r>
      <w:r>
        <w:t xml:space="preserve"> </w:t>
      </w:r>
      <w:r>
        <w:t xml:space="preserve">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S1 reçoit une rame</w:t>
      </w:r>
      <w:r>
        <w:t xml:space="preserve"> </w:t>
      </w:r>
      <w:r>
        <w:t xml:space="preserve">tractée comme la flotte actuelle (8 W/kg au rail, 0,5 m/s²) ; S2 et S3 reçoivent la</w:t>
      </w:r>
      <w:r>
        <w:t xml:space="preserve"> </w:t>
      </w:r>
      <w:r>
        <w:t xml:space="preserve">même rame de référence, dimensionnée pour sa bande (12 W/kg aux bandes 160 et 200,</w:t>
      </w:r>
      <w:r>
        <w:t xml:space="preserve"> </w:t>
      </w:r>
      <w:r>
        <w:t xml:space="preserve">type pendulaire moderne ; 18 à la bande 250 ; 22 à la bande 300, type rame à grande</w:t>
      </w:r>
      <w:r>
        <w:t xml:space="preserve"> </w:t>
      </w:r>
      <w:r>
        <w:t xml:space="preserve">vitesse ; 0,6 m/s²). S2 et S3 partagent la même rame parce que ces scénarios se</w:t>
      </w:r>
      <w:r>
        <w:t xml:space="preserve"> </w:t>
      </w:r>
      <w:r>
        <w:t xml:space="preserve">définissent par l’insuffisance de dévers admise, pas par la motorisation : une rame</w:t>
      </w:r>
      <w:r>
        <w:t xml:space="preserve"> </w:t>
      </w:r>
      <w:r>
        <w:t xml:space="preserve">commune isole l’effet de la géométrie. Pentes et résistance à l’avancement ne sont</w:t>
      </w:r>
      <w:r>
        <w:t xml:space="preserve"> </w:t>
      </w:r>
      <w:r>
        <w:t xml:space="preserve">pas 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à la bande 200).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690 km</w:t>
            </w:r>
          </w:p>
        </w:tc>
        <w:tc>
          <w:tcPr/>
          <w:p>
            <w:pPr>
              <w:pStyle w:val="Compact"/>
            </w:pPr>
            <w:r>
              <w:t xml:space="preserve">301 km</w:t>
            </w:r>
          </w:p>
        </w:tc>
        <w:tc>
          <w:tcPr/>
          <w:p>
            <w:pPr>
              <w:pStyle w:val="Compact"/>
            </w:pPr>
            <w:r>
              <w:t xml:space="preserve">199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94 km</w:t>
            </w:r>
          </w:p>
        </w:tc>
        <w:tc>
          <w:tcPr/>
          <w:p>
            <w:pPr>
              <w:pStyle w:val="Compact"/>
            </w:pPr>
            <w:r>
              <w:t xml:space="preserve">45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86 pour cent du tracé atteint 200 km/h (124 mi/h) ou plus</w:t>
      </w:r>
      <w:r>
        <w:t xml:space="preserve"> </w:t>
      </w:r>
      <w:r>
        <w:t xml:space="preserve">sans toucher une seule courbe ; le résidu de 199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102 kilomètres d’écart ne font que deux à cinq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 200 km/h de 301 à 199 km, un écart de 102 km, mais il ne gagne que 2 minutes sur S2 sur Montréal-Toronto (5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102 km à 180 km/h (112 mi/h) plutôt qu’à 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(7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7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13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2 h 00</w:t>
            </w:r>
          </w:p>
        </w:tc>
        <w:tc>
          <w:tcPr/>
          <w:p>
            <w:pPr>
              <w:pStyle w:val="Compact"/>
            </w:pPr>
            <w:r>
              <w:t xml:space="preserve">1 h 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50</w:t>
            </w:r>
          </w:p>
        </w:tc>
        <w:tc>
          <w:tcPr/>
          <w:p>
            <w:pPr>
              <w:pStyle w:val="Compact"/>
            </w:pPr>
            <w:r>
              <w:t xml:space="preserve">1 h 36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28</w:t>
            </w:r>
          </w:p>
        </w:tc>
        <w:tc>
          <w:tcPr/>
          <w:p>
            <w:pPr>
              <w:pStyle w:val="Compact"/>
            </w:pPr>
            <w:r>
              <w:t xml:space="preserve">1 h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42</w:t>
            </w:r>
          </w:p>
        </w:tc>
        <w:tc>
          <w:tcPr/>
          <w:p>
            <w:pPr>
              <w:pStyle w:val="Compact"/>
            </w:pPr>
            <w:r>
              <w:t xml:space="preserve">3 h 10</w:t>
            </w:r>
          </w:p>
        </w:tc>
        <w:tc>
          <w:tcPr/>
          <w:p>
            <w:pPr>
              <w:pStyle w:val="Compact"/>
            </w:pPr>
            <w:r>
              <w:t xml:space="preserve">3 h 08</w:t>
            </w:r>
          </w:p>
        </w:tc>
        <w:tc>
          <w:tcPr/>
          <w:p>
            <w:pPr>
              <w:pStyle w:val="Compact"/>
            </w:pPr>
            <w:r>
              <w:t xml:space="preserve">2 h 50</w:t>
            </w:r>
          </w:p>
        </w:tc>
        <w:tc>
          <w:tcPr/>
          <w:p>
            <w:pPr>
              <w:pStyle w:val="Compact"/>
            </w:pPr>
            <w:r>
              <w:t xml:space="preserve">2 h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29</w:t>
            </w:r>
          </w:p>
        </w:tc>
        <w:tc>
          <w:tcPr/>
          <w:p>
            <w:pPr>
              <w:pStyle w:val="Compact"/>
            </w:pPr>
            <w:r>
              <w:t xml:space="preserve">3 h 51</w:t>
            </w:r>
          </w:p>
        </w:tc>
        <w:tc>
          <w:tcPr/>
          <w:p>
            <w:pPr>
              <w:pStyle w:val="Compact"/>
            </w:pPr>
            <w:r>
              <w:t xml:space="preserve">3 h 50</w:t>
            </w:r>
          </w:p>
        </w:tc>
        <w:tc>
          <w:tcPr/>
          <w:p>
            <w:pPr>
              <w:pStyle w:val="Compact"/>
            </w:pPr>
            <w:r>
              <w:t xml:space="preserve">3 h 25</w:t>
            </w:r>
          </w:p>
        </w:tc>
        <w:tc>
          <w:tcPr/>
          <w:p>
            <w:pPr>
              <w:pStyle w:val="Compact"/>
            </w:pPr>
            <w:r>
              <w:t xml:space="preserve">3 h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(11 pour cent sur Montréal-Ottawa, 18 sur Montréal-Toronto, 24 sur Ottawa-Toronto, 32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44 à 3 h 22</w:t>
            </w:r>
          </w:p>
        </w:tc>
        <w:tc>
          <w:tcPr/>
          <w:p>
            <w:pPr>
              <w:pStyle w:val="Compact"/>
            </w:pPr>
            <w:r>
              <w:t xml:space="preserve">2 h 25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11 à 2 h 39</w:t>
            </w:r>
          </w:p>
        </w:tc>
        <w:tc>
          <w:tcPr/>
          <w:p>
            <w:pPr>
              <w:pStyle w:val="Compact"/>
            </w:pPr>
            <w:r>
              <w:t xml:space="preserve">2 h 08 à 2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58 à 2 h 02</w:t>
            </w:r>
          </w:p>
        </w:tc>
        <w:tc>
          <w:tcPr/>
          <w:p>
            <w:pPr>
              <w:pStyle w:val="Compact"/>
            </w:pPr>
            <w:r>
              <w:t xml:space="preserve">1 h 45 à 1 h 47</w:t>
            </w:r>
          </w:p>
        </w:tc>
        <w:tc>
          <w:tcPr/>
          <w:p>
            <w:pPr>
              <w:pStyle w:val="Compact"/>
            </w:pPr>
            <w:r>
              <w:t xml:space="preserve">1 h 39 à 1 h 41</w:t>
            </w:r>
          </w:p>
        </w:tc>
        <w:tc>
          <w:tcPr/>
          <w:p>
            <w:pPr>
              <w:pStyle w:val="Compact"/>
            </w:pPr>
            <w:r>
              <w:t xml:space="preserve">1 h 35 à 1 h 37</w:t>
            </w:r>
          </w:p>
        </w:tc>
        <w:tc>
          <w:tcPr/>
          <w:p>
            <w:pPr>
              <w:pStyle w:val="Compact"/>
            </w:pPr>
            <w:r>
              <w:t xml:space="preserve">1 h 34 à 1 h 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58 à 4 h 35</w:t>
            </w:r>
          </w:p>
        </w:tc>
        <w:tc>
          <w:tcPr/>
          <w:p>
            <w:pPr>
              <w:pStyle w:val="Compact"/>
            </w:pPr>
            <w:r>
              <w:t xml:space="preserve">3 h 28 à 3 h 56</w:t>
            </w:r>
          </w:p>
        </w:tc>
        <w:tc>
          <w:tcPr/>
          <w:p>
            <w:pPr>
              <w:pStyle w:val="Compact"/>
            </w:pPr>
            <w:r>
              <w:t xml:space="preserve">3 h 25 à 3 h 53</w:t>
            </w:r>
          </w:p>
        </w:tc>
        <w:tc>
          <w:tcPr/>
          <w:p>
            <w:pPr>
              <w:pStyle w:val="Compact"/>
            </w:pPr>
            <w:r>
              <w:t xml:space="preserve">3 h 05 à 3 h 30</w:t>
            </w:r>
          </w:p>
        </w:tc>
        <w:tc>
          <w:tcPr/>
          <w:p>
            <w:pPr>
              <w:pStyle w:val="Compact"/>
            </w:pPr>
            <w:r>
              <w:t xml:space="preserve">2 h 57 à 3 h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48 à 5 h 18</w:t>
            </w:r>
          </w:p>
        </w:tc>
        <w:tc>
          <w:tcPr/>
          <w:p>
            <w:pPr>
              <w:pStyle w:val="Compact"/>
            </w:pPr>
            <w:r>
              <w:t xml:space="preserve">4 h 12 à 4 h 33</w:t>
            </w:r>
          </w:p>
        </w:tc>
        <w:tc>
          <w:tcPr/>
          <w:p>
            <w:pPr>
              <w:pStyle w:val="Compact"/>
            </w:pPr>
            <w:r>
              <w:t xml:space="preserve">4 h 10 à 4 h 31</w:t>
            </w:r>
          </w:p>
        </w:tc>
        <w:tc>
          <w:tcPr/>
          <w:p>
            <w:pPr>
              <w:pStyle w:val="Compact"/>
            </w:pPr>
            <w:r>
              <w:t xml:space="preserve">3 h 44 à 4 h 02</w:t>
            </w:r>
          </w:p>
        </w:tc>
        <w:tc>
          <w:tcPr/>
          <w:p>
            <w:pPr>
              <w:pStyle w:val="Compact"/>
            </w:pPr>
            <w:r>
              <w:t xml:space="preserve">3 h 32 à 3 h 50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l’immobilisation en gare (2 minutes par arrêt) peut être doublée sans changer</w:t>
      </w:r>
      <w:r>
        <w:t xml:space="preserve"> </w:t>
      </w:r>
      <w:r>
        <w:t xml:space="preserve">l’ordre des scénarios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Start w:id="28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8"/>
    <w:bookmarkStart w:id="78" w:name="références"/>
    <w:p>
      <w:pPr>
        <w:pStyle w:val="Heading1"/>
      </w:pPr>
      <w:r>
        <w:t xml:space="preserve">Références</w:t>
      </w:r>
    </w:p>
    <w:bookmarkStart w:id="77" w:name="refs"/>
    <w:bookmarkStart w:id="30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https://www.altotrain.ca/en/about-alto</w:t>
        </w:r>
      </w:hyperlink>
    </w:p>
    <w:bookmarkEnd w:id="30"/>
    <w:bookmarkStart w:id="32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1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2"/>
    <w:bookmarkStart w:id="34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3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4"/>
    <w:bookmarkStart w:id="36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5">
        <w:r>
          <w:rPr>
            <w:rStyle w:val="Hyperlink"/>
          </w:rPr>
          <w:t xml:space="preserve">https://spacing.ca/toronto/2015/12/09/53711/</w:t>
        </w:r>
      </w:hyperlink>
    </w:p>
    <w:bookmarkEnd w:id="36"/>
    <w:bookmarkStart w:id="3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8"/>
    <w:bookmarkStart w:id="3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9"/>
    <w:bookmarkStart w:id="4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1"/>
    <w:bookmarkStart w:id="4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2">
        <w:r>
          <w:rPr>
            <w:rStyle w:val="Hyperlink"/>
          </w:rPr>
          <w:t xml:space="preserve">https://www.ecfr.gov/current/title-49/section-213.347</w:t>
        </w:r>
      </w:hyperlink>
    </w:p>
    <w:bookmarkEnd w:id="43"/>
    <w:bookmarkStart w:id="4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5"/>
    <w:bookmarkStart w:id="4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7"/>
    <w:bookmarkStart w:id="4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9"/>
    <w:bookmarkStart w:id="5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1"/>
    <w:bookmarkStart w:id="53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2">
        <w:r>
          <w:rPr>
            <w:rStyle w:val="Hyperlink"/>
          </w:rPr>
          <w:t xml:space="preserve">https://download.geofabrik.de/</w:t>
        </w:r>
      </w:hyperlink>
    </w:p>
    <w:bookmarkEnd w:id="53"/>
    <w:bookmarkStart w:id="5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https://journals.aau.dk/index.php/td/article/download/5554/4887</w:t>
        </w:r>
      </w:hyperlink>
    </w:p>
    <w:bookmarkEnd w:id="55"/>
    <w:bookmarkStart w:id="5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7"/>
    <w:bookmarkStart w:id="59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8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9"/>
    <w:bookmarkStart w:id="61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0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1"/>
    <w:bookmarkStart w:id="63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2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3"/>
    <w:bookmarkStart w:id="65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4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5"/>
    <w:bookmarkStart w:id="66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6"/>
    <w:bookmarkStart w:id="68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7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8"/>
    <w:bookmarkStart w:id="70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0"/>
    <w:bookmarkStart w:id="72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2"/>
    <w:bookmarkStart w:id="74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3">
        <w:r>
          <w:rPr>
            <w:rStyle w:val="Hyperlink"/>
          </w:rPr>
          <w:t xml:space="preserve">https://www.viarail.ca/fr/developpeurs</w:t>
        </w:r>
      </w:hyperlink>
    </w:p>
    <w:bookmarkEnd w:id="74"/>
    <w:bookmarkStart w:id="76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2026-08-15T20:27:00Z</dcterms:created>
  <dcterms:modified xsi:type="dcterms:W3CDTF">2026-08-15T20:27:00Z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