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(François Rebello) par Vincent Duguay</w:t>
      </w:r>
    </w:p>
    <w:p>
      <w:pPr>
        <w:pStyle w:val="Date"/>
      </w:pPr>
      <w:r>
        <w:t xml:space="preserve">Août 2026</w:t>
      </w:r>
    </w:p>
    <w:bookmarkStart w:id="15"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La réponse tient en trois scénarios, du plus simple au plus complet. Chacun contient le précédent.</w:t>
      </w:r>
    </w:p>
    <w:p>
      <w:pPr>
        <w:pStyle w:val="Compact"/>
        <w:numPr>
          <w:ilvl w:val="0"/>
          <w:numId w:val="1001"/>
        </w:numPr>
      </w:pPr>
      <w:r>
        <w:rPr>
          <w:b/>
          <w:bCs/>
        </w:rPr>
        <w:t xml:space="preserve">Scénario 1 : le train pendulaire.</w:t>
      </w:r>
      <w:r>
        <w:t xml:space="preserve"> </w:t>
      </w:r>
      <w:r>
        <w:t xml:space="preserve">Un train qui s’incline dans les courbes, une signalisation modernisée, des passages à niveau sécurisés et une voie mieux inclinée. Aucune courbe n’est déplacée. Vitesse de pointe : 201 km/h (125 mi/h).</w:t>
      </w:r>
    </w:p>
    <w:p>
      <w:pPr>
        <w:pStyle w:val="Compact"/>
        <w:numPr>
          <w:ilvl w:val="0"/>
          <w:numId w:val="1001"/>
        </w:numPr>
      </w:pPr>
      <w:r>
        <w:rPr>
          <w:b/>
          <w:bCs/>
        </w:rPr>
        <w:t xml:space="preserve">Scénario 2 : pendulaire et zones urbaines modernisées.</w:t>
      </w:r>
      <w:r>
        <w:t xml:space="preserve"> </w:t>
      </w:r>
      <w:r>
        <w:t xml:space="preserve">Le scénario 1, plus des travaux dans les approches des gares de Montréal, Québec, Ottawa et Toronto, pour que le train n’y traîne plus.</w:t>
      </w:r>
    </w:p>
    <w:p>
      <w:pPr>
        <w:pStyle w:val="Compact"/>
        <w:numPr>
          <w:ilvl w:val="0"/>
          <w:numId w:val="1001"/>
        </w:numPr>
      </w:pPr>
      <w:r>
        <w:rPr>
          <w:b/>
          <w:bCs/>
        </w:rPr>
        <w:t xml:space="preserve">Scénario 3 : pendulaire, zones urbaines et courbes corrigées au doublement.</w:t>
      </w:r>
      <w:r>
        <w:t xml:space="preserve"> </w:t>
      </w:r>
      <w:r>
        <w:t xml:space="preserve">Le scénario 2, plus une chose : quand on ajoute une deuxième voie sur les sections qui n’en ont qu’une, on en profite pour adoucir les courbes qui s’y trouvent. C’est le seul moment où le faire coûte peu.</w:t>
      </w:r>
    </w:p>
    <w:p>
      <w:pPr>
        <w:pStyle w:val="FirstParagraph"/>
      </w:pPr>
      <w:r>
        <w:t xml:space="preserve">Voici les temps de parcours, marge d’exploitation de 10 % incluse,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35 (104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C’est la mesure la plus honnête de ce qu’un voyageur vit. Les temps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 de 8 h 50 aujourd’hui à 7 h 12 au scénario 1 et 6 h 10 au scénario 3, arrêt à Montréal compris.</w:t>
      </w:r>
    </w:p>
    <w:p>
      <w:pPr>
        <w:pStyle w:val="CaptionedFigure"/>
      </w:pPr>
      <w:r>
        <w:drawing>
          <wp:inline>
            <wp:extent cx="5334000" cy="2878909"/>
            <wp:effectExtent b="0" l="0" r="0" t="0"/>
            <wp:docPr descr="Le train contre l’auto, pour les quatre trajets. Chaque barre de scénario est un temps avec marge de 10 %. Le trait pointillé est le temps annoncé par ALTO. Temps auto : cartographie routière grand public, approximatif."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2878909"/>
                    </a:xfrm>
                    <a:prstGeom prst="rect">
                      <a:avLst/>
                    </a:prstGeom>
                    <a:noFill/>
                    <a:ln w="9525">
                      <a:noFill/>
                      <a:headEnd/>
                      <a:tailEnd/>
                    </a:ln>
                  </pic:spPr>
                </pic:pic>
              </a:graphicData>
            </a:graphic>
          </wp:inline>
        </w:drawing>
      </w:r>
    </w:p>
    <w:p>
      <w:pPr>
        <w:pStyle w:val="ImageCaption"/>
      </w:pPr>
      <w:r>
        <w:t xml:space="preserve">Le train contre l’auto, pour les quatre trajets. Chaque barre de scénario est un temps avec marge de 10 %. Le trait pointillé est le temps annoncé par ALTO. Temps auto : cartographie routière grand public, approximatif.</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le train bat l’auto sur les quatre trajets. Au scénario 3, il la bat de 20 à 41 %. Il ne rejoint pas ALTO, et ce n’est pas son rôle : la voie existante offre un train compétitif avec la route, pour une fraction de l’effort, pendant qu’ALTO se construit ou à sa place. Les deux lectures sont possibles ; cette étude fournit les chiffres, pas l’arbitrage.</w:t>
      </w:r>
    </w:p>
    <w:p>
      <w:pPr>
        <w:pStyle w:val="CaptionedFigure"/>
      </w:pPr>
      <w:r>
        <w:drawing>
          <wp:inline>
            <wp:extent cx="5334000" cy="1928546"/>
            <wp:effectExtent b="0" l="0" r="0" t="0"/>
            <wp:docPr descr="D’où viennent les minutes gagnées, trajet par trajet. La barre pleine est l’horaire actuel. Le segment évidé est le temps du scénario 3. Chaque tranche attribue une part du gain à un levier." title="" id="13" name="Picture"/>
            <a:graphic>
              <a:graphicData uri="http://schemas.openxmlformats.org/drawingml/2006/picture">
                <pic:pic>
                  <pic:nvPicPr>
                    <pic:cNvPr descr="livrables/figure_gains.png" id="14" name="Picture"/>
                    <pic:cNvPicPr>
                      <a:picLocks noChangeArrowheads="1" noChangeAspect="1"/>
                    </pic:cNvPicPr>
                  </pic:nvPicPr>
                  <pic:blipFill>
                    <a:blip r:embed="rId12"/>
                    <a:stretch>
                      <a:fillRect/>
                    </a:stretch>
                  </pic:blipFill>
                  <pic:spPr bwMode="auto">
                    <a:xfrm>
                      <a:off x="0" y="0"/>
                      <a:ext cx="5334000" cy="1928546"/>
                    </a:xfrm>
                    <a:prstGeom prst="rect">
                      <a:avLst/>
                    </a:prstGeom>
                    <a:noFill/>
                    <a:ln w="9525">
                      <a:noFill/>
                      <a:headEnd/>
                      <a:tailEnd/>
                    </a:ln>
                  </pic:spPr>
                </pic:pic>
              </a:graphicData>
            </a:graphic>
          </wp:inline>
        </w:drawing>
      </w:r>
    </w:p>
    <w:p>
      <w:pPr>
        <w:pStyle w:val="ImageCaption"/>
      </w:pPr>
      <w:r>
        <w:t xml:space="preserve">D’où viennent les minutes gagnées, trajet par trajet. La barre pleine est l’horaire actuel. Le segment évidé est le temps du scénario 3. Chaque tranche attribue une part du gain à un levier.</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201 km/h (125 mi/h) ou plus sans déplacer une seule courbe. Il reste 449 km sous ce plafond, dont 22 km sévères (sous 100 km/h, 62 mi/h). La voie et le train d’aujourd’hui en laissent 771 km. Ces chiffres incluent une correction prudente de la mesure, expliquée à la section sur la méthode.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toute la route, terre-pleins, détection d’obstacle), et le dispositif des 672 situés dans la bande la plus rapide doit en plus être approuvé par le régulateur. Sur ces 833, 533 n’ont pas encore de système complet de feux, cloches et barrières.</w:t>
      </w:r>
    </w:p>
    <w:p>
      <w:pPr>
        <w:pStyle w:val="Compact"/>
        <w:numPr>
          <w:ilvl w:val="0"/>
          <w:numId w:val="1002"/>
        </w:numPr>
      </w:pPr>
      <w:r>
        <w:rPr>
          <w:b/>
          <w:bCs/>
        </w:rPr>
        <w:t xml:space="preserve">Deuxième condition : la signalisation.</w:t>
      </w:r>
      <w:r>
        <w:t xml:space="preserve"> </w:t>
      </w:r>
      <w:r>
        <w:t xml:space="preserve">Chaque palier de vitesse exige son système, et chaque système existe déjà en Amérique du Nord. Le plafond de 201 km/h (125 mi/h) est le sommet de la marche du contrôle de train certifié : Brightline y roule en Floride, et Amtrak roule encore plus vite sur son corridor du Nord-Est. Au-delà de 201, le vrai mur n’est plus la signalisation : c’est l’interdiction de tout passage à niveau.</w:t>
      </w:r>
    </w:p>
    <w:p>
      <w:pPr>
        <w:pStyle w:val="Compact"/>
        <w:numPr>
          <w:ilvl w:val="0"/>
          <w:numId w:val="1002"/>
        </w:numPr>
      </w:pPr>
      <w:r>
        <w:rPr>
          <w:b/>
          <w:bCs/>
        </w:rPr>
        <w:t xml:space="preserve">La voie double vaut d’abord pour la fiabilité.</w:t>
      </w:r>
      <w:r>
        <w:t xml:space="preserve"> </w:t>
      </w:r>
      <w:r>
        <w:t xml:space="preserve">Sur la voie double, tous les trains d’un même trajet font à peu près le même temps. Sur la voie simple du CN, l’horaire du même trajet varie de 8 à 16 minutes selon le départ. Et le doublement est la condition d’une cohabitation où le passager et le fret gagnent tous les deux, au lieu de se voler des minutes.</w:t>
      </w:r>
    </w:p>
    <w:p>
      <w:pPr>
        <w:pStyle w:val="Compact"/>
        <w:numPr>
          <w:ilvl w:val="0"/>
          <w:numId w:val="1002"/>
        </w:numPr>
      </w:pPr>
      <w:r>
        <w:rPr>
          <w:b/>
          <w:bCs/>
        </w:rPr>
        <w:t xml:space="preserve">La marge d’exploitation retenue est de 10 %.</w:t>
      </w:r>
      <w:r>
        <w:t xml:space="preserve"> </w:t>
      </w:r>
      <w:r>
        <w:t xml:space="preserve">C’est un peu plus prudent que la moyenne des règles publiées par les gestionnaires de réseau européens, et c’est la valeur du référent britannique. Le corridor porte aujourd’hui de 29 à 60 % de marge selon le tronçon : cet écart est le prix du régime de cohabitation actuel, pas une fatalité technique.</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42 sur Londres-Glasgow</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Le parallèle est d’autant plus direct que la WCML roule exactement au plafond retenu ici : 201 km/h (125 mi/h), en pendulaire.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recommandée en conclusion.</w:t>
      </w:r>
    </w:p>
    <w:bookmarkEnd w:id="15"/>
    <w:bookmarkStart w:id="16" w:name="trois-scénarios-un-seul-train"/>
    <w:p>
      <w:pPr>
        <w:pStyle w:val="Heading1"/>
      </w:pPr>
      <w:r>
        <w:t xml:space="preserve">Trois scénarios, un seul train</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 pas sur une technologie à importer et à faire approuver.</w:t>
      </w:r>
    </w:p>
    <w:p>
      <w:pPr>
        <w:pStyle w:val="BodyText"/>
      </w:pPr>
      <w:r>
        <w:rPr>
          <w:b/>
          <w:bCs/>
        </w:rPr>
        <w:t xml:space="preserve">Le plafond : 201 km/h (125 mi/h), et ce n’est pas un choix arbitraire.</w:t>
      </w:r>
      <w:r>
        <w:t xml:space="preserve"> </w:t>
      </w:r>
      <w:r>
        <w:t xml:space="preserve">C’est le sommet de la marche du contrôle de train certifié,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w:t>
      </w:r>
      <w:r>
        <w:t xml:space="preserve">et dépassée par Amtrak sur le corridor du Nord-Est</w:t>
      </w:r>
      <w:r>
        <w:t xml:space="preserve"> </w:t>
      </w:r>
      <w:r>
        <w:t xml:space="preserve">(</w:t>
      </w:r>
      <w:hyperlink w:anchor="ref-fra2010ptc">
        <w:r>
          <w:rPr>
            <w:rStyle w:val="Hyperlink"/>
          </w:rPr>
          <w:t xml:space="preserve">United States. Federal Railroad Administration, 2010</w:t>
        </w:r>
      </w:hyperlink>
      <w:r>
        <w:t xml:space="preserve">)</w:t>
      </w:r>
      <w:r>
        <w:t xml:space="preserve">. C’est aussi la vitesse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c’est changer de projet. La section sur la signalisation détaille l’escalier complet, y compris la marche intermédiaire à 177 km/h (110 mi/h) qui peut servir d’étape de phasage.</w:t>
      </w:r>
    </w:p>
    <w:p>
      <w:pPr>
        <w:pStyle w:val="BodyText"/>
      </w:pPr>
      <w:r>
        <w:rPr>
          <w:b/>
          <w:bCs/>
        </w:rPr>
        <w:t xml:space="preserve">Scénario 1 : le train pendulaire.</w:t>
      </w:r>
      <w:r>
        <w:t xml:space="preserve"> </w:t>
      </w:r>
      <w:r>
        <w:t xml:space="preserve">On change le train, la signalisation, les passages à niveau, et on incline la voie au maximum standard du CN dans les courbes. On ne touche à rien d’autre. Les approches urbaines gardent leur temps actuel. Résultat : le train bat déjà l’auto partout.</w:t>
      </w:r>
    </w:p>
    <w:p>
      <w:pPr>
        <w:pStyle w:val="BodyText"/>
      </w:pPr>
      <w:r>
        <w:rPr>
          <w:b/>
          <w:bCs/>
        </w:rPr>
        <w:t xml:space="preserve">Scénario 2 : pendulaire et zones urbaines modernisées.</w:t>
      </w:r>
      <w:r>
        <w:t xml:space="preserve"> </w:t>
      </w:r>
      <w:r>
        <w:t xml:space="preserve">Le train perd beaucoup de temps dans les approches des gares : Montréal, Québec, Ottawa, Toronto. Le scénario 2 suppose que ces zones urbaines sont modernisées pour que le train y roule ce que la géométrie permet. C’est le levier le plus payant après le train lui-même : de 9 à 23 minutes selon le trajet. C’est aussi le plus incertain, car les approches urbaines ont leurs propres contraintes (ponts, cohabitation dense, terminaux) que cette étude ne résout pas.</w:t>
      </w:r>
    </w:p>
    <w:p>
      <w:pPr>
        <w:pStyle w:val="BodyText"/>
      </w:pPr>
      <w:r>
        <w:rPr>
          <w:b/>
          <w:bCs/>
        </w:rPr>
        <w:t xml:space="preserve">Scénario 3 : les courbes corrigées au moment du doublement.</w:t>
      </w:r>
      <w:r>
        <w:t xml:space="preserve"> </w:t>
      </w:r>
      <w:r>
        <w:t xml:space="preserve">Une grande partie du corridor n’a qu’une voie. Le programme de doublement (section suivante) reconstruit une plateforme pour y poser la deuxième voie. À ce moment-là, et à ce moment-là seulement, adoucir une courbe coûte peu : la machinerie est sur place et l’emprise est ouverte. Le scénario 3 corrige donc les courbes situées sur les 213 km de segments qui recoupent les sections à doubler. Sur Montréal-Toronto, déjà doublé, ce scénario n’ajoute rien : ses temps sont ceux du scénario 2.</w:t>
      </w:r>
    </w:p>
    <w:p>
      <w:pPr>
        <w:pStyle w:val="BodyText"/>
      </w:pPr>
      <w:r>
        <w:rPr>
          <w:b/>
          <w:bCs/>
        </w:rPr>
        <w:t xml:space="preserve">Pourquoi pas un pendulaire européen plus agressif?</w:t>
      </w:r>
      <w:r>
        <w:t xml:space="preserve"> </w:t>
      </w:r>
      <w:r>
        <w:t xml:space="preserve">Parce que le LRC suffit. Au-dessus de 201 km/h (125 mi/h), ce n’est plus le train qui bloque, c’est le mur des passages à niveau. Un matériel plus incliné libérerait surtout des courbes où le LRC permet déjà la haute vitesse. Il sortirait du précédent nord-américain et ouvrirait un front d’approbation nouveau, pour un gain mince. Une réserve honnête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Le scénario suppose donc un entretien à la hauteur, ce qui est un coût récurrent et un point de discussion avec le propriétaire de la voie. Les paramètres exacts des scénarios (dévers, tolérances, coefficients) sont donnés dans la section sur les conditions.</w:t>
      </w:r>
    </w:p>
    <w:bookmarkEnd w:id="16"/>
    <w:bookmarkStart w:id="20" w:name="ce-que-les-scénarios-demandent"/>
    <w:p>
      <w:pPr>
        <w:pStyle w:val="Heading1"/>
      </w:pPr>
      <w:r>
        <w:t xml:space="preserve">Ce que les scénarios demandent</w:t>
      </w:r>
    </w:p>
    <w:bookmarkStart w:id="17"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terre-pleins pour empêcher le contournement, détection d’obstacle.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famille de traitement, plus une approbation formelle du régulateur américain ;</w:t>
      </w:r>
    </w:p>
    <w:p>
      <w:pPr>
        <w:pStyle w:val="Compact"/>
        <w:numPr>
          <w:ilvl w:val="0"/>
          <w:numId w:val="1003"/>
        </w:numPr>
      </w:pPr>
      <w:r>
        <w:rPr>
          <w:b/>
          <w:bCs/>
        </w:rPr>
        <w:t xml:space="preserve">au-delà de 201 km/h : zéro passage à niveau.</w:t>
      </w:r>
      <w:r>
        <w:t xml:space="preserve"> </w:t>
      </w:r>
      <w:r>
        <w:t xml:space="preserve">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dans la partie interurbaine où le train dépasserait 153 km/h (95 mi/h) : ce sont eux qu’il faut sceller. Les 672 de la bande la plus rapide demandent en plus l’approbation formelle de leur dispositif par le régulateur,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Sur les 833, 300 ont déjà un système complet de feux, cloches et barrières ; il faudra tout de même leur ajouter les bras de sortie et les terre-pleins. Les</w:t>
      </w:r>
      <w:r>
        <w:t xml:space="preserve"> </w:t>
      </w:r>
      <w:r>
        <w:rPr>
          <w:b/>
          <w:bCs/>
        </w:rPr>
        <w:t xml:space="preserve">533 autres partent de plus loin</w:t>
      </w:r>
      <w:r>
        <w:t xml:space="preserve"> </w:t>
      </w:r>
      <w:r>
        <w:t xml:space="preserve">: 475 n’ont aucune protection automatique. Enfin, 93 des 833 sont en contexte complexe (urbains, routes à plusieurs voies, ou de compétence provinciale) et coûteront plus cher que les autres. Les 91 passages restants du corridor sont sur des sections qui resteront sous 154 km/h. Aucune fermeture de passage n’est proposée : le détail de chaque passage, y compris son statut public ou privé, est publié dans les annexes numériques. Ces comptes sont les mêmes pour les trois scénarios, qui partagent le même plafond.</w:t>
      </w:r>
    </w:p>
    <w:p>
      <w:pPr>
        <w:pStyle w:val="BodyText"/>
      </w:pPr>
      <w:r>
        <w:t xml:space="preserve">Le précédent domestique mérite d’être rappelé : le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Le corridor scellé est la façon d’en sortir.</w:t>
      </w:r>
    </w:p>
    <w:bookmarkEnd w:id="17"/>
    <w:bookmarkStart w:id="18" w:name="la-signalisation"/>
    <w:p>
      <w:pPr>
        <w:pStyle w:val="Heading2"/>
      </w:pPr>
      <w:r>
        <w:t xml:space="preserve">La signalisation</w:t>
      </w:r>
    </w:p>
    <w:p>
      <w:pPr>
        <w:pStyle w:val="FirstParagraph"/>
      </w:pPr>
      <w:r>
        <w:t xml:space="preserve">La signalisation ferroviaire n’est pas un continuum. C’est un escalier à trois marches, et chaque marche a un prix et un précédent.</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CTC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2026a</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et c’est la marche des trois scénarios.</w:t>
      </w:r>
      <w:r>
        <w:t xml:space="preserve"> </w:t>
      </w:r>
      <w:r>
        <w:t xml:space="preserve">Un calculateur à bord connaît la limite à respecter et freine le train si le mécanicien ne le fait pas. Les signaux au sol restent en place : le fret circule comme avant, seuls les trains rapides embarquent l’équipement. Cette marche est prouvée en Amérique du Nord jusqu’au plafond retenu, et au-delà. Le régulateur américain l’a écrit lui-même : Amtrak exploite en sécurité entre 90 et 150 mi/h (jusqu’à 241 km/h) sur le Northeast Corridor, avec la signalisation de cabine et le système ACSES</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un contrôle de train certifié ordinaire</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Et la West Coast Main Line britannique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Le plafond des scénarios n’est pas un chiffre choisi : 201 km/h est le sommet de cette marche, avant le dossier réglementaire renforcé exigé au-delà</w:t>
      </w:r>
      <w:r>
        <w:t xml:space="preserve"> </w:t>
      </w:r>
      <w:r>
        <w:t xml:space="preserve">(</w:t>
      </w:r>
      <w:hyperlink w:anchor="ref-cfr236-1007">
        <w:r>
          <w:rPr>
            <w:rStyle w:val="Hyperlink"/>
          </w:rPr>
          <w:t xml:space="preserve">United States. Federal Railroad Administration, 2026b</w:t>
        </w:r>
      </w:hyperlink>
      <w:r>
        <w:t xml:space="preserve">)</w:t>
      </w:r>
      <w:r>
        <w:t xml:space="preserve"> </w:t>
      </w:r>
      <w:r>
        <w:t xml:space="preserve">et surtout avant le mur des passages à niveau.</w:t>
      </w:r>
    </w:p>
    <w:p>
      <w:pPr>
        <w:pStyle w:val="BodyText"/>
      </w:pPr>
      <w:r>
        <w:rPr>
          <w:b/>
          <w:bCs/>
        </w:rPr>
        <w:t xml:space="preserve">Une étape de phasage existe à 177 km/h (110 mi/h).</w:t>
      </w:r>
      <w:r>
        <w:t xml:space="preserve"> </w:t>
      </w:r>
      <w:r>
        <w:t xml:space="preserve">La variante la plus légère de cette marche est l’ITCS de la ligne Amtrak du Michigan : posée par-dessus la signalisation existante, elle a porté la vitesse de 79 mi/h en 2000 à 110 mi/h (177 km/h)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Un programme peut donc commencer là, puis monter à 201 : la géométrie, le train et les passages traités servent aux deux paliers.</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le devis d’ALTO. Sur une voie partagée avec le fret, ce serait remplacer toute la signalisation et rééquiper tous les trains : l’argument économique joue contre.</w:t>
      </w:r>
    </w:p>
    <w:p>
      <w:pPr>
        <w:pStyle w:val="BodyText"/>
      </w:pPr>
      <w:r>
        <w:rPr>
          <w:b/>
          <w:bCs/>
        </w:rPr>
        <w:t xml:space="preserve">Et la capacité?</w:t>
      </w:r>
      <w:r>
        <w:t xml:space="preserve"> </w:t>
      </w:r>
      <w:r>
        <w:t xml:space="preserve">La superposition ne retranche rien : elle s’ajoute au système en place.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18"/>
    <w:bookmarkStart w:id="19" w:name="linclinaison-de-la-voie"/>
    <w:p>
      <w:pPr>
        <w:pStyle w:val="Heading2"/>
      </w:pPr>
      <w:r>
        <w:t xml:space="preserve">L’inclinaison de la voie</w:t>
      </w:r>
    </w:p>
    <w:p>
      <w:pPr>
        <w:pStyle w:val="FirstParagraph"/>
      </w:pPr>
      <w:r>
        <w:t xml:space="preserve">Dans une courbe, la voie est inclinée vers l’intérieur : c’est le dévers. Les scénarios relèvent le dévers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Aucune dérogation, aucun conflit avec le fret. Voici les paramètres, pour référence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 = k·√R)</w:t>
            </w:r>
          </w:p>
        </w:tc>
      </w:tr>
      <w:tr>
        <w:tc>
          <w:tcPr/>
          <w:p>
            <w:pPr>
              <w:pStyle w:val="Compact"/>
            </w:pPr>
            <w:r>
              <w:t xml:space="preserve">Aujourd’hui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r>
    </w:tbl>
    <w:p>
      <w:pPr>
        <w:pStyle w:val="BodyText"/>
      </w:pPr>
      <w:r>
        <w:t xml:space="preserve">Le dévers actuel est une hypothèse, car il n’existe pas de relevé public. Si le dévers réel est plus bas, le train d’aujourd’hui est encore plus lent que calculé, et le gain des scénarios encore plus grand : l’hypothèse joue contre nous, pas pour nous.</w:t>
      </w:r>
    </w:p>
    <w:p>
      <w:pPr>
        <w:pStyle w:val="BodyText"/>
      </w:pPr>
      <w:r>
        <w:rPr>
          <w:b/>
          <w:bCs/>
        </w:rPr>
        <w:t xml:space="preserve">Ce que le train pendulaire libère</w:t>
      </w:r>
      <w:r>
        <w:t xml:space="preserve">, en kilomètres de tracé dont les courbes restent sous la cible (somme des quatre trajets,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(le plafond retenu)</w:t>
            </w:r>
          </w:p>
        </w:tc>
        <w:tc>
          <w:tcPr/>
          <w:p>
            <w:pPr>
              <w:pStyle w:val="Compact"/>
            </w:pPr>
            <w:r>
              <w:t xml:space="preserve">771 km</w:t>
            </w:r>
          </w:p>
        </w:tc>
        <w:tc>
          <w:tcPr/>
          <w:p>
            <w:pPr>
              <w:pStyle w:val="Compact"/>
            </w:pPr>
            <w:r>
              <w:t xml:space="preserve">449 km</w:t>
            </w:r>
          </w:p>
        </w:tc>
      </w:tr>
      <w:tr>
        <w:tc>
          <w:tcPr/>
          <w:p>
            <w:pPr>
              <w:pStyle w:val="Compact"/>
            </w:pPr>
            <w:r>
              <w:t xml:space="preserve">Sous 177 km/h, 110 mi/h (l’étape de phasage)</w:t>
            </w:r>
          </w:p>
        </w:tc>
        <w:tc>
          <w:tcPr/>
          <w:p>
            <w:pPr>
              <w:pStyle w:val="Compact"/>
            </w:pPr>
            <w:r>
              <w:t xml:space="preserve">511 km</w:t>
            </w:r>
          </w:p>
        </w:tc>
        <w:tc>
          <w:tcPr/>
          <w:p>
            <w:pPr>
              <w:pStyle w:val="Compact"/>
            </w:pPr>
            <w:r>
              <w:t xml:space="preserve">364 km</w:t>
            </w:r>
          </w:p>
        </w:tc>
      </w:tr>
      <w:tr>
        <w:tc>
          <w:tcPr/>
          <w:p>
            <w:pPr>
              <w:pStyle w:val="Compact"/>
            </w:pPr>
            <w:r>
              <w:t xml:space="preserve">Sous 160 km/h (99 mi/h)</w:t>
            </w:r>
          </w:p>
        </w:tc>
        <w:tc>
          <w:tcPr/>
          <w:p>
            <w:pPr>
              <w:pStyle w:val="Compact"/>
            </w:pPr>
            <w:r>
              <w:t xml:space="preserve">451 km</w:t>
            </w:r>
          </w:p>
        </w:tc>
        <w:tc>
          <w:tcPr/>
          <w:p>
            <w:pPr>
              <w:pStyle w:val="Compact"/>
            </w:pPr>
            <w:r>
              <w:t xml:space="preserve">236 km</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w:t>
            </w:r>
          </w:p>
        </w:tc>
      </w:tr>
    </w:tbl>
    <w:p>
      <w:pPr>
        <w:pStyle w:val="BodyText"/>
      </w:pPr>
      <w:r>
        <w:t xml:space="preserve">La lecture est simple : la géométrie du corridor n’a pas besoin d’être reconstruite. Elle a besoin d’un meilleur train.</w:t>
      </w:r>
    </w:p>
    <w:bookmarkEnd w:id="19"/>
    <w:bookmarkEnd w:id="20"/>
    <w:bookmarkStart w:id="27" w:name="Xe7ab6870725a631c9031127d1d3ed94a4cc89ce"/>
    <w:p>
      <w:pPr>
        <w:pStyle w:val="Heading1"/>
      </w:pPr>
      <w:r>
        <w:t xml:space="preserve">Doubler la voie, et vivre ensemble sur le rail</w:t>
      </w:r>
    </w:p>
    <w:bookmarkStart w:id="24" w:name="ce-que-la-voie-double-achète-vraiment"/>
    <w:p>
      <w:pPr>
        <w:pStyle w:val="Heading2"/>
      </w:pPr>
      <w:r>
        <w:t xml:space="preserve">Ce que la voie double achète vraiment</w:t>
      </w:r>
    </w:p>
    <w:p>
      <w:pPr>
        <w:pStyle w:val="FirstParagraph"/>
      </w:pPr>
      <w:r>
        <w:t xml:space="preserve">Une grande partie du corridor n’a qu’une voie. Deux trains qui se croisent doivent s’y attendre l’un l’autre. Le programme proposé est simple :</w:t>
      </w:r>
      <w:r>
        <w:t xml:space="preserve"> </w:t>
      </w:r>
      <w:r>
        <w:rPr>
          <w:b/>
          <w:bCs/>
        </w:rPr>
        <w:t xml:space="preserve">on double tout ce qui doit l’être, sauf les grands ponts.</w:t>
      </w:r>
      <w:r>
        <w:t xml:space="preserve"> </w:t>
      </w:r>
      <w:r>
        <w:t xml:space="preserve">Le pont de Québec et le pont Victoria restent tels quels ; ils sont dans les zones urbaines, dont les contraintes sont traitées à part, et leur remplacement est un projet en soi. C’est une limite déclarée du programme, pas un oubli.</w:t>
      </w:r>
    </w:p>
    <w:p>
      <w:pPr>
        <w:pStyle w:val="BodyText"/>
      </w:pPr>
      <w:r>
        <w:t xml:space="preserve">La voie double achète deux choses, et la première n’est pas la vitesse.</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inter-gare par inter-gare, coloré selon sa famille voie et propriétaire. En gris, les inter-gares exclus de la mesure (zones urbaines, ponts, frontières de propriétaire)." title="" id="22" name="Picture"/>
            <a:graphic>
              <a:graphicData uri="http://schemas.openxmlformats.org/drawingml/2006/picture">
                <pic:pic>
                  <pic:nvPicPr>
                    <pic:cNvPr descr="livrables/figure_cellules.png" id="23" name="Picture"/>
                    <pic:cNvPicPr>
                      <a:picLocks noChangeArrowheads="1" noChangeAspect="1"/>
                    </pic:cNvPicPr>
                  </pic:nvPicPr>
                  <pic:blipFill>
                    <a:blip r:embed="rId2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inter-gare par inter-gare, coloré selon sa famille voie et propriétaire. En gris, les inter-gares exclus de la mesure (zones urbaines, ponts, frontières de propriétaire).</w:t>
      </w:r>
    </w:p>
    <w:p>
      <w:pPr>
        <w:pStyle w:val="BodyText"/>
      </w:pPr>
      <w:r>
        <w:t xml:space="preserve">Regardez la dernière colonne.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rPr>
          <w:b/>
          <w:bCs/>
        </w:rPr>
        <w:t xml:space="preserve">Ensuite, la marge.</w:t>
      </w:r>
      <w:r>
        <w:t xml:space="preserve"> </w:t>
      </w:r>
      <w:r>
        <w:t xml:space="preserve">Chez le CN, passer de la voie simple à la voie double fait tomber la marge de 60 à 33 % : environ 27 points, soit une vingtaine de minutes sur Montréal-Québec. Mais le chiffre le plus instructif de la table est ailleurs : la voie simple de VIA porte MOINS de marge que la voie double du CN. Le prix de la voie manquante n’est donc pas d’abord un prix de béton. C’est un prix de régime : qui possède la voie, et qui passe en premier.</w:t>
      </w:r>
    </w:p>
    <w:p>
      <w:pPr>
        <w:pStyle w:val="BodyText"/>
      </w:pPr>
      <w:r>
        <w:rPr>
          <w:b/>
          <w:bCs/>
        </w:rPr>
        <w:t xml:space="preserve">Ce qui veut dire : le doublement seul ne suffit pas.</w:t>
      </w:r>
      <w:r>
        <w:t xml:space="preserve"> </w:t>
      </w:r>
      <w:r>
        <w:t xml:space="preserve">Montréal-Toronto est déjà doublé, et sa voie double porte encore 33 % de marge, contre une norme de 10 %. Comme le doublement existant ne suffit pas à ramener la marge aux meilleures pratiques, trois compléments sont nécessaires pour combler l’écart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 Le dimensionnement précis relève de l’étude complète.</w:t>
      </w:r>
    </w:p>
    <w:p>
      <w:pPr>
        <w:pStyle w:val="BodyText"/>
      </w:pPr>
      <w:r>
        <w:rPr>
          <w:b/>
          <w:bCs/>
        </w:rPr>
        <w:t xml:space="preserve">En bref : la voie double est plus performante d’abord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C’est le seul investissement du dossier qui fait gagner les deux joueurs à la fois.</w:t>
      </w:r>
    </w:p>
    <w:bookmarkEnd w:id="24"/>
    <w:bookmarkStart w:id="25" w:name="X7bb055127bb7637267af60402ef58d8fa102810"/>
    <w:p>
      <w:pPr>
        <w:pStyle w:val="Heading2"/>
      </w:pPr>
      <w:r>
        <w:t xml:space="preserve">Le régime de cohabitation, pièces au dossier</w:t>
      </w:r>
    </w:p>
    <w:p>
      <w:pPr>
        <w:pStyle w:val="FirstParagraph"/>
      </w:pPr>
      <w:r>
        <w:t xml:space="preserve">Le corridor appartient surtout au CN, qui vit du fret. VIA y est un invité. Les conséquences sont documentées. Le 11 octobre 2024, le CN a imposé aux rames neuves de VIA un ralentissement à 72 km/h à des centaines de passages à niveau, causant des retards de 30 à 45 minutes ; VIA a saisi la Cour fédérale</w:t>
      </w:r>
      <w:r>
        <w:t xml:space="preserve"> </w:t>
      </w:r>
      <w:r>
        <w:t xml:space="preserve">(</w:t>
      </w:r>
      <w:hyperlink w:anchor="ref-via2024requete">
        <w:r>
          <w:rPr>
            <w:rStyle w:val="Hyperlink"/>
          </w:rPr>
          <w:t xml:space="preserve">La Presse Canadienne, 2024</w:t>
        </w:r>
      </w:hyperlink>
      <w:r>
        <w:t xml:space="preserve">)</w:t>
      </w:r>
      <w:r>
        <w:t xml:space="preserve">, 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Autre pièce : le projet pilote sans arrêt, un train d’essai qui devait relier Montréal à Toronto directement, sans les arrêts intermédiaires habituels, pour démontrer le temps de parcours possible. Il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canadien : chez Amtrak aussi, environ 70 % du temps tampon des horaires provient des retards anticipés chez les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Encore faut-il que cette capacité soit répartie par un arbitre neutre, et non par le propriétaire de la voie, qui est aussi l’un des deux joueurs. C’est la leçon du Royaume-Uni. Là-bas, les rails appartiennent à un gestionnaire qui ne fait rouler aucun train,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n’a rien à inventer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w:t>
      </w:r>
    </w:p>
    <w:bookmarkEnd w:id="25"/>
    <w:bookmarkStart w:id="26"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en attendre un autre) est déjà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bien moindre que le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 L’inventaire fin des évitements relève de l’étude complète.</w:t>
      </w:r>
    </w:p>
    <w:bookmarkEnd w:id="26"/>
    <w:bookmarkEnd w:id="27"/>
    <w:bookmarkStart w:id="33" w:name="comment-nous-avons-mesuré"/>
    <w:p>
      <w:pPr>
        <w:pStyle w:val="Heading1"/>
      </w:pPr>
      <w:r>
        <w:t xml:space="preserve">Comment nous avons mesuré</w:t>
      </w:r>
    </w:p>
    <w:p>
      <w:pPr>
        <w:pStyle w:val="FirstParagraph"/>
      </w:pPr>
      <w:r>
        <w:t xml:space="preserve">Cette section explique d’où viennent les chiffres. Elle se lit en cinq minutes ; le détail complet est dans les annexes numériques et le code versionné.</w:t>
      </w:r>
    </w:p>
    <w:bookmarkStart w:id="28"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28"/>
    <w:bookmarkStart w:id="29"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modernisées dans les scénarios 2 et 3 ;</w:t>
      </w:r>
    </w:p>
    <w:p>
      <w:pPr>
        <w:pStyle w:val="Compact"/>
        <w:numPr>
          <w:ilvl w:val="0"/>
          <w:numId w:val="1004"/>
        </w:numPr>
      </w:pPr>
      <w:r>
        <w:rPr>
          <w:b/>
          <w:bCs/>
        </w:rPr>
        <w:t xml:space="preserve">la zone interurbaine</w:t>
      </w:r>
      <w:r>
        <w:t xml:space="preserve"> </w:t>
      </w:r>
      <w:r>
        <w:t xml:space="preserve">(tout le reste) : calculée mètre par mètre. En chaque point, le train roule à la plus basse de deux vitesses : celle que la courbe permet et le plafond de 201 km/h (125 mi/h). L’accélération et le freinage sont simulés avec des paramètres de rame déclarés ;</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simulé ;</w:t>
      </w:r>
    </w:p>
    <w:p>
      <w:pPr>
        <w:pStyle w:val="Compact"/>
        <w:numPr>
          <w:ilvl w:val="0"/>
          <w:numId w:val="1004"/>
        </w:numPr>
      </w:pPr>
      <w:r>
        <w:rPr>
          <w:b/>
          <w:bCs/>
        </w:rPr>
        <w:t xml:space="preserve">la marge d’exploitation</w:t>
      </w:r>
      <w:r>
        <w:t xml:space="preserve"> </w:t>
      </w:r>
      <w:r>
        <w:t xml:space="preserve">: 10 % du temps de base, en un seul point.</w:t>
      </w:r>
    </w:p>
    <w:p>
      <w:pPr>
        <w:pStyle w:val="FirstParagraph"/>
      </w:pPr>
      <w:r>
        <w:t xml:space="preserve">Une courbe de rayon R limite la vitesse à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29"/>
    <w:bookmarkStart w:id="30"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à nos vitesses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et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L’étude retient</w:t>
      </w:r>
      <w:r>
        <w:t xml:space="preserve"> </w:t>
      </w:r>
      <w:r>
        <w:rPr>
          <w:b/>
          <w:bCs/>
        </w:rPr>
        <w:t xml:space="preserve">10 %</w:t>
      </w:r>
      <w:r>
        <w:t xml:space="preserve"> </w:t>
      </w:r>
      <w:r>
        <w:t xml:space="preserve">: légèrement plus prudent que la médiane, et aligné sur le référent britannique dont ce rapport invoque le précédent. Les valeurs allemande et suisse n’ont pas pu être confirmées en source primaire ; les recherches infructueuses sont documentées au registre des sources. En regard, le corridor porte aujourd’hui de 29 à 60 % de marge selon la famille de voie : l’écart entre cette réalité et la norme est le prix du régime de cohabitation, mesuré à la section précédente.</w:t>
      </w:r>
    </w:p>
    <w:bookmarkEnd w:id="30"/>
    <w:bookmarkStart w:id="31" w:name="la-correction-des-courbes-courtes"/>
    <w:p>
      <w:pPr>
        <w:pStyle w:val="Heading2"/>
      </w:pPr>
      <w:r>
        <w:t xml:space="preserve">La correction des courbes courtes</w:t>
      </w:r>
    </w:p>
    <w:p>
      <w:pPr>
        <w:pStyle w:val="FirstParagraph"/>
      </w:pPr>
      <w:r>
        <w:t xml:space="preserve">Pour mesurer une courbe, l’étude fait passer un cercle à travers 900 m de tracé. Sur une courbe plus courte que 900 m, cette fenêtre déborde : elle avale la courbe et les bouts droits qui l’entourent, et la courbe paraît plus douce qu’elle ne l’est. L’erreur va toujours dans le même sens : elle fait paraître la voie plus rapide qu’elle ne l’est.</w:t>
      </w:r>
    </w:p>
    <w:p>
      <w:pPr>
        <w:pStyle w:val="BodyText"/>
      </w:pPr>
      <w:r>
        <w:t xml:space="preserve">Un audit de terrain, mené sur un secteur témoin avec la méthode de mesure d’un expert ferroviaire, a chiffré l’erreur : sur des courbes de 300 à 400 m, le rayon publié valait environ le double du rayon réel, ce qui gonfle la vitesse d’environ 30 %. Les chiffres publiés dans ce rapport incluent donc une correction forfaitaire et volontairement prudente : sur tout segment courbe de moins de 900 m, le rayon mesuré est divisé par deux avant de calculer la vitesse. Cette règle touche 414 segments (187 km) du cœur du corridor. Elle ajoute environ 96 km aux kilomètres restants sous le plafond (un quart de plus) et de 4 à 13 minutes aux temps de base selon le tronçon. Elle est prudente par construction : sur une partie des segments corrigés, l’erreur réelle est plus petite que le forfait. La lever demandera une source de géométrie plus fine que la carte ouverte : c’est un des mandats de l’étude à commander.</w:t>
      </w:r>
    </w:p>
    <w:p>
      <w:pPr>
        <w:pStyle w:val="BodyText"/>
      </w:pPr>
      <w:r>
        <w:t xml:space="preserve">Deux garde-fous internes complètent la mesure : chaque segment publié vérifie par construction la cohérence entre sa classe et sa vitesse, et des zones-témoins (les vraies courbes serrées d’Ottawa et de Montréal, les longues lignes droites de la ligne Kingston) doivent ressortir correctement à chaque régénération.</w:t>
      </w:r>
    </w:p>
    <w:bookmarkEnd w:id="31"/>
    <w:bookmarkStart w:id="32"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Les horaires mesurés datent de la saison 2026, une période de restrictions exceptionnelles : les marges mesurées sont possiblement gonflées, ce qui est signalé où c’est pertinent.</w:t>
      </w:r>
    </w:p>
    <w:bookmarkEnd w:id="32"/>
    <w:bookmarkEnd w:id="33"/>
    <w:bookmarkStart w:id="34" w:name="résultats-détaillés"/>
    <w:p>
      <w:pPr>
        <w:pStyle w:val="Heading1"/>
      </w:pPr>
      <w:r>
        <w:t xml:space="preserve">Résultats détaillés</w:t>
      </w:r>
    </w:p>
    <w:p>
      <w:pPr>
        <w:pStyle w:val="FirstParagraph"/>
      </w:pPr>
      <w:r>
        <w:rPr>
          <w:b/>
          <w:bCs/>
        </w:rPr>
        <w:t xml:space="preserve">Temps de base (sans marge) et temps publiés (avec marge de 10 %),</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 (base)</w:t>
            </w:r>
          </w:p>
        </w:tc>
        <w:tc>
          <w:tcPr/>
          <w:p>
            <w:pPr>
              <w:pStyle w:val="Compact"/>
            </w:pPr>
            <w:r>
              <w:t xml:space="preserve">Scénario 1 (publié)</w:t>
            </w:r>
          </w:p>
        </w:tc>
        <w:tc>
          <w:tcPr/>
          <w:p>
            <w:pPr>
              <w:pStyle w:val="Compact"/>
            </w:pPr>
            <w:r>
              <w:t xml:space="preserve">Scénario 2 (publié)</w:t>
            </w:r>
          </w:p>
        </w:tc>
        <w:tc>
          <w:tcPr/>
          <w:p>
            <w:pPr>
              <w:pStyle w:val="Compact"/>
            </w:pPr>
            <w:r>
              <w:t xml:space="preserve">Scénario 3 (publié)</w:t>
            </w:r>
          </w:p>
        </w:tc>
      </w:tr>
      <w:tr>
        <w:tc>
          <w:tcPr/>
          <w:p>
            <w:pPr>
              <w:pStyle w:val="Compact"/>
            </w:pPr>
            <w:r>
              <w:t xml:space="preserve">Montréal-Québec</w:t>
            </w:r>
          </w:p>
        </w:tc>
        <w:tc>
          <w:tcPr/>
          <w:p>
            <w:pPr>
              <w:pStyle w:val="Compact"/>
            </w:pPr>
            <w:r>
              <w:t xml:space="preserve">3 h 22</w:t>
            </w:r>
          </w:p>
        </w:tc>
        <w:tc>
          <w:tcPr/>
          <w:p>
            <w:pPr>
              <w:pStyle w:val="Compact"/>
            </w:pPr>
            <w:r>
              <w:t xml:space="preserve">2 h 21</w:t>
            </w:r>
          </w:p>
        </w:tc>
        <w:tc>
          <w:tcPr/>
          <w:p>
            <w:pPr>
              <w:pStyle w:val="Compact"/>
            </w:pPr>
            <w:r>
              <w:t xml:space="preserve">2 h 35</w:t>
            </w:r>
          </w:p>
        </w:tc>
        <w:tc>
          <w:tcPr/>
          <w:p>
            <w:pPr>
              <w:pStyle w:val="Compact"/>
            </w:pPr>
            <w:r>
              <w:t xml:space="preserve">2 h 16</w:t>
            </w:r>
          </w:p>
        </w:tc>
        <w:tc>
          <w:tcPr/>
          <w:p>
            <w:pPr>
              <w:pStyle w:val="Compact"/>
            </w:pPr>
            <w:r>
              <w:t xml:space="preserve">1 h 56</w:t>
            </w:r>
          </w:p>
        </w:tc>
      </w:tr>
      <w:tr>
        <w:tc>
          <w:tcPr/>
          <w:p>
            <w:pPr>
              <w:pStyle w:val="Compact"/>
            </w:pPr>
            <w:r>
              <w:t xml:space="preserve">Montréal-Ottawa</w:t>
            </w:r>
          </w:p>
        </w:tc>
        <w:tc>
          <w:tcPr/>
          <w:p>
            <w:pPr>
              <w:pStyle w:val="Compact"/>
            </w:pPr>
            <w:r>
              <w:t xml:space="preserve">2 h 02</w:t>
            </w:r>
          </w:p>
        </w:tc>
        <w:tc>
          <w:tcPr/>
          <w:p>
            <w:pPr>
              <w:pStyle w:val="Compact"/>
            </w:pPr>
            <w:r>
              <w:t xml:space="preserve">1 h 40</w:t>
            </w:r>
          </w:p>
        </w:tc>
        <w:tc>
          <w:tcPr/>
          <w:p>
            <w:pPr>
              <w:pStyle w:val="Compact"/>
            </w:pPr>
            <w:r>
              <w:t xml:space="preserve">1 h 50</w:t>
            </w:r>
          </w:p>
        </w:tc>
        <w:tc>
          <w:tcPr/>
          <w:p>
            <w:pPr>
              <w:pStyle w:val="Compact"/>
            </w:pPr>
            <w:r>
              <w:t xml:space="preserve">1 h 34</w:t>
            </w:r>
          </w:p>
        </w:tc>
        <w:tc>
          <w:tcPr/>
          <w:p>
            <w:pPr>
              <w:pStyle w:val="Compact"/>
            </w:pPr>
            <w:r>
              <w:t xml:space="preserve">1 h 23</w:t>
            </w:r>
          </w:p>
        </w:tc>
      </w:tr>
      <w:tr>
        <w:tc>
          <w:tcPr/>
          <w:p>
            <w:pPr>
              <w:pStyle w:val="Compact"/>
            </w:pPr>
            <w:r>
              <w:t xml:space="preserve">Ottawa-Toronto</w:t>
            </w:r>
          </w:p>
        </w:tc>
        <w:tc>
          <w:tcPr/>
          <w:p>
            <w:pPr>
              <w:pStyle w:val="Compact"/>
            </w:pPr>
            <w:r>
              <w:t xml:space="preserve">4 h 35</w:t>
            </w:r>
          </w:p>
        </w:tc>
        <w:tc>
          <w:tcPr/>
          <w:p>
            <w:pPr>
              <w:pStyle w:val="Compact"/>
            </w:pPr>
            <w:r>
              <w:t xml:space="preserve">3 h 23</w:t>
            </w:r>
          </w:p>
        </w:tc>
        <w:tc>
          <w:tcPr/>
          <w:p>
            <w:pPr>
              <w:pStyle w:val="Compact"/>
            </w:pPr>
            <w:r>
              <w:t xml:space="preserve">3 h 43</w:t>
            </w:r>
          </w:p>
        </w:tc>
        <w:tc>
          <w:tcPr/>
          <w:p>
            <w:pPr>
              <w:pStyle w:val="Compact"/>
            </w:pPr>
            <w:r>
              <w:t xml:space="preserve">3 h 34</w:t>
            </w:r>
          </w:p>
        </w:tc>
        <w:tc>
          <w:tcPr/>
          <w:p>
            <w:pPr>
              <w:pStyle w:val="Compact"/>
            </w:pPr>
            <w:r>
              <w:t xml:space="preserve">3 h 29</w:t>
            </w:r>
          </w:p>
        </w:tc>
      </w:tr>
      <w:tr>
        <w:tc>
          <w:tcPr/>
          <w:p>
            <w:pPr>
              <w:pStyle w:val="Compact"/>
            </w:pPr>
            <w:r>
              <w:t xml:space="preserve">Montréal-Toronto</w:t>
            </w:r>
          </w:p>
        </w:tc>
        <w:tc>
          <w:tcPr/>
          <w:p>
            <w:pPr>
              <w:pStyle w:val="Compact"/>
            </w:pPr>
            <w:r>
              <w:t xml:space="preserve">5 h 18</w:t>
            </w:r>
          </w:p>
        </w:tc>
        <w:tc>
          <w:tcPr/>
          <w:p>
            <w:pPr>
              <w:pStyle w:val="Compact"/>
            </w:pPr>
            <w:r>
              <w:t xml:space="preserve">4 h 03</w:t>
            </w:r>
          </w:p>
        </w:tc>
        <w:tc>
          <w:tcPr/>
          <w:p>
            <w:pPr>
              <w:pStyle w:val="Compact"/>
            </w:pPr>
            <w:r>
              <w:t xml:space="preserve">4 h 27</w:t>
            </w:r>
          </w:p>
        </w:tc>
        <w:tc>
          <w:tcPr/>
          <w:p>
            <w:pPr>
              <w:pStyle w:val="Compact"/>
            </w:pPr>
            <w:r>
              <w:t xml:space="preserve">4 h 04</w:t>
            </w:r>
          </w:p>
        </w:tc>
        <w:tc>
          <w:tcPr/>
          <w:p>
            <w:pPr>
              <w:pStyle w:val="Compact"/>
            </w:pPr>
            <w:r>
              <w:t xml:space="preserve">4 h 04</w:t>
            </w:r>
          </w:p>
        </w:tc>
      </w:tr>
    </w:tbl>
    <w:p>
      <w:pPr>
        <w:pStyle w:val="BodyText"/>
      </w:pPr>
      <w:r>
        <w:t xml:space="preserve">Le trajet Québec-Toronto des figures additionne Québec-Montréal et Montréal-Toronto, plus dix minutes d’arrêt à Montréal (hypothèse déclarée). La méthode d’attribution des tranches de la figure des gains, et ses contrôles, sont dans l’annexe numérique (</w:t>
      </w:r>
      <w:r>
        <w:rPr>
          <w:rStyle w:val="VerbatimChar"/>
        </w:rPr>
        <w:t xml:space="preserve">decomposition_gains.csv</w:t>
      </w:r>
      <w:r>
        <w:t xml:space="preserve">).</w:t>
      </w:r>
    </w:p>
    <w:p>
      <w:pPr>
        <w:pStyle w:val="BodyText"/>
      </w:pPr>
      <w:r>
        <w:rPr>
          <w:b/>
          <w:bCs/>
        </w:rPr>
        <w:t xml:space="preserve">Les kilomètres restants sous le plafond</w:t>
      </w:r>
      <w:r>
        <w:t xml:space="preserve"> </w:t>
      </w:r>
      <w:r>
        <w:t xml:space="preserve">sont détaillés section par section dans le sous-livrable joint (</w:t>
      </w:r>
      <w:r>
        <w:rPr>
          <w:rStyle w:val="VerbatimChar"/>
        </w:rPr>
        <w:t xml:space="preserve">sections_restantes_201kmh_pendulaire.pdf</w:t>
      </w:r>
      <w:r>
        <w:t xml:space="preserve">) : 449 km en 169 sections, chacune avec sa vitesse géométrique. Onze sites courts (6,7 km au total) restent sous 100 km/h (62 mi/h) même avec le pendulaire : ce sont les seuls candidats à une rectification de tracé, et la plupart sont des courbes d’approche de gare.</w:t>
      </w:r>
    </w:p>
    <w:p>
      <w:pPr>
        <w:pStyle w:val="BodyText"/>
      </w:pPr>
      <w:r>
        <w:rPr>
          <w:b/>
          <w:bCs/>
        </w:rPr>
        <w:t xml:space="preserve">Sensibilités.</w:t>
      </w:r>
      <w:r>
        <w:t xml:space="preserve"> </w:t>
      </w:r>
      <w:r>
        <w:t xml:space="preserve">La délimitation des zones urbaines varie de ±20 % : effet de ±4 à ±8 minutes sur les temps de base. Les paramètres de rame du modèle sont adossés aux fiches des trains réels. La rame actuelle de VIA (une locomotive Charger et cinq voitures Venture) porte 8,4 W de puissance nominale par kilogramme de rame à vide ; le modèle retient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l’analogue le plus proche de notre cas</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déclarées : la masse des voitures Venture n’est publiée par aucun constructeur (la valeur vient d’une source secondaire, corroborée à 1 % près par la fiche officielle de la locomotive), et la puissance nominale n’est pas la puissance disponible au rail. La sensibilité correspondante est chiffrée : un train moins puissant que l’hypothèse ajouterait 3 à 5 minutes par tronçon. Le détail, y compris les conventions de calcul, est dans le registre des sources et les annexes numériques.</w:t>
      </w:r>
    </w:p>
    <w:bookmarkEnd w:id="34"/>
    <w:bookmarkStart w:id="35" w:name="Xfdc148e5a6fd2c26c89d44d88229f0bfe73e54a"/>
    <w:p>
      <w:pPr>
        <w:pStyle w:val="Heading1"/>
      </w:pPr>
      <w:r>
        <w:t xml:space="preserve">Et si on enlevait tous les passages à niveau?</w:t>
      </w:r>
    </w:p>
    <w:p>
      <w:pPr>
        <w:pStyle w:val="FirstParagraph"/>
      </w:pPr>
      <w:r>
        <w:t xml:space="preserve">Le plafond de 201 km/h (125 mi/h) tient à une seule chose : les passages à niveau. Supposons qu’on les enlève tous. Les 924 croisements du corridor sont dénivelés ou fermés, sans exception. Le mur tombe. Le train peut alors monter à la marche de signalisation suivante, déjà prouvée en Amérique du Nord : 241 km/h (150 mi/h), la vitesse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p>
      <w:pPr>
        <w:pStyle w:val="BodyText"/>
      </w:pPr>
      <w:r>
        <w:t xml:space="preserve">Voici la réponse, sur le scénario 3 (marge de 10 % incluse)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Scénario 3 (plafond 201 km/h)</w:t>
            </w:r>
          </w:p>
        </w:tc>
        <w:tc>
          <w:tcPr/>
          <w:p>
            <w:pPr>
              <w:pStyle w:val="Compact"/>
            </w:pPr>
            <w:r>
              <w:t xml:space="preserve">Zéro passage à niveau (plafond 241 km/h)</w:t>
            </w:r>
          </w:p>
        </w:tc>
        <w:tc>
          <w:tcPr/>
          <w:p>
            <w:pPr>
              <w:pStyle w:val="Compact"/>
            </w:pPr>
            <w:r>
              <w:t xml:space="preserve">Gain</w:t>
            </w:r>
          </w:p>
        </w:tc>
      </w:tr>
      <w:tr>
        <w:tc>
          <w:tcPr/>
          <w:p>
            <w:pPr>
              <w:pStyle w:val="Compact"/>
            </w:pPr>
            <w:r>
              <w:t xml:space="preserve">Montréal-Québec</w:t>
            </w:r>
          </w:p>
        </w:tc>
        <w:tc>
          <w:tcPr/>
          <w:p>
            <w:pPr>
              <w:pStyle w:val="Compact"/>
            </w:pPr>
            <w:r>
              <w:t xml:space="preserve">1 h 56</w:t>
            </w:r>
          </w:p>
        </w:tc>
        <w:tc>
          <w:tcPr/>
          <w:p>
            <w:pPr>
              <w:pStyle w:val="Compact"/>
            </w:pPr>
            <w:r>
              <w:t xml:space="preserve">1 h 52</w:t>
            </w:r>
          </w:p>
        </w:tc>
        <w:tc>
          <w:tcPr/>
          <w:p>
            <w:pPr>
              <w:pStyle w:val="Compact"/>
            </w:pPr>
            <w:r>
              <w:t xml:space="preserve">4 min</w:t>
            </w:r>
          </w:p>
        </w:tc>
      </w:tr>
      <w:tr>
        <w:tc>
          <w:tcPr/>
          <w:p>
            <w:pPr>
              <w:pStyle w:val="Compact"/>
            </w:pPr>
            <w:r>
              <w:t xml:space="preserve">Montréal-Ottawa</w:t>
            </w:r>
          </w:p>
        </w:tc>
        <w:tc>
          <w:tcPr/>
          <w:p>
            <w:pPr>
              <w:pStyle w:val="Compact"/>
            </w:pPr>
            <w:r>
              <w:t xml:space="preserve">1 h 23</w:t>
            </w:r>
          </w:p>
        </w:tc>
        <w:tc>
          <w:tcPr/>
          <w:p>
            <w:pPr>
              <w:pStyle w:val="Compact"/>
            </w:pPr>
            <w:r>
              <w:t xml:space="preserve">1 h 21</w:t>
            </w:r>
          </w:p>
        </w:tc>
        <w:tc>
          <w:tcPr/>
          <w:p>
            <w:pPr>
              <w:pStyle w:val="Compact"/>
            </w:pPr>
            <w:r>
              <w:t xml:space="preserve">2 min</w:t>
            </w:r>
          </w:p>
        </w:tc>
      </w:tr>
      <w:tr>
        <w:tc>
          <w:tcPr/>
          <w:p>
            <w:pPr>
              <w:pStyle w:val="Compact"/>
            </w:pPr>
            <w:r>
              <w:t xml:space="preserve">Ottawa-Toronto</w:t>
            </w:r>
          </w:p>
        </w:tc>
        <w:tc>
          <w:tcPr/>
          <w:p>
            <w:pPr>
              <w:pStyle w:val="Compact"/>
            </w:pPr>
            <w:r>
              <w:t xml:space="preserve">3 h 29</w:t>
            </w:r>
          </w:p>
        </w:tc>
        <w:tc>
          <w:tcPr/>
          <w:p>
            <w:pPr>
              <w:pStyle w:val="Compact"/>
            </w:pPr>
            <w:r>
              <w:t xml:space="preserve">3 h 21</w:t>
            </w:r>
          </w:p>
        </w:tc>
        <w:tc>
          <w:tcPr/>
          <w:p>
            <w:pPr>
              <w:pStyle w:val="Compact"/>
            </w:pPr>
            <w:r>
              <w:t xml:space="preserve">8 min</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r>
    </w:tbl>
    <w:p>
      <w:pPr>
        <w:pStyle w:val="BodyText"/>
      </w:pPr>
      <w:r>
        <w:t xml:space="preserve">Sur le scénario 1, les gains sont du même ordre : de 1 à 12 minutes selon le trajet. De bout en bout, Québec-Toronto gagnerait 16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 Le mur des passages à niveau et le mur de la géométrie sont presque au même endroit.</w:t>
      </w:r>
    </w:p>
    <w:p>
      <w:pPr>
        <w:pStyle w:val="BodyText"/>
      </w:pPr>
      <w:r>
        <w:rPr>
          <w:b/>
          <w:bCs/>
        </w:rPr>
        <w:t xml:space="preserve">La lecture d’investissement est donc simple.</w:t>
      </w:r>
      <w:r>
        <w:t xml:space="preserve"> </w:t>
      </w:r>
      <w:r>
        <w:t xml:space="preserve">Comme levier de temps, déniveler les 924 passages ne se justifie pas : des centaines d’ouvrages pour gagner 2 à 12 minutes, là où le corridor scellé (le traitement des passages en place) fait partie du scénario de base et coûte une fraction de ce prix. Les dénivellations gardent leurs autres mérites, la sécurité d’abord, et quelques-unes se justifieront site par site. Mais quiconque veut des minutes au-delà du scénario 3 doit toucher au tracé lui-même, et c’est un autre projet : celui d’ALTO. Cette page borne l’écart entre les deux mondes.</w:t>
      </w:r>
    </w:p>
    <w:bookmarkEnd w:id="35"/>
    <w:bookmarkStart w:id="36"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et ne chiffre aucun coût. Le plafond de 201 km/h (125 mi/h) est un choix de système, pas une limite physique : c’est le sommet de la marche du contrôle de train certifié, et le seuil au-delà duquel le précédent américain interdit tout passage à niveau ; viser plus haut serait changer de projet. Les horaires de référence datent d’une saison de restrictions exceptionnelles ; la mesure a été rejouée sur les horaires de janvier 2023, antérieurs à la crise, et le résultat central tient : la voie simple du CN portait déjà bien plus de marge que sa voie double. La lecture fine de la voie simple de VIA, elle, varie selon la saison : le constat « la voie simple de VIA porte moins de marge que la voie double du CN » vaut pour les horaires courants, pas pour toutes les saisons.</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36"/>
    <w:bookmarkStart w:id="37"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7"/>
    <w:bookmarkStart w:id="151" w:name="références"/>
    <w:p>
      <w:pPr>
        <w:pStyle w:val="Heading1"/>
      </w:pPr>
      <w:r>
        <w:t xml:space="preserve">Références</w:t>
      </w:r>
    </w:p>
    <w:bookmarkStart w:id="150" w:name="refs"/>
    <w:bookmarkStart w:id="39"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38">
        <w:r>
          <w:rPr>
            <w:rStyle w:val="Hyperlink"/>
          </w:rPr>
          <w:t xml:space="preserve">https://www.alstom.com/press-releases-news/2005/6/The-NEW-PENDOLINO-The-fourth-generation-of-tilting-technology-20050628</w:t>
        </w:r>
      </w:hyperlink>
    </w:p>
    <w:bookmarkEnd w:id="39"/>
    <w:bookmarkStart w:id="41" w:name="ref-alto2025"/>
    <w:p>
      <w:pPr>
        <w:pStyle w:val="Bibliography"/>
      </w:pPr>
      <w:r>
        <w:t xml:space="preserve">Alto. (2025).</w:t>
      </w:r>
      <w:r>
        <w:t xml:space="preserve"> </w:t>
      </w:r>
      <w:r>
        <w:rPr>
          <w:i/>
          <w:iCs/>
        </w:rPr>
        <w:t xml:space="preserve">About Alto</w:t>
      </w:r>
      <w:r>
        <w:t xml:space="preserve">.</w:t>
      </w:r>
      <w:r>
        <w:t xml:space="preserve"> </w:t>
      </w:r>
      <w:hyperlink r:id="rId40">
        <w:r>
          <w:rPr>
            <w:rStyle w:val="Hyperlink"/>
          </w:rPr>
          <w:t xml:space="preserve">https://www.altotrain.ca/en/about-alto</w:t>
        </w:r>
      </w:hyperlink>
    </w:p>
    <w:bookmarkEnd w:id="41"/>
    <w:bookmarkStart w:id="43"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42">
        <w:r>
          <w:rPr>
            <w:rStyle w:val="Hyperlink"/>
          </w:rPr>
          <w:t xml:space="preserve">https://www.altotrain.ca/fr/foire-aux-questions</w:t>
        </w:r>
      </w:hyperlink>
    </w:p>
    <w:bookmarkEnd w:id="43"/>
    <w:bookmarkStart w:id="4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44">
        <w:r>
          <w:rPr>
            <w:rStyle w:val="Hyperlink"/>
          </w:rPr>
          <w:t xml:space="preserve">https://amtrakoig.gov/sites/default/files/reports/OIG-A-2020-001%20OTP%20mandate.pdf</w:t>
        </w:r>
      </w:hyperlink>
    </w:p>
    <w:bookmarkEnd w:id="45"/>
    <w:bookmarkStart w:id="4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46">
        <w:r>
          <w:rPr>
            <w:rStyle w:val="Hyperlink"/>
          </w:rPr>
          <w:t xml:space="preserve">https://exporail.org/canrail/canadian_rail_1962_1989/canadian-rail-296-1976.pdf</w:t>
        </w:r>
      </w:hyperlink>
    </w:p>
    <w:bookmarkEnd w:id="47"/>
    <w:bookmarkStart w:id="4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48">
        <w:r>
          <w:rPr>
            <w:rStyle w:val="Hyperlink"/>
          </w:rPr>
          <w:t xml:space="preserve">https://austria-forum.org/af/AustriaWiki/ICE_T</w:t>
        </w:r>
      </w:hyperlink>
    </w:p>
    <w:bookmarkEnd w:id="49"/>
    <w:bookmarkStart w:id="5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50">
        <w:r>
          <w:rPr>
            <w:rStyle w:val="Hyperlink"/>
          </w:rPr>
          <w:t xml:space="preserve">https://spacing.ca/toronto/2015/12/09/53711/</w:t>
        </w:r>
      </w:hyperlink>
    </w:p>
    <w:bookmarkEnd w:id="51"/>
    <w:bookmarkStart w:id="5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52">
        <w:r>
          <w:rPr>
            <w:rStyle w:val="Hyperlink"/>
          </w:rPr>
          <w:t xml:space="preserve">https://railroads.dot.gov/sites/fra.dot.gov/files/fra_net/300/ord0917.pdf</w:t>
        </w:r>
      </w:hyperlink>
    </w:p>
    <w:bookmarkEnd w:id="53"/>
    <w:bookmarkStart w:id="5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54">
        <w:r>
          <w:rPr>
            <w:rStyle w:val="Hyperlink"/>
          </w:rPr>
          <w:t xml:space="preserve">https://www.gobrightline.com/press-room/2023/brightline-130-mph-milestone</w:t>
        </w:r>
      </w:hyperlink>
    </w:p>
    <w:bookmarkEnd w:id="55"/>
    <w:bookmarkStart w:id="5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56">
        <w:r>
          <w:rPr>
            <w:rStyle w:val="Hyperlink"/>
          </w:rPr>
          <w:t xml:space="preserve">https://researchbriefings.files.parliament.uk/documents/SN00364/SN00364.pdf</w:t>
        </w:r>
      </w:hyperlink>
    </w:p>
    <w:bookmarkEnd w:id="57"/>
    <w:bookmarkStart w:id="5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58">
        <w:r>
          <w:rPr>
            <w:rStyle w:val="Hyperlink"/>
          </w:rPr>
          <w:t xml:space="preserve">https://www.pm.gc.ca/en/news/news-releases/2025/02/19/canada-getting-high-speed</w:t>
        </w:r>
      </w:hyperlink>
    </w:p>
    <w:bookmarkEnd w:id="59"/>
    <w:bookmarkStart w:id="60"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60"/>
    <w:bookmarkStart w:id="62"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61">
        <w:r>
          <w:rPr>
            <w:rStyle w:val="Hyperlink"/>
          </w:rPr>
          <w:t xml:space="preserve">https://www.cbc.ca/news/canada/ottawa/via-montreal-toronto-pilot-that-skipped-eastern-ontario-postponed-1.7646512</w:t>
        </w:r>
      </w:hyperlink>
    </w:p>
    <w:bookmarkEnd w:id="62"/>
    <w:bookmarkStart w:id="64"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63">
        <w:r>
          <w:rPr>
            <w:rStyle w:val="Hyperlink"/>
          </w:rPr>
          <w:t xml:space="preserve">https://eur-lex.europa.eu/legal-content/FR/TXT/?uri=CELEX:32023R1695</w:t>
        </w:r>
      </w:hyperlink>
    </w:p>
    <w:bookmarkEnd w:id="64"/>
    <w:bookmarkStart w:id="66"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65">
        <w:r>
          <w:rPr>
            <w:rStyle w:val="Hyperlink"/>
          </w:rPr>
          <w:t xml:space="preserve">https://transport.ec.europa.eu/transport-modes/rail/ertms/what-ertms-and-how-does-it-work/etcs-levels-and-modes_en</w:t>
        </w:r>
      </w:hyperlink>
    </w:p>
    <w:bookmarkEnd w:id="66"/>
    <w:bookmarkStart w:id="68"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67">
        <w:r>
          <w:rPr>
            <w:rStyle w:val="Hyperlink"/>
          </w:rPr>
          <w:t xml:space="preserve">https://assets.static-bahn.de/dam/jcr:4925f5ab-a1e2-4b5e-9205-221aab02f243/215191-289017.pdf</w:t>
        </w:r>
      </w:hyperlink>
    </w:p>
    <w:bookmarkEnd w:id="68"/>
    <w:bookmarkStart w:id="70"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69">
        <w:r>
          <w:rPr>
            <w:rStyle w:val="Hyperlink"/>
          </w:rPr>
          <w:t xml:space="preserve">https://doi.org/10.1177/0361198119841852</w:t>
        </w:r>
      </w:hyperlink>
    </w:p>
    <w:bookmarkEnd w:id="70"/>
    <w:bookmarkStart w:id="72"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71">
        <w:r>
          <w:rPr>
            <w:rStyle w:val="Hyperlink"/>
          </w:rPr>
          <w:t xml:space="preserve">https://www.ecfr.gov/current/title-49/section-213.347</w:t>
        </w:r>
      </w:hyperlink>
    </w:p>
    <w:bookmarkEnd w:id="72"/>
    <w:bookmarkStart w:id="74"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73">
        <w:r>
          <w:rPr>
            <w:rStyle w:val="Hyperlink"/>
          </w:rPr>
          <w:t xml:space="preserve">https://railroads.dot.gov/sites/fra.dot.gov/files/fra_net/19085/Superelevation.pdf</w:t>
        </w:r>
      </w:hyperlink>
    </w:p>
    <w:bookmarkEnd w:id="74"/>
    <w:bookmarkStart w:id="76"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75">
        <w:r>
          <w:rPr>
            <w:rStyle w:val="Hyperlink"/>
          </w:rPr>
          <w:t xml:space="preserve">https://railroads.dot.gov/sites/fra.dot.gov/files/fra_net/17524/ptc_ben_cost_report.pdf</w:t>
        </w:r>
      </w:hyperlink>
    </w:p>
    <w:bookmarkEnd w:id="76"/>
    <w:bookmarkStart w:id="78"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77">
        <w:r>
          <w:rPr>
            <w:rStyle w:val="Hyperlink"/>
          </w:rPr>
          <w:t xml:space="preserve">https://railroads.dot.gov/research-development/program-areas/train-control/ptc/incremental-train-control-system</w:t>
        </w:r>
      </w:hyperlink>
    </w:p>
    <w:bookmarkEnd w:id="78"/>
    <w:bookmarkStart w:id="80"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79">
        <w:r>
          <w:rPr>
            <w:rStyle w:val="Hyperlink"/>
          </w:rPr>
          <w:t xml:space="preserve">https://railroads.dot.gov/sites/fra.dot.gov/files/fra_net/17118/Chapter%202%20Alternatives%20Considered.pdf</w:t>
        </w:r>
      </w:hyperlink>
    </w:p>
    <w:bookmarkEnd w:id="80"/>
    <w:bookmarkStart w:id="82"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81">
        <w:r>
          <w:rPr>
            <w:rStyle w:val="Hyperlink"/>
          </w:rPr>
          <w:t xml:space="preserve">https://globalnews.ca/news/10868587/via-rail-judicial-review-cn-rail-speed-restrictions/</w:t>
        </w:r>
      </w:hyperlink>
    </w:p>
    <w:bookmarkEnd w:id="82"/>
    <w:bookmarkStart w:id="84"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83">
        <w:r>
          <w:rPr>
            <w:rStyle w:val="Hyperlink"/>
          </w:rPr>
          <w:t xml:space="preserve">https://www.nao.org.uk/reports/the-modernisation-of-the-west-coast-main-line/</w:t>
        </w:r>
      </w:hyperlink>
    </w:p>
    <w:bookmarkEnd w:id="84"/>
    <w:bookmarkStart w:id="86"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85">
        <w:r>
          <w:rPr>
            <w:rStyle w:val="Hyperlink"/>
          </w:rPr>
          <w:t xml:space="preserve">https://otc-cta.gc.ca/fra/differends-sur-droits-circulation-et-sur-lusage-commun-des-voies</w:t>
        </w:r>
      </w:hyperlink>
    </w:p>
    <w:bookmarkEnd w:id="86"/>
    <w:bookmarkStart w:id="88"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87">
        <w:r>
          <w:rPr>
            <w:rStyle w:val="Hyperlink"/>
          </w:rPr>
          <w:t xml:space="preserve">https://www.orr.gov.uk/sites/default/files/2021-07/guidance-on-the-statutory-and-contractual-framework.pdf</w:t>
        </w:r>
      </w:hyperlink>
    </w:p>
    <w:bookmarkEnd w:id="88"/>
    <w:bookmarkStart w:id="90"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89">
        <w:r>
          <w:rPr>
            <w:rStyle w:val="Hyperlink"/>
          </w:rPr>
          <w:t xml:space="preserve">https://www.orr.gov.uk/sites/default/files/2024-05/train-protection-systems-guidance-on-rsr-1999.pdf</w:t>
        </w:r>
      </w:hyperlink>
    </w:p>
    <w:bookmarkEnd w:id="90"/>
    <w:bookmarkStart w:id="92"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91">
        <w:r>
          <w:rPr>
            <w:rStyle w:val="Hyperlink"/>
          </w:rPr>
          <w:t xml:space="preserve">https://www.orr.gov.uk/sites/default/files/2025-07/2025-07-03-applications-for-access-to-the-west-coast-main-line-decision.pdf</w:t>
        </w:r>
      </w:hyperlink>
    </w:p>
    <w:bookmarkEnd w:id="92"/>
    <w:bookmarkStart w:id="94"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93">
        <w:r>
          <w:rPr>
            <w:rStyle w:val="Hyperlink"/>
          </w:rPr>
          <w:t xml:space="preserve">https://download.geofabrik.de/</w:t>
        </w:r>
      </w:hyperlink>
    </w:p>
    <w:bookmarkEnd w:id="94"/>
    <w:bookmarkStart w:id="96"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95">
        <w:r>
          <w:rPr>
            <w:rStyle w:val="Hyperlink"/>
          </w:rPr>
          <w:t xml:space="preserve">https://laws-lois.justice.gc.ca/fra/lois/c-10.4/section-138.html</w:t>
        </w:r>
      </w:hyperlink>
    </w:p>
    <w:bookmarkEnd w:id="96"/>
    <w:bookmarkStart w:id="98"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97">
        <w:r>
          <w:rPr>
            <w:rStyle w:val="Hyperlink"/>
          </w:rPr>
          <w:t xml:space="preserve">https://www.legislation.gov.uk/ukpga/1993/43/section/17</w:t>
        </w:r>
      </w:hyperlink>
    </w:p>
    <w:bookmarkEnd w:id="98"/>
    <w:bookmarkStart w:id="100"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99">
        <w:r>
          <w:rPr>
            <w:rStyle w:val="Hyperlink"/>
          </w:rPr>
          <w:t xml:space="preserve">https://tfl.gov.uk/cdn/static/cms/documents/rfli-ccos-tpr-2026.pdf</w:t>
        </w:r>
      </w:hyperlink>
    </w:p>
    <w:bookmarkEnd w:id="100"/>
    <w:bookmarkStart w:id="102"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01">
        <w:r>
          <w:rPr>
            <w:rStyle w:val="Hyperlink"/>
          </w:rPr>
          <w:t xml:space="preserve">https://journals.aau.dk/index.php/td/article/download/5554/4887</w:t>
        </w:r>
      </w:hyperlink>
    </w:p>
    <w:bookmarkEnd w:id="102"/>
    <w:bookmarkStart w:id="104"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03">
        <w:r>
          <w:rPr>
            <w:rStyle w:val="Hyperlink"/>
          </w:rPr>
          <w:t xml:space="preserve">https://assets.new.siemens.com/siemens/assets/api/uuid:f1a77eb1-1b1a-4335-913e-8f831d82d778/WSDOT-Charger-Data-Sheet_original.pdf</w:t>
        </w:r>
      </w:hyperlink>
    </w:p>
    <w:bookmarkEnd w:id="104"/>
    <w:bookmarkStart w:id="106"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05">
        <w:r>
          <w:rPr>
            <w:rStyle w:val="Hyperlink"/>
          </w:rPr>
          <w:t xml:space="preserve">https://www.sncf-reseau.com/medias-publics/2023-12/DRR2025-annexe-4-1.pdf</w:t>
        </w:r>
      </w:hyperlink>
    </w:p>
    <w:bookmarkEnd w:id="106"/>
    <w:bookmarkStart w:id="108"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07">
        <w:r>
          <w:rPr>
            <w:rStyle w:val="Hyperlink"/>
          </w:rPr>
          <w:t xml:space="preserve">https://railtec.illinois.edu/wp/wp-content/uploads/2019/01/Sogin%20et%20al%202013b%20IAROR.pdf</w:t>
        </w:r>
      </w:hyperlink>
    </w:p>
    <w:bookmarkEnd w:id="108"/>
    <w:bookmarkStart w:id="110"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09">
        <w:r>
          <w:rPr>
            <w:rStyle w:val="Hyperlink"/>
          </w:rPr>
          <w:t xml:space="preserve">https://bransch.trafikverket.se/contentassets/6526f430ae7f489aae8e88c06f2eef6b/jnb-2027-2025-12-05.pdf</w:t>
        </w:r>
      </w:hyperlink>
    </w:p>
    <w:bookmarkEnd w:id="110"/>
    <w:bookmarkStart w:id="112"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11">
        <w:r>
          <w:rPr>
            <w:rStyle w:val="Hyperlink"/>
          </w:rPr>
          <w:t xml:space="preserve">https://tc.canada.ca/en/rail-transportation/rules/2022-2023/rules-respecting-track-safety/subpart-c</w:t>
        </w:r>
      </w:hyperlink>
    </w:p>
    <w:bookmarkEnd w:id="112"/>
    <w:bookmarkStart w:id="114"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13">
        <w:r>
          <w:rPr>
            <w:rStyle w:val="Hyperlink"/>
          </w:rPr>
          <w:t xml:space="preserve">https://ouvert.canada.ca/data/fr/dataset/d0f54727-6c0b-4e5a-aa04-ea1463cf9f4c</w:t>
        </w:r>
      </w:hyperlink>
    </w:p>
    <w:bookmarkEnd w:id="114"/>
    <w:bookmarkStart w:id="116"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15">
        <w:r>
          <w:rPr>
            <w:rStyle w:val="Hyperlink"/>
          </w:rPr>
          <w:t xml:space="preserve">https://tc.canada.ca/en/binder/3-pic-operating-restrictions-via-rail-quebec-city-windsor-corridor</w:t>
        </w:r>
      </w:hyperlink>
    </w:p>
    <w:bookmarkEnd w:id="116"/>
    <w:bookmarkStart w:id="118"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17">
        <w:r>
          <w:rPr>
            <w:rStyle w:val="Hyperlink"/>
          </w:rPr>
          <w:t xml:space="preserve">https://tc.canada.ca/sites/default/files/2025-01/Jan_2025_Canadian_rail_operating_rules_EN.pdf</w:t>
        </w:r>
      </w:hyperlink>
    </w:p>
    <w:bookmarkEnd w:id="118"/>
    <w:bookmarkStart w:id="119"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19"/>
    <w:bookmarkStart w:id="121"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20">
        <w:r>
          <w:rPr>
            <w:rStyle w:val="Hyperlink"/>
          </w:rPr>
          <w:t xml:space="preserve">https://railroads.dot.gov/elibrary/secretary-slater-announces-approval-150mph-amtrak-acela-service</w:t>
        </w:r>
      </w:hyperlink>
    </w:p>
    <w:bookmarkEnd w:id="121"/>
    <w:bookmarkStart w:id="123"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22">
        <w:r>
          <w:rPr>
            <w:rStyle w:val="Hyperlink"/>
          </w:rPr>
          <w:t xml:space="preserve">https://www.federalregister.gov/documents/2010/01/15/E9-31362/positive-train-control-systems</w:t>
        </w:r>
      </w:hyperlink>
    </w:p>
    <w:bookmarkEnd w:id="123"/>
    <w:bookmarkStart w:id="125"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24">
        <w:r>
          <w:rPr>
            <w:rStyle w:val="Hyperlink"/>
          </w:rPr>
          <w:t xml:space="preserve">https://www.federalregister.gov/documents/2023/03/09/2023-04832/brightline-trains-florida-llcs-positive-train-control-safety-plan-and-request-for-positive-train</w:t>
        </w:r>
      </w:hyperlink>
    </w:p>
    <w:bookmarkEnd w:id="125"/>
    <w:bookmarkStart w:id="127" w:name="ref-cfr236-0"/>
    <w:p>
      <w:pPr>
        <w:pStyle w:val="Bibliography"/>
      </w:pPr>
      <w:r>
        <w:t xml:space="preserve">United States. Federal Railroad Administration. (2026a).</w:t>
      </w:r>
      <w:r>
        <w:t xml:space="preserve"> </w:t>
      </w:r>
      <w:r>
        <w:rPr>
          <w:i/>
          <w:iCs/>
        </w:rPr>
        <w:t xml:space="preserve">49 CFR § 236.0 — Applicability, minimum requirements, and penalties</w:t>
      </w:r>
      <w:r>
        <w:t xml:space="preserve">. Electronic Code of Federal Regulations.</w:t>
      </w:r>
      <w:r>
        <w:t xml:space="preserve"> </w:t>
      </w:r>
      <w:hyperlink r:id="rId126">
        <w:r>
          <w:rPr>
            <w:rStyle w:val="Hyperlink"/>
          </w:rPr>
          <w:t xml:space="preserve">https://www.ecfr.gov/current/title-49/subtitle-B/chapter-II/part-236/subject-group-ECFR3fd63a3e8f8e42d/section-236.0</w:t>
        </w:r>
      </w:hyperlink>
    </w:p>
    <w:bookmarkEnd w:id="127"/>
    <w:bookmarkStart w:id="129" w:name="ref-cfr236-1007"/>
    <w:p>
      <w:pPr>
        <w:pStyle w:val="Bibliography"/>
      </w:pPr>
      <w:r>
        <w:t xml:space="preserve">United States. Federal Railroad Administration. (2026b).</w:t>
      </w:r>
      <w:r>
        <w:t xml:space="preserve"> </w:t>
      </w:r>
      <w:r>
        <w:rPr>
          <w:i/>
          <w:iCs/>
        </w:rPr>
        <w:t xml:space="preserve">49 CFR § 236.1007 — Additional requirements for high-speed service</w:t>
      </w:r>
      <w:r>
        <w:t xml:space="preserve">. Electronic Code of Federal Regulations.</w:t>
      </w:r>
      <w:r>
        <w:t xml:space="preserve"> </w:t>
      </w:r>
      <w:hyperlink r:id="rId128">
        <w:r>
          <w:rPr>
            <w:rStyle w:val="Hyperlink"/>
          </w:rPr>
          <w:t xml:space="preserve">https://www.ecfr.gov/current/title-49/subtitle-B/chapter-II/part-236/subpart-I/section-236.1007</w:t>
        </w:r>
      </w:hyperlink>
    </w:p>
    <w:bookmarkEnd w:id="129"/>
    <w:bookmarkStart w:id="131"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30">
        <w:r>
          <w:rPr>
            <w:rStyle w:val="Hyperlink"/>
          </w:rPr>
          <w:t xml:space="preserve">https://www.viarail.ca/sites/all/files/media/pdfs/About_VIA/our-company/capital-investment-plan/BK090501E%20-%20VIA%20LRC.pdf</w:t>
        </w:r>
      </w:hyperlink>
    </w:p>
    <w:bookmarkEnd w:id="131"/>
    <w:bookmarkStart w:id="133"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32">
        <w:r>
          <w:rPr>
            <w:rStyle w:val="Hyperlink"/>
          </w:rPr>
          <w:t xml:space="preserve">https://corpo.viarail.ca/en/projects-infrastructure/train-fleet/corridor-fleet</w:t>
        </w:r>
      </w:hyperlink>
    </w:p>
    <w:bookmarkEnd w:id="133"/>
    <w:bookmarkStart w:id="135"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34">
        <w:r>
          <w:rPr>
            <w:rStyle w:val="Hyperlink"/>
          </w:rPr>
          <w:t xml:space="preserve">https://media.viarail.ca/sites/default/files/publications/VIA-Rail_Annual-Report_2024.pdf</w:t>
        </w:r>
      </w:hyperlink>
    </w:p>
    <w:bookmarkEnd w:id="135"/>
    <w:bookmarkStart w:id="137"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36">
        <w:r>
          <w:rPr>
            <w:rStyle w:val="Hyperlink"/>
          </w:rPr>
          <w:t xml:space="preserve">https://media.viarail.ca/sites/default/files/publications/2025_VIA-Rail_First-Quarter-Report.pdf</w:t>
        </w:r>
      </w:hyperlink>
    </w:p>
    <w:bookmarkEnd w:id="137"/>
    <w:bookmarkStart w:id="139"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38">
        <w:r>
          <w:rPr>
            <w:rStyle w:val="Hyperlink"/>
          </w:rPr>
          <w:t xml:space="preserve">https://www.viarail.ca/fr/developpeurs</w:t>
        </w:r>
      </w:hyperlink>
    </w:p>
    <w:bookmarkEnd w:id="139"/>
    <w:bookmarkStart w:id="141"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40">
        <w:r>
          <w:rPr>
            <w:rStyle w:val="Hyperlink"/>
          </w:rPr>
          <w:t xml:space="preserve">https://en.wikipedia.org/wiki/British_Rail_Class_390</w:t>
        </w:r>
      </w:hyperlink>
    </w:p>
    <w:bookmarkEnd w:id="141"/>
    <w:bookmarkStart w:id="143"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42">
        <w:r>
          <w:rPr>
            <w:rStyle w:val="Hyperlink"/>
          </w:rPr>
          <w:t xml:space="preserve">https://en.wikipedia.org/wiki/New_Pendolino</w:t>
        </w:r>
      </w:hyperlink>
    </w:p>
    <w:bookmarkEnd w:id="143"/>
    <w:bookmarkStart w:id="145"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44">
        <w:r>
          <w:rPr>
            <w:rStyle w:val="Hyperlink"/>
          </w:rPr>
          <w:t xml:space="preserve">https://en.wikipedia.org/wiki/Siemens_Charger</w:t>
        </w:r>
      </w:hyperlink>
    </w:p>
    <w:bookmarkEnd w:id="145"/>
    <w:bookmarkStart w:id="147"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46">
        <w:r>
          <w:rPr>
            <w:rStyle w:val="Hyperlink"/>
          </w:rPr>
          <w:t xml:space="preserve">https://en.wikipedia.org/wiki/Siemens_Venture</w:t>
        </w:r>
      </w:hyperlink>
    </w:p>
    <w:bookmarkEnd w:id="147"/>
    <w:bookmarkStart w:id="149"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48">
        <w:r>
          <w:rPr>
            <w:rStyle w:val="Hyperlink"/>
          </w:rPr>
          <w:t xml:space="preserve">https://en.wikipedia.org/wiki/West_Coast_Main_Line_route_modernisation</w:t>
        </w:r>
      </w:hyperlink>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2" Type="http://schemas.openxmlformats.org/officeDocument/2006/relationships/image" Target="media/rId12.png"/><Relationship Id="rId9" Type="http://schemas.openxmlformats.org/officeDocument/2006/relationships/image" Target="media/rId9.png"/><Relationship Id="rId44" Type="http://schemas.openxmlformats.org/officeDocument/2006/relationships/hyperlink" Target="https://amtrakoig.gov/sites/default/files/reports/OIG-A-2020-001%20OTP%20mandate.pdf" TargetMode="External"/><Relationship Id="rId103" Type="http://schemas.openxmlformats.org/officeDocument/2006/relationships/hyperlink" Target="https://assets.new.siemens.com/siemens/assets/api/uuid:f1a77eb1-1b1a-4335-913e-8f831d82d778/WSDOT-Charger-Data-Sheet_original.pdf" TargetMode="External"/><Relationship Id="rId67" Type="http://schemas.openxmlformats.org/officeDocument/2006/relationships/hyperlink" Target="https://assets.static-bahn.de/dam/jcr:4925f5ab-a1e2-4b5e-9205-221aab02f243/215191-289017.pdf" TargetMode="External"/><Relationship Id="rId48" Type="http://schemas.openxmlformats.org/officeDocument/2006/relationships/hyperlink" Target="https://austria-forum.org/af/AustriaWiki/ICE_T" TargetMode="External"/><Relationship Id="rId109" Type="http://schemas.openxmlformats.org/officeDocument/2006/relationships/hyperlink" Target="https://bransch.trafikverket.se/contentassets/6526f430ae7f489aae8e88c06f2eef6b/jnb-2027-2025-12-05.pdf" TargetMode="External"/><Relationship Id="rId132" Type="http://schemas.openxmlformats.org/officeDocument/2006/relationships/hyperlink" Target="https://corpo.viarail.ca/en/projects-infrastructure/train-fleet/corridor-fleet" TargetMode="External"/><Relationship Id="rId69" Type="http://schemas.openxmlformats.org/officeDocument/2006/relationships/hyperlink" Target="https://doi.org/10.1177/0361198119841852" TargetMode="External"/><Relationship Id="rId93" Type="http://schemas.openxmlformats.org/officeDocument/2006/relationships/hyperlink" Target="https://download.geofabrik.de/" TargetMode="External"/><Relationship Id="rId140" Type="http://schemas.openxmlformats.org/officeDocument/2006/relationships/hyperlink" Target="https://en.wikipedia.org/wiki/British_Rail_Class_390" TargetMode="External"/><Relationship Id="rId142" Type="http://schemas.openxmlformats.org/officeDocument/2006/relationships/hyperlink" Target="https://en.wikipedia.org/wiki/New_Pendolino" TargetMode="External"/><Relationship Id="rId144" Type="http://schemas.openxmlformats.org/officeDocument/2006/relationships/hyperlink" Target="https://en.wikipedia.org/wiki/Siemens_Charger" TargetMode="External"/><Relationship Id="rId146" Type="http://schemas.openxmlformats.org/officeDocument/2006/relationships/hyperlink" Target="https://en.wikipedia.org/wiki/Siemens_Venture" TargetMode="External"/><Relationship Id="rId148" Type="http://schemas.openxmlformats.org/officeDocument/2006/relationships/hyperlink" Target="https://en.wikipedia.org/wiki/West_Coast_Main_Line_route_modernisation" TargetMode="External"/><Relationship Id="rId63" Type="http://schemas.openxmlformats.org/officeDocument/2006/relationships/hyperlink" Target="https://eur-lex.europa.eu/legal-content/FR/TXT/?uri=CELEX:32023R1695" TargetMode="External"/><Relationship Id="rId46" Type="http://schemas.openxmlformats.org/officeDocument/2006/relationships/hyperlink" Target="https://exporail.org/canrail/canadian_rail_1962_1989/canadian-rail-296-1976.pdf" TargetMode="External"/><Relationship Id="rId81" Type="http://schemas.openxmlformats.org/officeDocument/2006/relationships/hyperlink" Target="https://globalnews.ca/news/10868587/via-rail-judicial-review-cn-rail-speed-restrictions/" TargetMode="External"/><Relationship Id="rId101" Type="http://schemas.openxmlformats.org/officeDocument/2006/relationships/hyperlink" Target="https://journals.aau.dk/index.php/td/article/download/5554/4887" TargetMode="External"/><Relationship Id="rId95" Type="http://schemas.openxmlformats.org/officeDocument/2006/relationships/hyperlink" Target="https://laws-lois.justice.gc.ca/fra/lois/c-10.4/section-138.html" TargetMode="External"/><Relationship Id="rId136" Type="http://schemas.openxmlformats.org/officeDocument/2006/relationships/hyperlink" Target="https://media.viarail.ca/sites/default/files/publications/2025_VIA-Rail_First-Quarter-Report.pdf" TargetMode="External"/><Relationship Id="rId134" Type="http://schemas.openxmlformats.org/officeDocument/2006/relationships/hyperlink" Target="https://media.viarail.ca/sites/default/files/publications/VIA-Rail_Annual-Report_2024.pdf" TargetMode="External"/><Relationship Id="rId85" Type="http://schemas.openxmlformats.org/officeDocument/2006/relationships/hyperlink" Target="https://otc-cta.gc.ca/fra/differends-sur-droits-circulation-et-sur-lusage-commun-des-voies" TargetMode="External"/><Relationship Id="rId113" Type="http://schemas.openxmlformats.org/officeDocument/2006/relationships/hyperlink" Target="https://ouvert.canada.ca/data/fr/dataset/d0f54727-6c0b-4e5a-aa04-ea1463cf9f4c" TargetMode="External"/><Relationship Id="rId120" Type="http://schemas.openxmlformats.org/officeDocument/2006/relationships/hyperlink" Target="https://railroads.dot.gov/elibrary/secretary-slater-announces-approval-150mph-amtrak-acela-service" TargetMode="External"/><Relationship Id="rId77" Type="http://schemas.openxmlformats.org/officeDocument/2006/relationships/hyperlink" Target="https://railroads.dot.gov/research-development/program-areas/train-control/ptc/incremental-train-control-system" TargetMode="External"/><Relationship Id="rId79" Type="http://schemas.openxmlformats.org/officeDocument/2006/relationships/hyperlink" Target="https://railroads.dot.gov/sites/fra.dot.gov/files/fra_net/17118/Chapter%202%20Alternatives%20Considered.pdf" TargetMode="External"/><Relationship Id="rId75" Type="http://schemas.openxmlformats.org/officeDocument/2006/relationships/hyperlink" Target="https://railroads.dot.gov/sites/fra.dot.gov/files/fra_net/17524/ptc_ben_cost_report.pdf" TargetMode="External"/><Relationship Id="rId73" Type="http://schemas.openxmlformats.org/officeDocument/2006/relationships/hyperlink" Target="https://railroads.dot.gov/sites/fra.dot.gov/files/fra_net/19085/Superelevation.pdf" TargetMode="External"/><Relationship Id="rId52" Type="http://schemas.openxmlformats.org/officeDocument/2006/relationships/hyperlink" Target="https://railroads.dot.gov/sites/fra.dot.gov/files/fra_net/300/ord0917.pdf" TargetMode="External"/><Relationship Id="rId107" Type="http://schemas.openxmlformats.org/officeDocument/2006/relationships/hyperlink" Target="https://railtec.illinois.edu/wp/wp-content/uploads/2019/01/Sogin%20et%20al%202013b%20IAROR.pdf" TargetMode="External"/><Relationship Id="rId56" Type="http://schemas.openxmlformats.org/officeDocument/2006/relationships/hyperlink" Target="https://researchbriefings.files.parliament.uk/documents/SN00364/SN00364.pdf" TargetMode="External"/><Relationship Id="rId50" Type="http://schemas.openxmlformats.org/officeDocument/2006/relationships/hyperlink" Target="https://spacing.ca/toronto/2015/12/09/53711/" TargetMode="External"/><Relationship Id="rId115" Type="http://schemas.openxmlformats.org/officeDocument/2006/relationships/hyperlink" Target="https://tc.canada.ca/en/binder/3-pic-operating-restrictions-via-rail-quebec-city-windsor-corridor" TargetMode="External"/><Relationship Id="rId111" Type="http://schemas.openxmlformats.org/officeDocument/2006/relationships/hyperlink" Target="https://tc.canada.ca/en/rail-transportation/rules/2022-2023/rules-respecting-track-safety/subpart-c" TargetMode="External"/><Relationship Id="rId117" Type="http://schemas.openxmlformats.org/officeDocument/2006/relationships/hyperlink" Target="https://tc.canada.ca/sites/default/files/2025-01/Jan_2025_Canadian_rail_operating_rules_EN.pdf" TargetMode="External"/><Relationship Id="rId99" Type="http://schemas.openxmlformats.org/officeDocument/2006/relationships/hyperlink" Target="https://tfl.gov.uk/cdn/static/cms/documents/rfli-ccos-tpr-2026.pdf" TargetMode="External"/><Relationship Id="rId65"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stom.com/press-releases-news/2005/6/The-NEW-PENDOLINO-The-fourth-generation-of-tilting-technology-20050628" TargetMode="External"/><Relationship Id="rId40" Type="http://schemas.openxmlformats.org/officeDocument/2006/relationships/hyperlink" Target="https://www.altotrain.ca/en/about-alto" TargetMode="External"/><Relationship Id="rId42" Type="http://schemas.openxmlformats.org/officeDocument/2006/relationships/hyperlink" Target="https://www.altotrain.ca/fr/foire-aux-questions" TargetMode="External"/><Relationship Id="rId61" Type="http://schemas.openxmlformats.org/officeDocument/2006/relationships/hyperlink" Target="https://www.cbc.ca/news/canada/ottawa/via-montreal-toronto-pilot-that-skipped-eastern-ontario-postponed-1.7646512" TargetMode="External"/><Relationship Id="rId71" Type="http://schemas.openxmlformats.org/officeDocument/2006/relationships/hyperlink" Target="https://www.ecfr.gov/current/title-49/section-213.347" TargetMode="External"/><Relationship Id="rId126" Type="http://schemas.openxmlformats.org/officeDocument/2006/relationships/hyperlink" Target="https://www.ecfr.gov/current/title-49/subtitle-B/chapter-II/part-236/subject-group-ECFR3fd63a3e8f8e42d/section-236.0" TargetMode="External"/><Relationship Id="rId128" Type="http://schemas.openxmlformats.org/officeDocument/2006/relationships/hyperlink" Target="https://www.ecfr.gov/current/title-49/subtitle-B/chapter-II/part-236/subpart-I/section-236.1007" TargetMode="External"/><Relationship Id="rId122" Type="http://schemas.openxmlformats.org/officeDocument/2006/relationships/hyperlink" Target="https://www.federalregister.gov/documents/2010/01/15/E9-31362/positive-train-control-systems" TargetMode="External"/><Relationship Id="rId124" Type="http://schemas.openxmlformats.org/officeDocument/2006/relationships/hyperlink" Target="https://www.federalregister.gov/documents/2023/03/09/2023-04832/brightline-trains-florida-llcs-positive-train-control-safety-plan-and-request-for-positive-train" TargetMode="External"/><Relationship Id="rId54" Type="http://schemas.openxmlformats.org/officeDocument/2006/relationships/hyperlink" Target="https://www.gobrightline.com/press-room/2023/brightline-130-mph-milestone" TargetMode="External"/><Relationship Id="rId97" Type="http://schemas.openxmlformats.org/officeDocument/2006/relationships/hyperlink" Target="https://www.legislation.gov.uk/ukpga/1993/43/section/17" TargetMode="External"/><Relationship Id="rId83" Type="http://schemas.openxmlformats.org/officeDocument/2006/relationships/hyperlink" Target="https://www.nao.org.uk/reports/the-modernisation-of-the-west-coast-main-line/" TargetMode="External"/><Relationship Id="rId87" Type="http://schemas.openxmlformats.org/officeDocument/2006/relationships/hyperlink" Target="https://www.orr.gov.uk/sites/default/files/2021-07/guidance-on-the-statutory-and-contractual-framework.pdf" TargetMode="External"/><Relationship Id="rId89" Type="http://schemas.openxmlformats.org/officeDocument/2006/relationships/hyperlink" Target="https://www.orr.gov.uk/sites/default/files/2024-05/train-protection-systems-guidance-on-rsr-1999.pdf" TargetMode="External"/><Relationship Id="rId91" Type="http://schemas.openxmlformats.org/officeDocument/2006/relationships/hyperlink" Target="https://www.orr.gov.uk/sites/default/files/2025-07/2025-07-03-applications-for-access-to-the-west-coast-main-line-decision.pdf" TargetMode="External"/><Relationship Id="rId58" Type="http://schemas.openxmlformats.org/officeDocument/2006/relationships/hyperlink" Target="https://www.pm.gc.ca/en/news/news-releases/2025/02/19/canada-getting-high-speed" TargetMode="External"/><Relationship Id="rId105" Type="http://schemas.openxmlformats.org/officeDocument/2006/relationships/hyperlink" Target="https://www.sncf-reseau.com/medias-publics/2023-12/DRR2025-annexe-4-1.pdf" TargetMode="External"/><Relationship Id="rId138" Type="http://schemas.openxmlformats.org/officeDocument/2006/relationships/hyperlink" Target="https://www.viarail.ca/fr/developpeurs" TargetMode="External"/><Relationship Id="rId130"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amtrakoig.gov/sites/default/files/reports/OIG-A-2020-001%20OTP%20mandate.pdf" TargetMode="External"/><Relationship Id="rId103" Type="http://schemas.openxmlformats.org/officeDocument/2006/relationships/hyperlink" Target="https://assets.new.siemens.com/siemens/assets/api/uuid:f1a77eb1-1b1a-4335-913e-8f831d82d778/WSDOT-Charger-Data-Sheet_original.pdf" TargetMode="External"/><Relationship Id="rId67" Type="http://schemas.openxmlformats.org/officeDocument/2006/relationships/hyperlink" Target="https://assets.static-bahn.de/dam/jcr:4925f5ab-a1e2-4b5e-9205-221aab02f243/215191-289017.pdf" TargetMode="External"/><Relationship Id="rId48" Type="http://schemas.openxmlformats.org/officeDocument/2006/relationships/hyperlink" Target="https://austria-forum.org/af/AustriaWiki/ICE_T" TargetMode="External"/><Relationship Id="rId109" Type="http://schemas.openxmlformats.org/officeDocument/2006/relationships/hyperlink" Target="https://bransch.trafikverket.se/contentassets/6526f430ae7f489aae8e88c06f2eef6b/jnb-2027-2025-12-05.pdf" TargetMode="External"/><Relationship Id="rId132" Type="http://schemas.openxmlformats.org/officeDocument/2006/relationships/hyperlink" Target="https://corpo.viarail.ca/en/projects-infrastructure/train-fleet/corridor-fleet" TargetMode="External"/><Relationship Id="rId69" Type="http://schemas.openxmlformats.org/officeDocument/2006/relationships/hyperlink" Target="https://doi.org/10.1177/0361198119841852" TargetMode="External"/><Relationship Id="rId93" Type="http://schemas.openxmlformats.org/officeDocument/2006/relationships/hyperlink" Target="https://download.geofabrik.de/" TargetMode="External"/><Relationship Id="rId140" Type="http://schemas.openxmlformats.org/officeDocument/2006/relationships/hyperlink" Target="https://en.wikipedia.org/wiki/British_Rail_Class_390" TargetMode="External"/><Relationship Id="rId142" Type="http://schemas.openxmlformats.org/officeDocument/2006/relationships/hyperlink" Target="https://en.wikipedia.org/wiki/New_Pendolino" TargetMode="External"/><Relationship Id="rId144" Type="http://schemas.openxmlformats.org/officeDocument/2006/relationships/hyperlink" Target="https://en.wikipedia.org/wiki/Siemens_Charger" TargetMode="External"/><Relationship Id="rId146" Type="http://schemas.openxmlformats.org/officeDocument/2006/relationships/hyperlink" Target="https://en.wikipedia.org/wiki/Siemens_Venture" TargetMode="External"/><Relationship Id="rId148" Type="http://schemas.openxmlformats.org/officeDocument/2006/relationships/hyperlink" Target="https://en.wikipedia.org/wiki/West_Coast_Main_Line_route_modernisation" TargetMode="External"/><Relationship Id="rId63" Type="http://schemas.openxmlformats.org/officeDocument/2006/relationships/hyperlink" Target="https://eur-lex.europa.eu/legal-content/FR/TXT/?uri=CELEX:32023R1695" TargetMode="External"/><Relationship Id="rId46" Type="http://schemas.openxmlformats.org/officeDocument/2006/relationships/hyperlink" Target="https://exporail.org/canrail/canadian_rail_1962_1989/canadian-rail-296-1976.pdf" TargetMode="External"/><Relationship Id="rId81" Type="http://schemas.openxmlformats.org/officeDocument/2006/relationships/hyperlink" Target="https://globalnews.ca/news/10868587/via-rail-judicial-review-cn-rail-speed-restrictions/" TargetMode="External"/><Relationship Id="rId101" Type="http://schemas.openxmlformats.org/officeDocument/2006/relationships/hyperlink" Target="https://journals.aau.dk/index.php/td/article/download/5554/4887" TargetMode="External"/><Relationship Id="rId95" Type="http://schemas.openxmlformats.org/officeDocument/2006/relationships/hyperlink" Target="https://laws-lois.justice.gc.ca/fra/lois/c-10.4/section-138.html" TargetMode="External"/><Relationship Id="rId136" Type="http://schemas.openxmlformats.org/officeDocument/2006/relationships/hyperlink" Target="https://media.viarail.ca/sites/default/files/publications/2025_VIA-Rail_First-Quarter-Report.pdf" TargetMode="External"/><Relationship Id="rId134" Type="http://schemas.openxmlformats.org/officeDocument/2006/relationships/hyperlink" Target="https://media.viarail.ca/sites/default/files/publications/VIA-Rail_Annual-Report_2024.pdf" TargetMode="External"/><Relationship Id="rId85" Type="http://schemas.openxmlformats.org/officeDocument/2006/relationships/hyperlink" Target="https://otc-cta.gc.ca/fra/differends-sur-droits-circulation-et-sur-lusage-commun-des-voies" TargetMode="External"/><Relationship Id="rId113" Type="http://schemas.openxmlformats.org/officeDocument/2006/relationships/hyperlink" Target="https://ouvert.canada.ca/data/fr/dataset/d0f54727-6c0b-4e5a-aa04-ea1463cf9f4c" TargetMode="External"/><Relationship Id="rId120" Type="http://schemas.openxmlformats.org/officeDocument/2006/relationships/hyperlink" Target="https://railroads.dot.gov/elibrary/secretary-slater-announces-approval-150mph-amtrak-acela-service" TargetMode="External"/><Relationship Id="rId77" Type="http://schemas.openxmlformats.org/officeDocument/2006/relationships/hyperlink" Target="https://railroads.dot.gov/research-development/program-areas/train-control/ptc/incremental-train-control-system" TargetMode="External"/><Relationship Id="rId79" Type="http://schemas.openxmlformats.org/officeDocument/2006/relationships/hyperlink" Target="https://railroads.dot.gov/sites/fra.dot.gov/files/fra_net/17118/Chapter%202%20Alternatives%20Considered.pdf" TargetMode="External"/><Relationship Id="rId75" Type="http://schemas.openxmlformats.org/officeDocument/2006/relationships/hyperlink" Target="https://railroads.dot.gov/sites/fra.dot.gov/files/fra_net/17524/ptc_ben_cost_report.pdf" TargetMode="External"/><Relationship Id="rId73" Type="http://schemas.openxmlformats.org/officeDocument/2006/relationships/hyperlink" Target="https://railroads.dot.gov/sites/fra.dot.gov/files/fra_net/19085/Superelevation.pdf" TargetMode="External"/><Relationship Id="rId52" Type="http://schemas.openxmlformats.org/officeDocument/2006/relationships/hyperlink" Target="https://railroads.dot.gov/sites/fra.dot.gov/files/fra_net/300/ord0917.pdf" TargetMode="External"/><Relationship Id="rId107" Type="http://schemas.openxmlformats.org/officeDocument/2006/relationships/hyperlink" Target="https://railtec.illinois.edu/wp/wp-content/uploads/2019/01/Sogin%20et%20al%202013b%20IAROR.pdf" TargetMode="External"/><Relationship Id="rId56" Type="http://schemas.openxmlformats.org/officeDocument/2006/relationships/hyperlink" Target="https://researchbriefings.files.parliament.uk/documents/SN00364/SN00364.pdf" TargetMode="External"/><Relationship Id="rId50" Type="http://schemas.openxmlformats.org/officeDocument/2006/relationships/hyperlink" Target="https://spacing.ca/toronto/2015/12/09/53711/" TargetMode="External"/><Relationship Id="rId115" Type="http://schemas.openxmlformats.org/officeDocument/2006/relationships/hyperlink" Target="https://tc.canada.ca/en/binder/3-pic-operating-restrictions-via-rail-quebec-city-windsor-corridor" TargetMode="External"/><Relationship Id="rId111" Type="http://schemas.openxmlformats.org/officeDocument/2006/relationships/hyperlink" Target="https://tc.canada.ca/en/rail-transportation/rules/2022-2023/rules-respecting-track-safety/subpart-c" TargetMode="External"/><Relationship Id="rId117" Type="http://schemas.openxmlformats.org/officeDocument/2006/relationships/hyperlink" Target="https://tc.canada.ca/sites/default/files/2025-01/Jan_2025_Canadian_rail_operating_rules_EN.pdf" TargetMode="External"/><Relationship Id="rId99" Type="http://schemas.openxmlformats.org/officeDocument/2006/relationships/hyperlink" Target="https://tfl.gov.uk/cdn/static/cms/documents/rfli-ccos-tpr-2026.pdf" TargetMode="External"/><Relationship Id="rId65" Type="http://schemas.openxmlformats.org/officeDocument/2006/relationships/hyperlink" Target="https://transport.ec.europa.eu/transport-modes/rail/ertms/what-ertms-and-how-does-it-work/etcs-levels-and-modes_en" TargetMode="External"/><Relationship Id="rId38" Type="http://schemas.openxmlformats.org/officeDocument/2006/relationships/hyperlink" Target="https://www.alstom.com/press-releases-news/2005/6/The-NEW-PENDOLINO-The-fourth-generation-of-tilting-technology-20050628" TargetMode="External"/><Relationship Id="rId40" Type="http://schemas.openxmlformats.org/officeDocument/2006/relationships/hyperlink" Target="https://www.altotrain.ca/en/about-alto" TargetMode="External"/><Relationship Id="rId42" Type="http://schemas.openxmlformats.org/officeDocument/2006/relationships/hyperlink" Target="https://www.altotrain.ca/fr/foire-aux-questions" TargetMode="External"/><Relationship Id="rId61" Type="http://schemas.openxmlformats.org/officeDocument/2006/relationships/hyperlink" Target="https://www.cbc.ca/news/canada/ottawa/via-montreal-toronto-pilot-that-skipped-eastern-ontario-postponed-1.7646512" TargetMode="External"/><Relationship Id="rId71" Type="http://schemas.openxmlformats.org/officeDocument/2006/relationships/hyperlink" Target="https://www.ecfr.gov/current/title-49/section-213.347" TargetMode="External"/><Relationship Id="rId126" Type="http://schemas.openxmlformats.org/officeDocument/2006/relationships/hyperlink" Target="https://www.ecfr.gov/current/title-49/subtitle-B/chapter-II/part-236/subject-group-ECFR3fd63a3e8f8e42d/section-236.0" TargetMode="External"/><Relationship Id="rId128" Type="http://schemas.openxmlformats.org/officeDocument/2006/relationships/hyperlink" Target="https://www.ecfr.gov/current/title-49/subtitle-B/chapter-II/part-236/subpart-I/section-236.1007" TargetMode="External"/><Relationship Id="rId122" Type="http://schemas.openxmlformats.org/officeDocument/2006/relationships/hyperlink" Target="https://www.federalregister.gov/documents/2010/01/15/E9-31362/positive-train-control-systems" TargetMode="External"/><Relationship Id="rId124" Type="http://schemas.openxmlformats.org/officeDocument/2006/relationships/hyperlink" Target="https://www.federalregister.gov/documents/2023/03/09/2023-04832/brightline-trains-florida-llcs-positive-train-control-safety-plan-and-request-for-positive-train" TargetMode="External"/><Relationship Id="rId54" Type="http://schemas.openxmlformats.org/officeDocument/2006/relationships/hyperlink" Target="https://www.gobrightline.com/press-room/2023/brightline-130-mph-milestone" TargetMode="External"/><Relationship Id="rId97" Type="http://schemas.openxmlformats.org/officeDocument/2006/relationships/hyperlink" Target="https://www.legislation.gov.uk/ukpga/1993/43/section/17" TargetMode="External"/><Relationship Id="rId83" Type="http://schemas.openxmlformats.org/officeDocument/2006/relationships/hyperlink" Target="https://www.nao.org.uk/reports/the-modernisation-of-the-west-coast-main-line/" TargetMode="External"/><Relationship Id="rId87" Type="http://schemas.openxmlformats.org/officeDocument/2006/relationships/hyperlink" Target="https://www.orr.gov.uk/sites/default/files/2021-07/guidance-on-the-statutory-and-contractual-framework.pdf" TargetMode="External"/><Relationship Id="rId89" Type="http://schemas.openxmlformats.org/officeDocument/2006/relationships/hyperlink" Target="https://www.orr.gov.uk/sites/default/files/2024-05/train-protection-systems-guidance-on-rsr-1999.pdf" TargetMode="External"/><Relationship Id="rId91" Type="http://schemas.openxmlformats.org/officeDocument/2006/relationships/hyperlink" Target="https://www.orr.gov.uk/sites/default/files/2025-07/2025-07-03-applications-for-access-to-the-west-coast-main-line-decision.pdf" TargetMode="External"/><Relationship Id="rId58" Type="http://schemas.openxmlformats.org/officeDocument/2006/relationships/hyperlink" Target="https://www.pm.gc.ca/en/news/news-releases/2025/02/19/canada-getting-high-speed" TargetMode="External"/><Relationship Id="rId105" Type="http://schemas.openxmlformats.org/officeDocument/2006/relationships/hyperlink" Target="https://www.sncf-reseau.com/medias-publics/2023-12/DRR2025-annexe-4-1.pdf" TargetMode="External"/><Relationship Id="rId138" Type="http://schemas.openxmlformats.org/officeDocument/2006/relationships/hyperlink" Target="https://www.viarail.ca/fr/developpeurs" TargetMode="External"/><Relationship Id="rId130"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2026-08-25T04:05:11Z</dcterms:created>
  <dcterms:modified xsi:type="dcterms:W3CDTF">2026-08-25T04:05:11Z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