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et permettra de donner la priorité aux trains de passagers, dont dépend leur ponctualité.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 c’est cette place qui permet de donner la priorité aux trains de passagers, donc de tenir l’horaire.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l’annexe numérique.</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(201 km/h)</w:t>
            </w:r>
          </w:p>
        </w:tc>
        <w:tc>
          <w:tcPr/>
          <w:p>
            <w:pPr>
              <w:pStyle w:val="Compact"/>
            </w:pPr>
            <w:r>
              <w:t xml:space="preserve">Sans passage à niveau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l’annexe numérique (</w:t>
      </w:r>
      <w:r>
        <w:rPr>
          <w:rStyle w:val="VerbatimChar"/>
        </w:rPr>
        <w:t xml:space="preserve">temps_scenario_2.csv</w:t>
      </w:r>
      <w:r>
        <w:t xml:space="preserve">,</w:t>
      </w:r>
      <w:r>
        <w:t xml:space="preserve"> </w:t>
      </w:r>
      <w:r>
        <w:rPr>
          <w:rStyle w:val="VerbatimChar"/>
        </w:rPr>
        <w:t xml:space="preserve">decomposition_gains.csv</w:t>
      </w:r>
      <w:r>
        <w:t xml:space="preserve">).</w:t>
      </w:r>
    </w:p>
    <w:p>
      <w:pPr>
        <w:pStyle w:val="BodyText"/>
      </w:pPr>
      <w:r>
        <w:rPr>
          <w:b/>
          <w:bCs/>
        </w:rPr>
        <w:t xml:space="preserve">Montréal-Québec, gare par gare.</w:t>
      </w:r>
      <w:r>
        <w:t xml:space="preserve"> </w:t>
      </w:r>
      <w:r>
        <w:t xml:space="preserve">Le trajet Montréal-Québec est celui où le gain est le plus grand. Le tableau qui suit donne le temps depuis Montréal jusqu’aux gares de Saint-Hilaire, de Saint-Hyacinthe et de Drummondville, puis jusqu’à Québec, arrêts intermédiaires compris.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Depuis Montréal jusqu’à</w:t>
            </w:r>
          </w:p>
        </w:tc>
        <w:tc>
          <w:tcPr/>
          <w:p>
            <w:pPr>
              <w:pStyle w:val="Compact"/>
            </w:pPr>
            <w:r>
              <w:t xml:space="preserve">Distance</w:t>
            </w:r>
          </w:p>
        </w:tc>
        <w:tc>
          <w:tcPr/>
          <w:p>
            <w:pPr>
              <w:pStyle w:val="Compact"/>
            </w:pPr>
            <w:r>
              <w:t xml:space="preserve">Aujourd’hui</w:t>
            </w:r>
          </w:p>
        </w:tc>
        <w:tc>
          <w:tcPr/>
          <w:p>
            <w:pPr>
              <w:pStyle w:val="Compact"/>
            </w:pPr>
            <w:r>
              <w:t xml:space="preserve">Emprise optimisée</w:t>
            </w:r>
          </w:p>
        </w:tc>
      </w:tr>
      <w:tr>
        <w:tc>
          <w:tcPr/>
          <w:p>
            <w:pPr>
              <w:pStyle w:val="Compact"/>
            </w:pPr>
            <w:r>
              <w:t xml:space="preserve">Saint-Hilaire</w:t>
            </w:r>
          </w:p>
        </w:tc>
        <w:tc>
          <w:tcPr/>
          <w:p>
            <w:pPr>
              <w:pStyle w:val="Compact"/>
            </w:pPr>
            <w:r>
              <w:t xml:space="preserve">35 km</w:t>
            </w:r>
          </w:p>
        </w:tc>
        <w:tc>
          <w:tcPr/>
          <w:p>
            <w:pPr>
              <w:pStyle w:val="Compact"/>
            </w:pPr>
            <w:r>
              <w:t xml:space="preserve">51 min (train de banlieue, 5 arrêts)</w:t>
            </w:r>
          </w:p>
        </w:tc>
        <w:tc>
          <w:tcPr/>
          <w:p>
            <w:pPr>
              <w:pStyle w:val="Compact"/>
            </w:pPr>
            <w:r>
              <w:t xml:space="preserve">35 min (mêmes arrêts)</w:t>
            </w:r>
          </w:p>
        </w:tc>
      </w:tr>
      <w:tr>
        <w:tc>
          <w:tcPr/>
          <w:p>
            <w:pPr>
              <w:pStyle w:val="Compact"/>
            </w:pPr>
            <w:r>
              <w:t xml:space="preserve">Saint-Hyacinthe</w:t>
            </w:r>
          </w:p>
        </w:tc>
        <w:tc>
          <w:tcPr/>
          <w:p>
            <w:pPr>
              <w:pStyle w:val="Compact"/>
            </w:pPr>
            <w:r>
              <w:t xml:space="preserve">53 km</w:t>
            </w:r>
          </w:p>
        </w:tc>
        <w:tc>
          <w:tcPr/>
          <w:p>
            <w:pPr>
              <w:pStyle w:val="Compact"/>
            </w:pPr>
            <w:r>
              <w:t xml:space="preserve">40 min</w:t>
            </w:r>
          </w:p>
        </w:tc>
        <w:tc>
          <w:tcPr/>
          <w:p>
            <w:pPr>
              <w:pStyle w:val="Compact"/>
            </w:pPr>
            <w:r>
              <w:t xml:space="preserve">29 min</w:t>
            </w:r>
          </w:p>
        </w:tc>
      </w:tr>
      <w:tr>
        <w:tc>
          <w:tcPr/>
          <w:p>
            <w:pPr>
              <w:pStyle w:val="Compact"/>
            </w:pPr>
            <w:r>
              <w:t xml:space="preserve">Drummondville</w:t>
            </w:r>
          </w:p>
        </w:tc>
        <w:tc>
          <w:tcPr/>
          <w:p>
            <w:pPr>
              <w:pStyle w:val="Compact"/>
            </w:pPr>
            <w:r>
              <w:t xml:space="preserve">100 km</w:t>
            </w:r>
          </w:p>
        </w:tc>
        <w:tc>
          <w:tcPr/>
          <w:p>
            <w:pPr>
              <w:pStyle w:val="Compact"/>
            </w:pPr>
            <w:r>
              <w:t xml:space="preserve">1 h 17</w:t>
            </w:r>
          </w:p>
        </w:tc>
        <w:tc>
          <w:tcPr/>
          <w:p>
            <w:pPr>
              <w:pStyle w:val="Compact"/>
            </w:pPr>
            <w:r>
              <w:t xml:space="preserve">51 min</w:t>
            </w:r>
          </w:p>
        </w:tc>
      </w:tr>
      <w:tr>
        <w:tc>
          <w:tcPr/>
          <w:p>
            <w:pPr>
              <w:pStyle w:val="Compact"/>
            </w:pPr>
            <w:r>
              <w:t xml:space="preserve">Québec</w:t>
            </w:r>
          </w:p>
        </w:tc>
        <w:tc>
          <w:tcPr/>
          <w:p>
            <w:pPr>
              <w:pStyle w:val="Compact"/>
            </w:pPr>
            <w:r>
              <w:t xml:space="preserve">270 km</w:t>
            </w:r>
          </w:p>
        </w:tc>
        <w:tc>
          <w:tcPr/>
          <w:p>
            <w:pPr>
              <w:pStyle w:val="Compact"/>
            </w:pPr>
            <w:r>
              <w:t xml:space="preserve">3 h 22</w:t>
            </w:r>
          </w:p>
        </w:tc>
        <w:tc>
          <w:tcPr/>
          <w:p>
            <w:pPr>
              <w:pStyle w:val="Compact"/>
            </w:pPr>
            <w:r>
              <w:t xml:space="preserve">2 h 16</w:t>
            </w:r>
          </w:p>
        </w:tc>
      </w:tr>
    </w:tbl>
    <w:p>
      <w:pPr>
        <w:pStyle w:val="BodyText"/>
      </w:pPr>
      <w:r>
        <w:t xml:space="preserve">VIA ne s’arrête pas à Saint-Hilaire. La ligne compare donc le train de banlieue exo, qui roule sur la même voie du CN jusqu’à son terminus de Mont-Saint-Hilaire avec cinq arrêts intermédiaires</w:t>
      </w:r>
      <w:r>
        <w:t xml:space="preserve"> </w:t>
      </w:r>
      <w:r>
        <w:t xml:space="preserve">(</w:t>
      </w:r>
      <w:hyperlink w:anchor="ref-exo2026gtfs">
        <w:r>
          <w:rPr>
            <w:rStyle w:val="Hyperlink"/>
          </w:rPr>
          <w:t xml:space="preserve">exo</w:t>
        </w:r>
        <w:r>
          <w:rPr>
            <w:rStyle w:val="Hyperlink"/>
          </w:rPr>
          <w:t xml:space="preserve">, 2026</w:t>
        </w:r>
      </w:hyperlink>
      <w:r>
        <w:t xml:space="preserve">)</w:t>
      </w:r>
      <w:r>
        <w:t xml:space="preserve">, au même service avec les mêmes arrêts sur l’emprise optimisée, avec une rame pendulaire. Un train de VIA qui passerait sans s’arrêter y serait en 19 minutes. Le gros du gain se trouve entre Drummondville et Québec, sur la subdivision Drummondville, là où la voie est simple et la marge de l’horaire la plus forte : ce segment passerait de 2 h 08 à 1 h 23. Le détail est dans l’annexe numérique (</w:t>
      </w:r>
      <w:r>
        <w:rPr>
          <w:rStyle w:val="VerbatimChar"/>
        </w:rPr>
        <w:t xml:space="preserve">sous_sections_montreal_quebec.csv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en collaboration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4" w:name="références"/>
    <w:p>
      <w:pPr>
        <w:pStyle w:val="Heading1"/>
      </w:pPr>
      <w:r>
        <w:t xml:space="preserve">Références</w:t>
      </w:r>
    </w:p>
    <w:bookmarkStart w:id="183"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xo2026gtfs"/>
    <w:p>
      <w:pPr>
        <w:pStyle w:val="Bibliography"/>
      </w:pPr>
      <w:r>
        <w:t xml:space="preserve">exo</w:t>
      </w:r>
      <w:r>
        <w:t xml:space="preserve">. (2026).</w:t>
      </w:r>
      <w:r>
        <w:t xml:space="preserve"> </w:t>
      </w:r>
      <w:r>
        <w:rPr>
          <w:i/>
          <w:iCs/>
        </w:rPr>
        <w:t xml:space="preserve">Données</w:t>
      </w:r>
      <w:r>
        <w:rPr>
          <w:i/>
          <w:iCs/>
        </w:rPr>
        <w:t xml:space="preserve"> </w:t>
      </w:r>
      <w:r>
        <w:rPr>
          <w:i/>
          <w:iCs/>
        </w:rPr>
        <w:t xml:space="preserve">GTFS</w:t>
      </w:r>
      <w:r>
        <w:rPr>
          <w:i/>
          <w:iCs/>
        </w:rPr>
        <w:t xml:space="preserve"> </w:t>
      </w:r>
      <w:r>
        <w:rPr>
          <w:i/>
          <w:iCs/>
        </w:rPr>
        <w:t xml:space="preserve">des trains de banlieue, ligne</w:t>
      </w:r>
      <w:r>
        <w:rPr>
          <w:i/>
          <w:iCs/>
        </w:rPr>
        <w:t xml:space="preserve"> </w:t>
      </w:r>
      <w:r>
        <w:rPr>
          <w:i/>
          <w:iCs/>
        </w:rPr>
        <w:t xml:space="preserve">Mont-Saint-Hilaire</w:t>
      </w:r>
      <w:r>
        <w:t xml:space="preserve">. Jeu de données, version du 10 septembre 2026.</w:t>
      </w:r>
      <w:r>
        <w:t xml:space="preserve"> </w:t>
      </w:r>
      <w:hyperlink r:id="rId94">
        <w:r>
          <w:rPr>
            <w:rStyle w:val="Hyperlink"/>
          </w:rPr>
          <w:t xml:space="preserve">https://exo.quebec/xdata/trains/google_transit.zip</w:t>
        </w:r>
      </w:hyperlink>
    </w:p>
    <w:bookmarkEnd w:id="95"/>
    <w:bookmarkStart w:id="97"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6">
        <w:r>
          <w:rPr>
            <w:rStyle w:val="Hyperlink"/>
          </w:rPr>
          <w:t xml:space="preserve">https://www.ecfr.gov/current/title-49/section-213.347</w:t>
        </w:r>
      </w:hyperlink>
    </w:p>
    <w:bookmarkEnd w:id="97"/>
    <w:bookmarkStart w:id="99"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8">
        <w:r>
          <w:rPr>
            <w:rStyle w:val="Hyperlink"/>
          </w:rPr>
          <w:t xml:space="preserve">https://railroads.dot.gov/sites/fra.dot.gov/files/fra_net/19085/Superelevation.pdf</w:t>
        </w:r>
      </w:hyperlink>
    </w:p>
    <w:bookmarkEnd w:id="99"/>
    <w:bookmarkStart w:id="101"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100">
        <w:r>
          <w:rPr>
            <w:rStyle w:val="Hyperlink"/>
          </w:rPr>
          <w:t xml:space="preserve">https://railroads.dot.gov/sites/fra.dot.gov/files/fra_net/17118/Chapter%202%20Alternatives%20Considered.pdf</w:t>
        </w:r>
      </w:hyperlink>
    </w:p>
    <w:bookmarkEnd w:id="101"/>
    <w:bookmarkStart w:id="103"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2">
        <w:r>
          <w:rPr>
            <w:rStyle w:val="Hyperlink"/>
          </w:rPr>
          <w:t xml:space="preserve">https://magazineconstas.com/2022/11/09/refection-dun-pont-detagement-a-trois-rivieres/</w:t>
        </w:r>
      </w:hyperlink>
    </w:p>
    <w:bookmarkEnd w:id="103"/>
    <w:bookmarkStart w:id="10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4">
        <w:r>
          <w:rPr>
            <w:rStyle w:val="Hyperlink"/>
          </w:rPr>
          <w:t xml:space="preserve">https://globalnews.ca/news/10868587/via-rail-judicial-review-cn-rail-speed-restrictions/</w:t>
        </w:r>
      </w:hyperlink>
    </w:p>
    <w:bookmarkEnd w:id="105"/>
    <w:bookmarkStart w:id="107"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6">
        <w:r>
          <w:rPr>
            <w:rStyle w:val="Hyperlink"/>
          </w:rPr>
          <w:t xml:space="preserve">https://pedestrianobservations.com/2016/08/31/amtraks-rolling-stock-order-followup/</w:t>
        </w:r>
      </w:hyperlink>
    </w:p>
    <w:bookmarkEnd w:id="107"/>
    <w:bookmarkStart w:id="109"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8">
        <w:r>
          <w:rPr>
            <w:rStyle w:val="Hyperlink"/>
          </w:rPr>
          <w:t xml:space="preserve">https://lecourrier.qc.ca/une-depense-de-100-m-estime-quebec/</w:t>
        </w:r>
      </w:hyperlink>
    </w:p>
    <w:bookmarkEnd w:id="109"/>
    <w:bookmarkStart w:id="111"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10">
        <w:r>
          <w:rPr>
            <w:rStyle w:val="Hyperlink"/>
          </w:rPr>
          <w:t xml:space="preserve">http://www.bv.transports.gouv.qc.ca/mono/1102522/01_Rapport_final.pdf</w:t>
        </w:r>
      </w:hyperlink>
    </w:p>
    <w:bookmarkEnd w:id="111"/>
    <w:bookmarkStart w:id="113"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2">
        <w:r>
          <w:rPr>
            <w:rStyle w:val="Hyperlink"/>
          </w:rPr>
          <w:t xml:space="preserve">https://www.quebec.ca/transports/infrastructures-projets/projets/ferroviaires/rehabilitation-chemin-fer-gaspesie</w:t>
        </w:r>
      </w:hyperlink>
    </w:p>
    <w:bookmarkEnd w:id="113"/>
    <w:bookmarkStart w:id="115"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4">
        <w:r>
          <w:rPr>
            <w:rStyle w:val="Hyperlink"/>
          </w:rPr>
          <w:t xml:space="preserve">https://www.quebec.ca/transports/infrastructures-projets/projets/ferroviaires/rehabilitation-quebec-central</w:t>
        </w:r>
      </w:hyperlink>
    </w:p>
    <w:bookmarkEnd w:id="115"/>
    <w:bookmarkStart w:id="11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6">
        <w:r>
          <w:rPr>
            <w:rStyle w:val="Hyperlink"/>
          </w:rPr>
          <w:t xml:space="preserve">https://www.nao.org.uk/reports/the-modernisation-of-the-west-coast-main-line/</w:t>
        </w:r>
      </w:hyperlink>
    </w:p>
    <w:bookmarkEnd w:id="117"/>
    <w:bookmarkStart w:id="11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8">
        <w:r>
          <w:rPr>
            <w:rStyle w:val="Hyperlink"/>
          </w:rPr>
          <w:t xml:space="preserve">https://otc-cta.gc.ca/fra/differends-sur-droits-circulation-et-sur-lusage-commun-des-voies</w:t>
        </w:r>
      </w:hyperlink>
    </w:p>
    <w:bookmarkEnd w:id="119"/>
    <w:bookmarkStart w:id="12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20">
        <w:r>
          <w:rPr>
            <w:rStyle w:val="Hyperlink"/>
          </w:rPr>
          <w:t xml:space="preserve">https://www.orr.gov.uk/sites/default/files/2021-07/guidance-on-the-statutory-and-contractual-framework.pdf</w:t>
        </w:r>
      </w:hyperlink>
    </w:p>
    <w:bookmarkEnd w:id="121"/>
    <w:bookmarkStart w:id="12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2">
        <w:r>
          <w:rPr>
            <w:rStyle w:val="Hyperlink"/>
          </w:rPr>
          <w:t xml:space="preserve">https://www.orr.gov.uk/sites/default/files/2024-05/train-protection-systems-guidance-on-rsr-1999.pdf</w:t>
        </w:r>
      </w:hyperlink>
    </w:p>
    <w:bookmarkEnd w:id="123"/>
    <w:bookmarkStart w:id="12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4">
        <w:r>
          <w:rPr>
            <w:rStyle w:val="Hyperlink"/>
          </w:rPr>
          <w:t xml:space="preserve">https://www.orr.gov.uk/sites/default/files/2025-07/2025-07-03-applications-for-access-to-the-west-coast-main-line-decision.pdf</w:t>
        </w:r>
      </w:hyperlink>
    </w:p>
    <w:bookmarkEnd w:id="125"/>
    <w:bookmarkStart w:id="12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6">
        <w:r>
          <w:rPr>
            <w:rStyle w:val="Hyperlink"/>
          </w:rPr>
          <w:t xml:space="preserve">https://download.geofabrik.de/</w:t>
        </w:r>
      </w:hyperlink>
    </w:p>
    <w:bookmarkEnd w:id="127"/>
    <w:bookmarkStart w:id="12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8">
        <w:r>
          <w:rPr>
            <w:rStyle w:val="Hyperlink"/>
          </w:rPr>
          <w:t xml:space="preserve">https://laws-lois.justice.gc.ca/fra/lois/c-10.4/section-138.html</w:t>
        </w:r>
      </w:hyperlink>
    </w:p>
    <w:bookmarkEnd w:id="129"/>
    <w:bookmarkStart w:id="13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30">
        <w:r>
          <w:rPr>
            <w:rStyle w:val="Hyperlink"/>
          </w:rPr>
          <w:t xml:space="preserve">https://www.legislation.gov.uk/ukpga/1993/43/section/17</w:t>
        </w:r>
      </w:hyperlink>
    </w:p>
    <w:bookmarkEnd w:id="131"/>
    <w:bookmarkStart w:id="13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2">
        <w:r>
          <w:rPr>
            <w:rStyle w:val="Hyperlink"/>
          </w:rPr>
          <w:t xml:space="preserve">https://tfl.gov.uk/cdn/static/cms/documents/rfli-ccos-tpr-2026.pdf</w:t>
        </w:r>
      </w:hyperlink>
    </w:p>
    <w:bookmarkEnd w:id="133"/>
    <w:bookmarkStart w:id="13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4">
        <w:r>
          <w:rPr>
            <w:rStyle w:val="Hyperlink"/>
          </w:rPr>
          <w:t xml:space="preserve">https://journals.aau.dk/index.php/td/article/download/5554/4887</w:t>
        </w:r>
      </w:hyperlink>
    </w:p>
    <w:bookmarkEnd w:id="135"/>
    <w:bookmarkStart w:id="137"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6">
        <w:r>
          <w:rPr>
            <w:rStyle w:val="Hyperlink"/>
          </w:rPr>
          <w:t xml:space="preserve">https://www.mainebiz.biz/article/amtrak-downeaster-to-get-50m-high-tech-control-system-to-improve-safety</w:t>
        </w:r>
      </w:hyperlink>
    </w:p>
    <w:bookmarkEnd w:id="137"/>
    <w:bookmarkStart w:id="139"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8">
        <w:r>
          <w:rPr>
            <w:rStyle w:val="Hyperlink"/>
          </w:rPr>
          <w:t xml:space="preserve">https://assets.new.siemens.com/siemens/assets/api/uuid:f1a77eb1-1b1a-4335-913e-8f831d82d778/WSDOT-Charger-Data-Sheet_original.pdf</w:t>
        </w:r>
      </w:hyperlink>
    </w:p>
    <w:bookmarkEnd w:id="139"/>
    <w:bookmarkStart w:id="141"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40">
        <w:r>
          <w:rPr>
            <w:rStyle w:val="Hyperlink"/>
          </w:rPr>
          <w:t xml:space="preserve">https://www.sncf-reseau.com/medias-publics/2023-12/DRR2025-annexe-4-1.pdf</w:t>
        </w:r>
      </w:hyperlink>
    </w:p>
    <w:bookmarkEnd w:id="141"/>
    <w:bookmarkStart w:id="143"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2">
        <w:r>
          <w:rPr>
            <w:rStyle w:val="Hyperlink"/>
          </w:rPr>
          <w:t xml:space="preserve">https://railtec.illinois.edu/wp/wp-content/uploads/2019/01/Sogin%20et%20al%202013b%20IAROR.pdf</w:t>
        </w:r>
      </w:hyperlink>
    </w:p>
    <w:bookmarkEnd w:id="143"/>
    <w:bookmarkStart w:id="145"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4">
        <w:r>
          <w:rPr>
            <w:rStyle w:val="Hyperlink"/>
          </w:rPr>
          <w:t xml:space="preserve">https://bransch.trafikverket.se/contentassets/6526f430ae7f489aae8e88c06f2eef6b/jnb-2027-2025-12-05.pdf</w:t>
        </w:r>
      </w:hyperlink>
    </w:p>
    <w:bookmarkEnd w:id="145"/>
    <w:bookmarkStart w:id="147"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6">
        <w:r>
          <w:rPr>
            <w:rStyle w:val="Hyperlink"/>
          </w:rPr>
          <w:t xml:space="preserve">https://tc.canada.ca/en/rail-transportation/rules/2022-2023/rules-respecting-track-safety/subpart-c</w:t>
        </w:r>
      </w:hyperlink>
    </w:p>
    <w:bookmarkEnd w:id="147"/>
    <w:bookmarkStart w:id="149"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8">
        <w:r>
          <w:rPr>
            <w:rStyle w:val="Hyperlink"/>
          </w:rPr>
          <w:t xml:space="preserve">https://ouvert.canada.ca/data/fr/dataset/d0f54727-6c0b-4e5a-aa04-ea1463cf9f4c</w:t>
        </w:r>
      </w:hyperlink>
    </w:p>
    <w:bookmarkEnd w:id="149"/>
    <w:bookmarkStart w:id="151"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50">
        <w:r>
          <w:rPr>
            <w:rStyle w:val="Hyperlink"/>
          </w:rPr>
          <w:t xml:space="preserve">https://tc.canada.ca/en/binder/3-pic-operating-restrictions-via-rail-quebec-city-windsor-corridor</w:t>
        </w:r>
      </w:hyperlink>
    </w:p>
    <w:bookmarkEnd w:id="151"/>
    <w:bookmarkStart w:id="153"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2">
        <w:r>
          <w:rPr>
            <w:rStyle w:val="Hyperlink"/>
          </w:rPr>
          <w:t xml:space="preserve">https://tc.canada.ca/sites/default/files/2025-01/Jan_2025_Canadian_rail_operating_rules_EN.pdf</w:t>
        </w:r>
      </w:hyperlink>
    </w:p>
    <w:bookmarkEnd w:id="153"/>
    <w:bookmarkStart w:id="154"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4"/>
    <w:bookmarkStart w:id="156"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5">
        <w:r>
          <w:rPr>
            <w:rStyle w:val="Hyperlink"/>
          </w:rPr>
          <w:t xml:space="preserve">https://railroads.dot.gov/elibrary/secretary-slater-announces-approval-150mph-amtrak-acela-service</w:t>
        </w:r>
      </w:hyperlink>
    </w:p>
    <w:bookmarkEnd w:id="156"/>
    <w:bookmarkStart w:id="158"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7">
        <w:r>
          <w:rPr>
            <w:rStyle w:val="Hyperlink"/>
          </w:rPr>
          <w:t xml:space="preserve">https://www.federalregister.gov/documents/2010/01/15/E9-31362/positive-train-control-systems</w:t>
        </w:r>
      </w:hyperlink>
    </w:p>
    <w:bookmarkEnd w:id="158"/>
    <w:bookmarkStart w:id="160"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9">
        <w:r>
          <w:rPr>
            <w:rStyle w:val="Hyperlink"/>
          </w:rPr>
          <w:t xml:space="preserve">https://www.federalregister.gov/documents/2023/03/09/2023-04832/brightline-trains-florida-llcs-positive-train-control-safety-plan-and-request-for-positive-train</w:t>
        </w:r>
      </w:hyperlink>
    </w:p>
    <w:bookmarkEnd w:id="160"/>
    <w:bookmarkStart w:id="162"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61">
        <w:r>
          <w:rPr>
            <w:rStyle w:val="Hyperlink"/>
          </w:rPr>
          <w:t xml:space="preserve">https://www.ecfr.gov/current/title-49/subtitle-B/chapter-II/part-236/subject-group-ECFR3fd63a3e8f8e42d/section-236.0</w:t>
        </w:r>
      </w:hyperlink>
    </w:p>
    <w:bookmarkEnd w:id="162"/>
    <w:bookmarkStart w:id="164"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3">
        <w:r>
          <w:rPr>
            <w:rStyle w:val="Hyperlink"/>
          </w:rPr>
          <w:t xml:space="preserve">https://www.viarail.ca/sites/all/files/media/pdfs/About_VIA/our-company/capital-investment-plan/BK090501E%20-%20VIA%20LRC.pdf</w:t>
        </w:r>
      </w:hyperlink>
    </w:p>
    <w:bookmarkEnd w:id="164"/>
    <w:bookmarkStart w:id="166"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5">
        <w:r>
          <w:rPr>
            <w:rStyle w:val="Hyperlink"/>
          </w:rPr>
          <w:t xml:space="preserve">https://corpo.viarail.ca/en/projects-infrastructure/train-fleet/corridor-fleet</w:t>
        </w:r>
      </w:hyperlink>
    </w:p>
    <w:bookmarkEnd w:id="166"/>
    <w:bookmarkStart w:id="168"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7">
        <w:r>
          <w:rPr>
            <w:rStyle w:val="Hyperlink"/>
          </w:rPr>
          <w:t xml:space="preserve">https://media.viarail.ca/sites/default/files/publications/VIA-Rail_Annual-Report_2024.pdf</w:t>
        </w:r>
      </w:hyperlink>
    </w:p>
    <w:bookmarkEnd w:id="168"/>
    <w:bookmarkStart w:id="170"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9">
        <w:r>
          <w:rPr>
            <w:rStyle w:val="Hyperlink"/>
          </w:rPr>
          <w:t xml:space="preserve">https://media.viarail.ca/sites/default/files/publications/2025_VIA-Rail_First-Quarter-Report.pdf</w:t>
        </w:r>
      </w:hyperlink>
    </w:p>
    <w:bookmarkEnd w:id="170"/>
    <w:bookmarkStart w:id="172"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71">
        <w:r>
          <w:rPr>
            <w:rStyle w:val="Hyperlink"/>
          </w:rPr>
          <w:t xml:space="preserve">https://www.viarail.ca/fr/developpeurs</w:t>
        </w:r>
      </w:hyperlink>
    </w:p>
    <w:bookmarkEnd w:id="172"/>
    <w:bookmarkStart w:id="174"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3">
        <w:r>
          <w:rPr>
            <w:rStyle w:val="Hyperlink"/>
          </w:rPr>
          <w:t xml:space="preserve">https://en.wikipedia.org/wiki/British_Rail_Class_390</w:t>
        </w:r>
      </w:hyperlink>
    </w:p>
    <w:bookmarkEnd w:id="174"/>
    <w:bookmarkStart w:id="176"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5">
        <w:r>
          <w:rPr>
            <w:rStyle w:val="Hyperlink"/>
          </w:rPr>
          <w:t xml:space="preserve">https://en.wikipedia.org/wiki/New_Pendolino</w:t>
        </w:r>
      </w:hyperlink>
    </w:p>
    <w:bookmarkEnd w:id="176"/>
    <w:bookmarkStart w:id="178"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7">
        <w:r>
          <w:rPr>
            <w:rStyle w:val="Hyperlink"/>
          </w:rPr>
          <w:t xml:space="preserve">https://en.wikipedia.org/wiki/Siemens_Charger</w:t>
        </w:r>
      </w:hyperlink>
    </w:p>
    <w:bookmarkEnd w:id="178"/>
    <w:bookmarkStart w:id="180"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9">
        <w:r>
          <w:rPr>
            <w:rStyle w:val="Hyperlink"/>
          </w:rPr>
          <w:t xml:space="preserve">https://en.wikipedia.org/wiki/Siemens_Venture</w:t>
        </w:r>
      </w:hyperlink>
    </w:p>
    <w:bookmarkEnd w:id="180"/>
    <w:bookmarkStart w:id="182"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81">
        <w:r>
          <w:rPr>
            <w:rStyle w:val="Hyperlink"/>
          </w:rPr>
          <w:t xml:space="preserve">https://en.wikipedia.org/wiki/West_Coast_Main_Line_route_modernisation</w:t>
        </w:r>
      </w:hyperlink>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2026-09-24T23:25:50Z</dcterms:created>
  <dcterms:modified xsi:type="dcterms:W3CDTF">2026-09-24T23:25:50Z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