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du scénario recommandé,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5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Les figures ci-dessous en donnent la lecture d’ensemble,</w:t>
      </w:r>
      <w:r>
        <w:t xml:space="preserve"> </w:t>
      </w:r>
      <w:r>
        <w:t xml:space="preserve">contre le repère que tout décideur a en tête : l’auto ; la table complète des temps, par</w:t>
      </w:r>
      <w:r>
        <w:t xml:space="preserve"> </w:t>
      </w:r>
      <w:r>
        <w:t xml:space="preserve">tronçon, est en section 7.</w:t>
      </w:r>
    </w:p>
    <w:p>
      <w:pPr>
        <w:pStyle w:val="BodyText"/>
      </w:pPr>
      <w:r>
        <w:t xml:space="preserve">Deux scénarios, et seulement deux (détail en section 3) : le</w:t>
      </w:r>
      <w:r>
        <w:t xml:space="preserve"> </w:t>
      </w:r>
      <w:r>
        <w:rPr>
          <w:b/>
          <w:bCs/>
        </w:rPr>
        <w:t xml:space="preserve">scénario de base</w:t>
      </w:r>
      <w:r>
        <w:t xml:space="preserve"> </w:t>
      </w:r>
      <w:r>
        <w:t xml:space="preserve">est le</w:t>
      </w:r>
      <w:r>
        <w:t xml:space="preserve"> </w:t>
      </w:r>
      <w:r>
        <w:t xml:space="preserve">train et l’horaire d’aujourd’hui ; le</w:t>
      </w:r>
      <w:r>
        <w:t xml:space="preserve"> </w:t>
      </w:r>
      <w:r>
        <w:rPr>
          <w:b/>
          <w:bCs/>
        </w:rPr>
        <w:t xml:space="preserve">scénario recommandé</w:t>
      </w:r>
      <w:r>
        <w:t xml:space="preserve"> </w:t>
      </w:r>
      <w:r>
        <w:t xml:space="preserve">est un train pendulaire</w:t>
      </w:r>
      <w:r>
        <w:t xml:space="preserve"> </w:t>
      </w:r>
      <w:r>
        <w:t xml:space="preserve">exploité selon la méthode que le CN applique déjà à ce type de train, avec le dévers</w:t>
      </w:r>
      <w:r>
        <w:t xml:space="preserve"> </w:t>
      </w:r>
      <w:r>
        <w:t xml:space="preserve">maximal standard du CN (aucune dérogation nécessaire), et plafonné à</w:t>
      </w:r>
      <w:r>
        <w:t xml:space="preserve"> </w:t>
      </w:r>
      <w:r>
        <w:rPr>
          <w:b/>
          <w:bCs/>
        </w:rPr>
        <w:t xml:space="preserve">177 km/h (110 mi/h)</w:t>
      </w:r>
      <w:r>
        <w:t xml:space="preserve">. Ce plafond n’est pas choisi par prudence : c’est la limite du</w:t>
      </w:r>
      <w:r>
        <w:t xml:space="preserve"> </w:t>
      </w:r>
      <w:r>
        <w:t xml:space="preserve">système de signalisation qui le permet, la superposition de contrôle en cabine dont le</w:t>
      </w:r>
      <w:r>
        <w:t xml:space="preserve"> </w:t>
      </w:r>
      <w:r>
        <w:t xml:space="preserve">précédent américain opère exactement à cette vitesse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, et c’est aussi le</w:t>
      </w:r>
      <w:r>
        <w:t xml:space="preserve"> </w:t>
      </w:r>
      <w:r>
        <w:t xml:space="preserve">seuil au-delà duquel le régime des passages à niveau change de nature (sections 5 et 6).</w:t>
      </w:r>
      <w:r>
        <w:t xml:space="preserve"> </w:t>
      </w:r>
      <w:r>
        <w:t xml:space="preserve">Les vitesses de ce document sont en km/h, suivies au besoin de l’équivalent en mi/h,</w:t>
      </w:r>
      <w:r>
        <w:t xml:space="preserve"> </w:t>
      </w:r>
      <w:r>
        <w:t xml:space="preserve">l’unité d’usage des chemins de fer nord-américains (177 km/h = 110 mi/h ;</w:t>
      </w:r>
      <w:r>
        <w:t xml:space="preserve"> </w:t>
      </w:r>
      <w:r>
        <w:t xml:space="preserve">160 = 99 ; 200 = 124).</w:t>
      </w:r>
    </w:p>
    <w:p>
      <w:pPr>
        <w:pStyle w:val="CaptionedFigure"/>
      </w:pPr>
      <w:r>
        <w:drawing>
          <wp:inline>
            <wp:extent cx="5334000" cy="2693759"/>
            <wp:effectExtent b="0" l="0" r="0" t="0"/>
            <wp:docPr descr="Le train contre l’auto : chaque barre du scénario recommandé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du scénario recommandé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(536 km : 5 h 18 à l’horaire) et la perd nettement sur</w:t>
      </w:r>
      <w:r>
        <w:t xml:space="preserve"> </w:t>
      </w:r>
      <w:r>
        <w:t xml:space="preserve">Montréal-Québec (270 km : 3 h 22). Chaque barre du scénario recommandé est un temps</w:t>
      </w:r>
      <w:r>
        <w:t xml:space="preserve"> </w:t>
      </w:r>
      <w:r>
        <w:t xml:space="preserve">« avec marge » : le temps de base (courbes + zones urbaines figées + arrêts) majoré de</w:t>
      </w:r>
      <w:r>
        <w:t xml:space="preserve"> </w:t>
      </w:r>
      <w:r>
        <w:t xml:space="preserve">la marge d’exploitation, de la borne normative (8 pour cent au plafond retenu) à la</w:t>
      </w:r>
      <w:r>
        <w:t xml:space="preserve"> </w:t>
      </w:r>
      <w:r>
        <w:t xml:space="preserve">marge actuelle du tronçon ; les pourcentages face à l’auto sont donc des bornes, pas des</w:t>
      </w:r>
      <w:r>
        <w:t xml:space="preserve"> </w:t>
      </w:r>
      <w:r>
        <w:t xml:space="preserve">points. Le scénario recommandé bat l’auto sur Montréal-Toronto (4 h 27 à 4 h 52, soit</w:t>
      </w:r>
      <w:r>
        <w:t xml:space="preserve"> </w:t>
      </w:r>
      <w:r>
        <w:t xml:space="preserve">81 à 89 pour cent de son temps), sur Montréal-Ottawa (1 h 46 à 1 h 49, soit 76 à</w:t>
      </w:r>
      <w:r>
        <w:t xml:space="preserve"> </w:t>
      </w:r>
      <w:r>
        <w:t xml:space="preserve">78 pour cent) et sur Ottawa-Toronto (3 h 39 à 4 h 11, soit 84 à 96 pour cent), et fait</w:t>
      </w:r>
      <w:r>
        <w:t xml:space="preserve"> </w:t>
      </w:r>
      <w:r>
        <w:t xml:space="preserve">au moins jeu égal sur Montréal-Québec (2 h 30 à 3 h 03, soit 88 à 108 pour cent). Bout</w:t>
      </w:r>
      <w:r>
        <w:t xml:space="preserve"> </w:t>
      </w:r>
      <w:r>
        <w:t xml:space="preserve">en bout, Québec-Toronto par Montréal passe de 8 h 50 à l’horaire actuel à 7 h 07, arrêt</w:t>
      </w:r>
      <w:r>
        <w:t xml:space="preserve"> </w:t>
      </w:r>
      <w:r>
        <w:t xml:space="preserve">à Montréal compris, si la marge est tenue à la borne normative (figure suivante).</w:t>
      </w:r>
    </w:p>
    <w:p>
      <w:pPr>
        <w:pStyle w:val="CaptionedFigure"/>
      </w:pPr>
      <w:r>
        <w:drawing>
          <wp:inline>
            <wp:extent cx="5334000" cy="2006235"/>
            <wp:effectExtent b="0" l="0" r="0" t="0"/>
            <wp:docPr descr="D’où viennent les minutes : chaque barre est l’horaire actuel du trajet ; le segment évidé est le temps du scénario recommandé avec sa marge normative, et les tranches attribuent le gain à ses trois leviers. Les parts sont des attributions qui somment exactement au gain (méthode en section 7), pas des mesures indépendantes." title="" id="13" name="Picture"/>
            <a:graphic>
              <a:graphicData uri="http://schemas.openxmlformats.org/drawingml/2006/picture">
                <pic:pic>
                  <pic:nvPicPr>
                    <pic:cNvPr descr="livrables/figure_gai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D’où viennent les minutes : chaque barre est l’horaire actuel du trajet ; le segment évidé est le temps du scénario recommandé avec sa marge normative, et les tranches attribuent le gain à ses trois leviers. Les parts sont des attributions qui somment exactement au gain (méthode en section 7), pas des mesures indépendantes.</w:t>
      </w:r>
    </w:p>
    <w:p>
      <w:pPr>
        <w:pStyle w:val="BodyText"/>
      </w:pPr>
      <w:r>
        <w:t xml:space="preserve">Le scénario recommandé tient en une phrase :</w:t>
      </w:r>
      <w:r>
        <w:t xml:space="preserve"> </w:t>
      </w:r>
      <w:r>
        <w:rPr>
          <w:b/>
          <w:bCs/>
        </w:rPr>
        <w:t xml:space="preserve">le train pendulaire suffit</w:t>
      </w:r>
      <w:r>
        <w:t xml:space="preserve">. Il atteint</w:t>
      </w:r>
      <w:r>
        <w:t xml:space="preserve"> </w:t>
      </w:r>
      <w:r>
        <w:t xml:space="preserve">la borne haute des vitesses que les améliorations réalisables du corridor</w:t>
      </w:r>
      <w:r>
        <w:t xml:space="preserve"> </w:t>
      </w:r>
      <w:r>
        <w:t xml:space="preserve">(superposition de contrôle en cabine, traitement des passages à niveau) permettent</w:t>
      </w:r>
      <w:r>
        <w:t xml:space="preserve"> </w:t>
      </w:r>
      <w:r>
        <w:t xml:space="preserve">d’exploiter sur une partie suffisante du tracé, tout en restant entièrement dans le</w:t>
      </w:r>
      <w:r>
        <w:t xml:space="preserve"> </w:t>
      </w:r>
      <w:r>
        <w:t xml:space="preserve">précédent canadien : la méthode que le CN applique déjà aux trains pendulaires, sans</w:t>
      </w:r>
      <w:r>
        <w:t xml:space="preserve"> </w:t>
      </w:r>
      <w:r>
        <w:t xml:space="preserve">dérogation, sans technologie externe à approuver. Le plafond du scénario n’est pas fixé</w:t>
      </w:r>
      <w:r>
        <w:t xml:space="preserve"> </w:t>
      </w:r>
      <w:r>
        <w:t xml:space="preserve">par le train, qui pourrait aller plus vite, mais par le système de contrôle disponible</w:t>
      </w:r>
      <w:r>
        <w:t xml:space="preserve"> </w:t>
      </w:r>
      <w:r>
        <w:t xml:space="preserve">et par le mur réglementaire des passages à niveau au-delà. Ses conditions sont au nombre</w:t>
      </w:r>
      <w:r>
        <w:t xml:space="preserve"> </w:t>
      </w:r>
      <w:r>
        <w:t xml:space="preserve">de deux, et elles sont affichées sous la figure : la superposition de contrôle en cabine</w:t>
      </w:r>
      <w:r>
        <w:t xml:space="preserve"> </w:t>
      </w:r>
      <w:r>
        <w:t xml:space="preserve">(section 6), et le corridor scellé, c’est-à-dire le traitement de chacun des 891</w:t>
      </w:r>
      <w:r>
        <w:t xml:space="preserve"> </w:t>
      </w:r>
      <w:r>
        <w:t xml:space="preserve">passages à niveau de la zone rapide, dont 563 restent à équiper d’un système complet de</w:t>
      </w:r>
      <w:r>
        <w:t xml:space="preserve"> </w:t>
      </w:r>
      <w:r>
        <w:t xml:space="preserve">feux, cloches et barrières (section 5). Où le résultat tombe dans la fourchette dépend</w:t>
      </w:r>
      <w:r>
        <w:t xml:space="preserve"> </w:t>
      </w:r>
      <w:r>
        <w:t xml:space="preserve">surtout du régime de cohabitation, bien plus que du train ou de la voie : c’est l’objet</w:t>
      </w:r>
      <w:r>
        <w:t xml:space="preserve"> </w:t>
      </w:r>
      <w:r>
        <w:t xml:space="preserve">de la section 4.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internationale, interpolée à 8 pour cent du temps de parcours au plafond retenu</w:t>
      </w:r>
      <w:r>
        <w:t xml:space="preserve"> </w:t>
      </w:r>
      <w:r>
        <w:t xml:space="preserve">(7 pour cent à 160 km/h, 9 pour cent à 200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</w:t>
      </w:r>
      <w:r>
        <w:t xml:space="preserve"> </w:t>
      </w:r>
      <w:r>
        <w:t xml:space="preserve">borne haute est la marge que l’horaire actuel de VIA porte aujourd’hui sur le tronçon</w:t>
      </w:r>
      <w:r>
        <w:t xml:space="preserve"> </w:t>
      </w:r>
      <w:r>
        <w:t xml:space="preserve">concerné (mesurée dans cette étude : de 11 pour cent sur Montréal-Ottawa à 32 pour cent</w:t>
      </w:r>
      <w:r>
        <w:t xml:space="preserve"> </w:t>
      </w:r>
      <w:r>
        <w:t xml:space="preserve">sur Montréal-Québec). La distance entre les deux bornes est le coût du régime</w:t>
      </w:r>
      <w:r>
        <w:t xml:space="preserve"> </w:t>
      </w:r>
      <w:r>
        <w:t xml:space="preserve">d’exploitation actuel ; la trancher est l’objet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les troncs communs à deux trajets comptés une fois, parcourus en</w:t>
      </w:r>
      <w:r>
        <w:t xml:space="preserve"> </w:t>
      </w:r>
      <w:r>
        <w:t xml:space="preserve">1 433 km de trajets) peut donner, ainsi que les cinq</w:t>
      </w:r>
      <w:r>
        <w:t xml:space="preserve"> </w:t>
      </w:r>
      <w:r>
        <w:t xml:space="preserve">obstacles qui les retiennent et le prix réglementaire de chacun. Les deux exercices</w:t>
      </w:r>
      <w:r>
        <w:t xml:space="preserve"> </w:t>
      </w:r>
      <w:r>
        <w:t xml:space="preserve">sont complémentaires : on ne peut comparer les options 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26 à 51 minutes calculées sur Montréal-Toronto au scénario</w:t>
      </w:r>
      <w:r>
        <w:t xml:space="preserve"> </w:t>
      </w:r>
      <w:r>
        <w:t xml:space="preserve">recommandé.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 Le précédent britannique porte enfin sur une troisième chose, le régime</w:t>
      </w:r>
      <w:r>
        <w:t xml:space="preserve"> </w:t>
      </w:r>
      <w:r>
        <w:t xml:space="preserve">d’accès à la voie partagée, dont la section 4 tire la leçon.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le train pendulaire du</w:t>
      </w:r>
      <w:r>
        <w:t xml:space="preserve"> </w:t>
      </w:r>
      <w:r>
        <w:t xml:space="preserve">scénario recommandé, il ne reste que 234 km (16 pour cent du réseau parcouru ;</w:t>
      </w:r>
      <w:r>
        <w:t xml:space="preserve"> </w:t>
      </w:r>
      <w:r>
        <w:t xml:space="preserve">environ 265 km si l’on corrige le biais de mesure chiffré en section 7) dont les</w:t>
      </w:r>
      <w:r>
        <w:t xml:space="preserve"> </w:t>
      </w:r>
      <w:r>
        <w:t xml:space="preserve">courbes restent sous le plafond de 177 km/h (110 mi/h), et 7 km sous</w:t>
      </w:r>
      <w:r>
        <w:t xml:space="preserve"> </w:t>
      </w:r>
      <w:r>
        <w:t xml:space="preserve">100 km/h (62 mi/h). Le train d’aujourd’hui en laisse 494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la condition dominante du scénario, pas son mur.</w:t>
      </w:r>
      <w:r>
        <w:t xml:space="preserve"> </w:t>
      </w:r>
      <w:r>
        <w:t xml:space="preserve">Au</w:t>
      </w:r>
      <w:r>
        <w:t xml:space="preserve"> </w:t>
      </w:r>
      <w:r>
        <w:t xml:space="preserve">plafond retenu, 891 des 924 passages du corridor se trouvent dans la zone rapide et</w:t>
      </w:r>
      <w:r>
        <w:t xml:space="preserve"> </w:t>
      </w:r>
      <w:r>
        <w:t xml:space="preserve">relèvent du régime du corridor scellé : traiter chaque passage (barrières</w:t>
      </w:r>
      <w:r>
        <w:t xml:space="preserve"> </w:t>
      </w:r>
      <w:r>
        <w:t xml:space="preserve">quatre-quadrants, terre-pleins, détection) ; 563 d’entre eux restent à équiper d’un</w:t>
      </w:r>
      <w:r>
        <w:t xml:space="preserve"> </w:t>
      </w:r>
      <w:r>
        <w:t xml:space="preserve">système complet de feux, cloches et barrières. Le mur, lui, est au-delà : le</w:t>
      </w:r>
      <w:r>
        <w:t xml:space="preserve"> </w:t>
      </w:r>
      <w:r>
        <w:t xml:space="preserve">précédent américain exige zéro passage au-dessus de 201 km/h (125 mi/h)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et c’est une des raisons pour lesquelles le scénario s’arrête avant.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177, dont le</w:t>
      </w:r>
      <w:r>
        <w:t xml:space="preserve"> </w:t>
      </w:r>
      <w:r>
        <w:t xml:space="preserve">précédent américain est tarifé et opère exactement au plafond retenu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 ; le contrôle intégral n’est requis qu’au-delà de 200 (c’est le devis</w:t>
      </w:r>
      <w:r>
        <w:t xml:space="preserve"> </w:t>
      </w:r>
      <w:r>
        <w:t xml:space="preserve">d’Alto, hors du scénario recommandé).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ne coûte rien quand VIA est propriétaire, et 31 points quand le CN l’est. Sous VIA, elle porte même 3 points de marge de moins que la voie double du CN, et l’écart reste en sa faveur, de 3 à 7 points (3 à 6 minutes sur Montréal-Ottawa et Ottawa-Toronto), quelle que soit la pénalité d’arrêt testée ; sous le CN, le coût de la voie simple tient dans 30 à 33 points sur la même plage, soit de 23 à 26 minutes. Le même instrument montre ce que le doublement procure chez le CN : 31 points, soit 24 minutes sur Montréal-Québec et rien sur Montréal-Toronto, déjà doublé.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34 à 68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5"/>
    <w:bookmarkStart w:id="19" w:name="méthode-et-périmètre"/>
    <w:p>
      <w:pPr>
        <w:pStyle w:val="Heading1"/>
      </w:pPr>
      <w:r>
        <w:t xml:space="preserve">Méthode et périmètre</w:t>
      </w:r>
    </w:p>
    <w:bookmarkStart w:id="16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</w:t>
      </w:r>
      <w:r>
        <w:t xml:space="preserve"> </w:t>
      </w:r>
      <w:r>
        <w:t xml:space="preserve">scénario et un plafond d’exploitation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est borné par la plus basse de deux vitesses, celle que la courbe locale</w:t>
      </w:r>
      <w:r>
        <w:t xml:space="preserve"> </w:t>
      </w:r>
      <w:r>
        <w:t xml:space="preserve">permet (selon le scénario) et le plafond qu’on s’autorise (177 km/h pour le</w:t>
      </w:r>
      <w:r>
        <w:t xml:space="preserve"> </w:t>
      </w:r>
      <w:r>
        <w:t xml:space="preserve">scénario recommandé) ; entre ces bornes, son profil réel d’accélération et de</w:t>
      </w:r>
      <w:r>
        <w:t xml:space="preserve"> </w:t>
      </w:r>
      <w:r>
        <w:t xml:space="preserve">freinage est simulé (voir plus bas)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deux minutes d’immobilisation par arrêt intermédiaire, les phases</w:t>
      </w:r>
      <w:r>
        <w:t xml:space="preserve"> </w:t>
      </w:r>
      <w:r>
        <w:t xml:space="preserve">d’accélération et de freinage étant déjà dans le profil simulé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 profil de vitesse simulé, borné par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plafond</m:t>
        </m:r>
        <m:r>
          <m:rPr>
            <m:sty m:val="p"/>
          </m:rPr>
          <m:t>)</m:t>
        </m:r>
      </m:oMath>
      <w:r>
        <w:t xml:space="preserve"> </w:t>
      </w:r>
      <w:r>
        <w:t xml:space="preserve">sur l’interurbain. Le</w:t>
      </w:r>
      <w:r>
        <w:t xml:space="preserve"> </w:t>
      </w:r>
      <w:r>
        <w:t xml:space="preserve">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 tracé est parcouru à</w:t>
      </w:r>
      <w:r>
        <w:t xml:space="preserve"> </w:t>
      </w:r>
      <w:r>
        <w:t xml:space="preserve">la vitesse que le train y atteint réellement, et on additionne ».</w:t>
      </w:r>
    </w:p>
    <w:p>
      <w:pPr>
        <w:pStyle w:val="BodyText"/>
      </w:pPr>
      <w:r>
        <w:rPr>
          <w:b/>
          <w:bCs/>
        </w:rPr>
        <w:t xml:space="preserve">Le profil d’accélération et de freinage est simulé, à paramètres déclarés.</w:t>
      </w:r>
      <w:r>
        <w:t xml:space="preserve"> </w:t>
      </w:r>
      <w:r>
        <w:t xml:space="preserve">Le</w:t>
      </w:r>
      <w:r>
        <w:t xml:space="preserve"> </w:t>
      </w:r>
      <w:r>
        <w:t xml:space="preserve">train de cette étude ne saute pas d’une vitesse à l’autre : sur l’interurbain, son</w:t>
      </w:r>
      <w:r>
        <w:t xml:space="preserve"> </w:t>
      </w:r>
      <w:r>
        <w:t xml:space="preserve">profil est calculé en deux passes (accélération plafonnée par la motorisation, qui</w:t>
      </w:r>
      <w:r>
        <w:t xml:space="preserve"> </w:t>
      </w:r>
      <w:r>
        <w:t xml:space="preserve">décroît avec la vitesse ; freinage de service constant), avec arrêt complet à chaque</w:t>
      </w:r>
      <w:r>
        <w:t xml:space="preserve"> </w:t>
      </w:r>
      <w:r>
        <w:t xml:space="preserve">gare intermédiaire et aux frontières des blocs urbains. Les paramètres de rame sont</w:t>
      </w:r>
      <w:r>
        <w:t xml:space="preserve"> </w:t>
      </w:r>
      <w:r>
        <w:t xml:space="preserve">des ordres de grandeur déclarés, pas des fiches constructeur : le scénario de base</w:t>
      </w:r>
      <w:r>
        <w:t xml:space="preserve"> </w:t>
      </w:r>
      <w:r>
        <w:t xml:space="preserve">reçoit une rame tractée comme la flotte actuelle (8 W/kg au rail, 0,5 m/s²) ; le</w:t>
      </w:r>
      <w:r>
        <w:t xml:space="preserve"> </w:t>
      </w:r>
      <w:r>
        <w:t xml:space="preserve">scénario recommandé reçoit une rame pendulaire de référence dimensionnée pour son</w:t>
      </w:r>
      <w:r>
        <w:t xml:space="preserve"> </w:t>
      </w:r>
      <w:r>
        <w:t xml:space="preserve">plafond (12 W/kg, 0,6 m/s²). Pentes et résistance à l’avancement ne sont pas</w:t>
      </w:r>
      <w:r>
        <w:t xml:space="preserve"> </w:t>
      </w:r>
      <w:r>
        <w:t xml:space="preserve">modélisées. Contre-vérification : l’ancien forfait de cinq minutes par arrêt sur</w:t>
      </w:r>
      <w:r>
        <w:t xml:space="preserve"> </w:t>
      </w:r>
      <w:r>
        <w:t xml:space="preserve">intégrale fluide retombe à une à huit minutes près sur les mêmes totaux par tronçon ;</w:t>
      </w:r>
      <w:r>
        <w:t xml:space="preserve"> </w:t>
      </w:r>
      <w:r>
        <w:t xml:space="preserve">la borne du pilote de 2025 (7,5 à 10 minutes par arrêt évité, effets de sillon</w:t>
      </w:r>
      <w:r>
        <w:t xml:space="preserve"> </w:t>
      </w:r>
      <w:r>
        <w:t xml:space="preserve">compris) encadre le tout par le haut, l’excédent au-delà de la dynamique pure</w:t>
      </w:r>
      <w:r>
        <w:t xml:space="preserve"> </w:t>
      </w:r>
      <w:r>
        <w:t xml:space="preserve">relevant du régime de cohabitation, donc de la marge.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 manquante 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La</w:t>
      </w:r>
      <w:r>
        <w:t xml:space="preserve"> </w:t>
      </w:r>
      <w:r>
        <w:t xml:space="preserve">formule utilise un écartement effectif de 1 524 mm (60 pouces, l’entraxe des rails,</w:t>
      </w:r>
      <w:r>
        <w:t xml:space="preserve"> </w:t>
      </w:r>
      <w:r>
        <w:t xml:space="preserve">à ne pas confondre avec l’écartement nominal de 1 435 mm mesuré entre faces</w:t>
      </w:r>
      <w:r>
        <w:t xml:space="preserve"> </w:t>
      </w:r>
      <w:r>
        <w:t xml:space="preserve">intérieures) : avec cette valeur, elle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 Une sensibilité où ces blocs sont réintégrés</w:t>
      </w:r>
      <w:r>
        <w:t xml:space="preserve"> </w:t>
      </w:r>
      <w:r>
        <w:t xml:space="preserve">au calcul est chiffrée en section 7.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Deux minutes d’immobilisation par arrêt intermédiaire hors blocs</w:t>
      </w:r>
      <w:r>
        <w:t xml:space="preserve"> </w:t>
      </w:r>
      <w:r>
        <w:t xml:space="preserve">urbains ; les phases d’accélération et de freinage sont simulées dans le profil</w:t>
      </w:r>
      <w:r>
        <w:t xml:space="preserve"> </w:t>
      </w:r>
      <w:r>
        <w:t xml:space="preserve">(l’ensemble revient à environ quatre à cinq minutes par arrêt au plafond retenu). Repère</w:t>
      </w:r>
      <w:r>
        <w:t xml:space="preserve"> </w:t>
      </w:r>
      <w:r>
        <w:t xml:space="preserve">mesuré : le pilote de train sans arrêt de septembre 2025 annonçait un gain de 30 à</w:t>
      </w:r>
      <w:r>
        <w:t xml:space="preserve"> </w:t>
      </w:r>
      <w:r>
        <w:t xml:space="preserve">40 minutes pour quatre arrêts sautés, soit 7,5 à 10 minutes par arrêt en conditions</w:t>
      </w:r>
      <w:r>
        <w:t xml:space="preserve"> </w:t>
      </w:r>
      <w:r>
        <w:t xml:space="preserve">réelles de cohabitation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 ; l’écart entre ce chiffre et la dynamique</w:t>
      </w:r>
      <w:r>
        <w:t xml:space="preserve"> </w:t>
      </w:r>
      <w:r>
        <w:t xml:space="preserve">pure est un effet de sillon, qui vit dans la marge.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6"/>
    <w:bookmarkStart w:id="17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90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recoupement systématique</w:t>
      </w:r>
      <w:r>
        <w:t xml:space="preserve"> </w:t>
      </w:r>
      <w:r>
        <w:t xml:space="preserve">(91 pour cent d’accord sur la partie couverte par les documents d’exploitation publics)</w:t>
      </w:r>
      <w:r>
        <w:t xml:space="preserve"> </w:t>
      </w:r>
      <w:r>
        <w:t xml:space="preserve">et par un contrôle ponctuel contre un rapport du Bureau de la sécurité des transports</w:t>
      </w:r>
      <w:r>
        <w:t xml:space="preserve"> </w:t>
      </w:r>
      <w:r>
        <w:t xml:space="preserve">(0,1 km d’écart sur un tronçon double de 25 km)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7"/>
    <w:bookmarkStart w:id="18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de traction constructeur</w:t>
      </w:r>
      <w:r>
        <w:t xml:space="preserve"> </w:t>
      </w:r>
      <w:r>
        <w:t xml:space="preserve">exacts, les pentes et la résistance à l’avancement (le profil d’accélération et de</w:t>
      </w:r>
      <w:r>
        <w:t xml:space="preserve"> </w:t>
      </w:r>
      <w:r>
        <w:t xml:space="preserve">freinage est simulé avec des paramètres génériques déclarés en section 2.1), le</w:t>
      </w:r>
      <w:r>
        <w:t xml:space="preserve"> </w:t>
      </w:r>
      <w:r>
        <w:t xml:space="preserve">cantonnement fin, la simulation de</w:t>
      </w:r>
      <w:r>
        <w:t xml:space="preserve"> </w:t>
      </w:r>
      <w:r>
        <w:t xml:space="preserve">circulation (c’est l’étude à commander), les ponts, tunnels et l’état détaillé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5)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 ce qui devrait être vrai 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8"/>
    <w:bookmarkEnd w:id="19"/>
    <w:bookmarkStart w:id="20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deux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de base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recommandé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100 % précédent CN</w:t>
            </w:r>
          </w:p>
        </w:tc>
      </w:tr>
    </w:tbl>
    <w:p>
      <w:pPr>
        <w:pStyle w:val="BodyText"/>
      </w:pPr>
      <w:r>
        <w:t xml:space="preserve">Le dévers du scénario recommandé (127 mm, soit 5 pouces) est le maximum standard du CN</w:t>
      </w:r>
      <w:r>
        <w:t xml:space="preserve"> </w:t>
      </w:r>
      <w:r>
        <w:t xml:space="preserve">pour trafic 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</w:t>
      </w:r>
      <w:r>
        <w:t xml:space="preserve"> </w:t>
      </w:r>
      <w:r>
        <w:t xml:space="preserve">fret. Le scénario de base porte un dévers supposé (le réseau réel n’a pas été relevé),</w:t>
      </w:r>
      <w:r>
        <w:t xml:space="preserve"> </w:t>
      </w:r>
      <w:r>
        <w:t xml:space="preserve">signalé comme tel partout.</w:t>
      </w:r>
    </w:p>
    <w:p>
      <w:pPr>
        <w:pStyle w:val="BodyText"/>
      </w:pPr>
      <w:r>
        <w:rPr>
          <w:b/>
          <w:bCs/>
        </w:rPr>
        <w:t xml:space="preserve">Ce que le train pendulaire libère</w:t>
      </w:r>
      <w:r>
        <w:t xml:space="preserve">, en kilomètres de tracé dont le plafond</w:t>
      </w:r>
      <w:r>
        <w:t xml:space="preserve"> </w:t>
      </w:r>
      <w:r>
        <w:t xml:space="preserve">géométrique reste sous la cible (somme des quatre trajets analysés, 1 433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Scénario de base</w:t>
            </w:r>
          </w:p>
        </w:tc>
        <w:tc>
          <w:tcPr/>
          <w:p>
            <w:pPr>
              <w:pStyle w:val="Compact"/>
            </w:pPr>
            <w:r>
              <w:t xml:space="preserve">Scénario recommandé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177 km/h / 110 mi/h (restants sous le plafond retenu)</w:t>
            </w:r>
          </w:p>
        </w:tc>
        <w:tc>
          <w:tcPr/>
          <w:p>
            <w:pPr>
              <w:pStyle w:val="Compact"/>
            </w:pPr>
            <w:r>
              <w:t xml:space="preserve">494 km</w:t>
            </w:r>
          </w:p>
        </w:tc>
        <w:tc>
          <w:tcPr/>
          <w:p>
            <w:pPr>
              <w:pStyle w:val="Compact"/>
            </w:pPr>
            <w:r>
              <w:t xml:space="preserve">234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358 km</w:t>
            </w:r>
          </w:p>
        </w:tc>
        <w:tc>
          <w:tcPr/>
          <w:p>
            <w:pPr>
              <w:pStyle w:val="Compact"/>
            </w:pPr>
            <w:r>
              <w:t xml:space="preserve">95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28 km</w:t>
            </w:r>
          </w:p>
        </w:tc>
        <w:tc>
          <w:tcPr/>
          <w:p>
            <w:pPr>
              <w:pStyle w:val="Compact"/>
            </w:pPr>
            <w:r>
              <w:t xml:space="preserve">7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Avec le pendulaire, 84 pour cent du tracé atteint</w:t>
      </w:r>
      <w:r>
        <w:t xml:space="preserve"> </w:t>
      </w:r>
      <w:r>
        <w:t xml:space="preserve">177 km/h (110 mi/h) ou plus sans toucher une seule courbe ; le résidu de 234 km est</w:t>
      </w:r>
      <w:r>
        <w:t xml:space="preserve"> </w:t>
      </w:r>
      <w:r>
        <w:t xml:space="preserve">listé section par section dans les annexes numériques du projet, avec le rayon à ouvrir</w:t>
      </w:r>
      <w:r>
        <w:t xml:space="preserve"> </w:t>
      </w:r>
      <w:r>
        <w:t xml:space="preserve">pour chaque site.</w:t>
      </w:r>
    </w:p>
    <w:p>
      <w:pPr>
        <w:pStyle w:val="BodyText"/>
      </w:pPr>
      <w:r>
        <w:rPr>
          <w:b/>
          <w:bCs/>
        </w:rPr>
        <w:t xml:space="preserve">Pourquoi s’arrêter là.</w:t>
      </w:r>
      <w:r>
        <w:t xml:space="preserve"> </w:t>
      </w:r>
      <w:r>
        <w:t xml:space="preserve">Le LRC suffit : il atteint la borne haute des vitesses que</w:t>
      </w:r>
      <w:r>
        <w:t xml:space="preserve"> </w:t>
      </w:r>
      <w:r>
        <w:t xml:space="preserve">les améliorations réalisables du corridor permettent d’exploiter. Au-dessus de</w:t>
      </w:r>
      <w:r>
        <w:t xml:space="preserve"> </w:t>
      </w:r>
      <w:r>
        <w:t xml:space="preserve">177 km/h (110 mi/h), le plafond n’est plus fixé par le train mais par le système :</w:t>
      </w:r>
      <w:r>
        <w:t xml:space="preserve"> </w:t>
      </w:r>
      <w:r>
        <w:t xml:space="preserve">la superposition de contrôle en cabine dont le précédent américain est tarifé opère</w:t>
      </w:r>
      <w:r>
        <w:t xml:space="preserve"> </w:t>
      </w:r>
      <w:r>
        <w:t xml:space="preserve">exactement à cette vitesse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, et le régime des passages à niveau se durcit</w:t>
      </w:r>
      <w:r>
        <w:t xml:space="preserve"> </w:t>
      </w:r>
      <w:r>
        <w:t xml:space="preserve">jusqu’à exiger zéro passage au-delà de 201 km/h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 Un matériel pendulaire</w:t>
      </w:r>
      <w:r>
        <w:t xml:space="preserve"> </w:t>
      </w:r>
      <w:r>
        <w:t xml:space="preserve">plus performant existe (des insuffisances de dévers de 225 à 270 mm se conçoivent en</w:t>
      </w:r>
      <w:r>
        <w:t xml:space="preserve"> </w:t>
      </w:r>
      <w:r>
        <w:t xml:space="preserve">référence européenne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 mais il sort du précédent nord-américain, demande</w:t>
      </w:r>
      <w:r>
        <w:t xml:space="preserve"> </w:t>
      </w:r>
      <w:r>
        <w:t xml:space="preserve">une approbation par équipement, et n’achèterait au plafond retenu que des kilomètres</w:t>
      </w:r>
      <w:r>
        <w:t xml:space="preserve"> </w:t>
      </w:r>
      <w:r>
        <w:t xml:space="preserve">conformes, pas des minutes : les courbes qu’il libère en plus sont précisément celles</w:t>
      </w:r>
      <w:r>
        <w:t xml:space="preserve"> </w:t>
      </w:r>
      <w:r>
        <w:t xml:space="preserve">où le LRC permet déjà 160 à 177 km/h. Rester au LRC, c’est rester dans une méthode que</w:t>
      </w:r>
      <w:r>
        <w:t xml:space="preserve"> </w:t>
      </w:r>
      <w:r>
        <w:t xml:space="preserve">le propriétaire de la voie applique déjà, en opposition à des technologies externes qui</w:t>
      </w:r>
      <w:r>
        <w:t xml:space="preserve"> </w:t>
      </w:r>
      <w:r>
        <w:t xml:space="preserve">ouvriraient un front d’approbation nouveau. L’histoire du LRC commande une réserve, et</w:t>
      </w:r>
      <w:r>
        <w:t xml:space="preserve"> </w:t>
      </w:r>
      <w:r>
        <w:t xml:space="preserve">elle est comptée : son système d’inclinaison, coûteux en entretien, a été retiré lors</w:t>
      </w:r>
      <w:r>
        <w:t xml:space="preserve"> </w:t>
      </w:r>
      <w:r>
        <w:t xml:space="preserve">de la remise à neuf de la flotte engagée à partir de 2007-2009, VIA justifiant ce</w:t>
      </w:r>
      <w:r>
        <w:t xml:space="preserve"> </w:t>
      </w:r>
      <w:r>
        <w:t xml:space="preserve">retrait par la réduction des coûts d’entretien et un allègement de deux tonnes par</w:t>
      </w:r>
      <w:r>
        <w:t xml:space="preserve"> </w:t>
      </w:r>
      <w:r>
        <w:t xml:space="preserve">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Le scénario recommandé suppose donc un pendulaire entretenu</w:t>
      </w:r>
      <w:r>
        <w:t xml:space="preserve"> </w:t>
      </w:r>
      <w:r>
        <w:t xml:space="preserve">comme tel, et la caisse pendulaire protège le passager, pas le rail : les efforts en</w:t>
      </w:r>
      <w:r>
        <w:t xml:space="preserve"> </w:t>
      </w:r>
      <w:r>
        <w:t xml:space="preserve">voie croissent avec la vitesse en courbe, ce qui implique un standard d’entretien</w:t>
      </w:r>
      <w:r>
        <w:t xml:space="preserve"> </w:t>
      </w:r>
      <w:r>
        <w:t xml:space="preserve">renforcé (un point de veto potentiel du propriétaire, et un coût récurrent).</w:t>
      </w:r>
    </w:p>
    <w:bookmarkEnd w:id="20"/>
    <w:bookmarkStart w:id="27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4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mi/h, en</w:t>
      </w:r>
      <w:r>
        <w:t xml:space="preserve"> </w:t>
      </w:r>
      <w:r>
        <w:t xml:space="preserve">profil fluide : ce choix est le même pour toutes les cellules et n’affecte pas leur</w:t>
      </w:r>
      <w:r>
        <w:t xml:space="preserve"> </w:t>
      </w:r>
      <w:r>
        <w:t xml:space="preserve">comparaison), rapporté à ce 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37 %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34 %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68 %</w:t>
            </w:r>
          </w:p>
        </w:tc>
        <w:tc>
          <w:tcPr/>
          <w:p>
            <w:pPr>
              <w:pStyle w:val="Compact"/>
            </w:pPr>
            <w:r>
              <w:t xml:space="preserve">21 %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118082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22" name="Picture"/>
            <a:graphic>
              <a:graphicData uri="http://schemas.openxmlformats.org/drawingml/2006/picture">
                <pic:pic>
                  <pic:nvPicPr>
                    <pic:cNvPr descr="livrables/figure_cellu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rPr>
          <w:b/>
          <w:bCs/>
        </w:rPr>
        <w:t xml:space="preserve">Ce que vaut un point de marge.</w:t>
      </w:r>
      <w:r>
        <w:t xml:space="preserve"> </w:t>
      </w:r>
      <w:r>
        <w:t xml:space="preserve">Un point vaut 1 pour cent du temps que la géométrie</w:t>
      </w:r>
      <w:r>
        <w:t xml:space="preserve"> </w:t>
      </w:r>
      <w:r>
        <w:t xml:space="preserve">permet sur les kilomètres concernés, et ces kilomètres ne sont pas au même endroit selon</w:t>
      </w:r>
      <w:r>
        <w:t xml:space="preserve"> </w:t>
      </w:r>
      <w:r>
        <w:t xml:space="preserve">la cellule. La voie simple du CN est entièrement sur Montréal-Québec (77 minutes de temps</w:t>
      </w:r>
      <w:r>
        <w:t xml:space="preserve"> </w:t>
      </w:r>
      <w:r>
        <w:t xml:space="preserve">de base) ; les voies simples de VIA sont sur Montréal-Ottawa et Ottawa-Toronto (92 minutes</w:t>
      </w:r>
      <w:r>
        <w:t xml:space="preserve"> </w:t>
      </w:r>
      <w:r>
        <w:t xml:space="preserve">ensemble). Montréal-Toronto est en voie double sur toute la longueur retenue : aucun point</w:t>
      </w:r>
      <w:r>
        <w:t xml:space="preserve"> </w:t>
      </w:r>
      <w:r>
        <w:t xml:space="preserve">de doublement n’y est à gagner, et c’est pourquoi les minutes citées plus bas n’y</w:t>
      </w:r>
      <w:r>
        <w:t xml:space="preserve"> </w:t>
      </w:r>
      <w:r>
        <w:t xml:space="preserve">apparaissent pas.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procure, chez le CN</w:t>
      </w:r>
      <w:r>
        <w:t xml:space="preserve"> : environ 31 points de marge (68 contre 37), soit 24 minutes sur Montréal-Québec et rien sur Montréal-Toronto, déjà doublé.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 C’est la part « doublement » de la</w:t>
      </w:r>
      <w:r>
        <w:t xml:space="preserve"> </w:t>
      </w:r>
      <w:r>
        <w:t xml:space="preserve">figure des gains de la synthèse.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rien. Elle porte 3 points de marge de MOINS que la voie double du CN, et l’écart reste en sa faveur, de 3 à 7 points (soit de 3 à 6 minutes sur Montréal-Ottawa et Ottawa-Toronto réunis), sur toute la plage de pénalités d’arrêt testée (0 à 3 minutes par paire). Sous propriétaire CN, la même voie simple coûte 31 points, et de 30 à 33 sur la même plage, soit de 23 à 26 minutes sur Montréal-Québec. Le prix de la voie manquante n’est donc pas un prix de voie : il est nul chez l’un et de trente points chez l’autre.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 Seconde réserve : cette lecture est</w:t>
      </w:r>
      <w:r>
        <w:t xml:space="preserve"> </w:t>
      </w:r>
      <w:r>
        <w:t xml:space="preserve">celle des horaires courants ; sur les horaires de janvier 2023, les mêmes paires VIA</w:t>
      </w:r>
      <w:r>
        <w:t xml:space="preserve"> </w:t>
      </w:r>
      <w:r>
        <w:t xml:space="preserve">portaient davantage de marge (49 pour cent), sans jamais approcher la voie simple du CN.</w:t>
      </w:r>
      <w:r>
        <w:t xml:space="preserve"> </w:t>
      </w:r>
      <w:r>
        <w:t xml:space="preserve">Le contraste entre propriétaires est robuste d’une saison à l’autre ; la gratuité exacte</w:t>
      </w:r>
      <w:r>
        <w:t xml:space="preserve"> </w:t>
      </w:r>
      <w:r>
        <w:t xml:space="preserve">de la voie simple chez VIA ne l’est pas (section 8).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4"/>
    <w:bookmarkStart w:id="25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5"/>
    <w:bookmarkStart w:id="26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 ;</w:t>
      </w:r>
      <w:r>
        <w:t xml:space="preserve"> </w:t>
      </w:r>
      <w:r>
        <w:t xml:space="preserve">au plafond retenu de 177 km/h, l’étude interpole à 8 pour cent.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34 à 68 pour cent de marge selon la cellule (table ci-dessus). Ces marges par cellule ne sont pas les marges par</w:t>
      </w:r>
      <w:r>
        <w:t xml:space="preserve"> </w:t>
      </w:r>
      <w:r>
        <w:t xml:space="preserve">tronçon de la section 7 (11 à 32 pour cent) : ici la référence est le temps que la</w:t>
      </w:r>
      <w:r>
        <w:t xml:space="preserve"> </w:t>
      </w:r>
      <w:r>
        <w:t xml:space="preserve">géométrie permet en profil fluide, paires contaminées exclues ; là, le temps de base</w:t>
      </w:r>
      <w:r>
        <w:t xml:space="preserve"> </w:t>
      </w:r>
      <w:r>
        <w:t xml:space="preserve">inclut les blocs urbains figés à l’horaire, qui portent déjà leur propre marge. Le même</w:t>
      </w:r>
      <w:r>
        <w:t xml:space="preserve"> </w:t>
      </w:r>
      <w:r>
        <w:t xml:space="preserve">mot mesure deux références, et chacune sert son usage.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 précédent du régime d’accès, et la leçon de la WCML.</w:t>
      </w:r>
      <w:r>
        <w:t xml:space="preserve"> </w:t>
      </w:r>
      <w:r>
        <w:t xml:space="preserve">Le précédent de la West</w:t>
      </w:r>
      <w:r>
        <w:t xml:space="preserve"> </w:t>
      </w:r>
      <w:r>
        <w:t xml:space="preserve">Coast Main Line ne porte pas seulement sur les travaux : il porte tout autant sur le</w:t>
      </w:r>
      <w:r>
        <w:t xml:space="preserve"> </w:t>
      </w:r>
      <w:r>
        <w:t xml:space="preserve">régime d’accès qui les accompagne. Au Royaume-Uni, l’infrastructure appartient à un</w:t>
      </w:r>
      <w:r>
        <w:t xml:space="preserve"> </w:t>
      </w:r>
      <w:r>
        <w:t xml:space="preserve">gestionnaire unique et neutre, Network Rail, distinct des exploitants voyageurs et fret</w:t>
      </w:r>
      <w:r>
        <w:t xml:space="preserve"> </w:t>
      </w:r>
      <w:r>
        <w:t xml:space="preserve">qui y font circuler leurs trains sous contrats d’accès réglementés</w:t>
      </w:r>
      <w:r>
        <w:t xml:space="preserve"> </w:t>
      </w:r>
      <w:r>
        <w:t xml:space="preserve">(</w:t>
      </w:r>
      <w:hyperlink w:anchor="ref-orr2021cadre">
        <w:r>
          <w:rPr>
            <w:rStyle w:val="Hyperlink"/>
          </w:rPr>
          <w:t xml:space="preserve">Office of Rail and Road, 2021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aucun de ces contrats n’existe sans l’approbation ou l’injonction d’un régulateur</w:t>
      </w:r>
      <w:r>
        <w:t xml:space="preserve"> </w:t>
      </w:r>
      <w:r>
        <w:t xml:space="preserve">indépendant, l’Office of Rail and Road, faute de quoi il est juridiquement nul</w:t>
      </w:r>
      <w:r>
        <w:t xml:space="preserve"> </w:t>
      </w:r>
      <w:r>
        <w:t xml:space="preserve">(</w:t>
      </w:r>
      <w:hyperlink w:anchor="ref-orr2021cadre">
        <w:r>
          <w:rPr>
            <w:rStyle w:val="Hyperlink"/>
          </w:rPr>
          <w:t xml:space="preserve">Office of Rail and Road, 2021</w:t>
        </w:r>
      </w:hyperlink>
      <w:r>
        <w:t xml:space="preserve">;</w:t>
      </w:r>
      <w:r>
        <w:t xml:space="preserve"> </w:t>
      </w:r>
      <w:hyperlink w:anchor="ref-railwaysact1993">
        <w:r>
          <w:rPr>
            <w:rStyle w:val="Hyperlink"/>
          </w:rPr>
          <w:t xml:space="preserve">Parlement du Royaume-Uni, 1993</w:t>
        </w:r>
      </w:hyperlink>
      <w:r>
        <w:t xml:space="preserve">)</w:t>
      </w:r>
      <w:r>
        <w:t xml:space="preserve">. La portée réelle de ce pouvoir se mesure sur la</w:t>
      </w:r>
      <w:r>
        <w:t xml:space="preserve"> </w:t>
      </w:r>
      <w:r>
        <w:t xml:space="preserve">WCML même : en juillet 2025, l’ORR a rejeté trois demandes de sillons au motif que le</w:t>
      </w:r>
      <w:r>
        <w:t xml:space="preserve"> </w:t>
      </w:r>
      <w:r>
        <w:t xml:space="preserve">tronçon sud, déclaré infrastructure congestionnée, ne pouvait plus les absorber sans</w:t>
      </w:r>
      <w:r>
        <w:t xml:space="preserve"> </w:t>
      </w:r>
      <w:r>
        <w:t xml:space="preserve">dégrader la performance des circulations voyageurs et fret existantes, tout en</w:t>
      </w:r>
      <w:r>
        <w:t xml:space="preserve"> </w:t>
      </w:r>
      <w:r>
        <w:t xml:space="preserve">s’assurant que le gestionnaire d’infrastructure traitait les demandeurs publics et</w:t>
      </w:r>
      <w:r>
        <w:t xml:space="preserve"> </w:t>
      </w:r>
      <w:r>
        <w:t xml:space="preserve">privés de façon équitable et non discriminatoire</w:t>
      </w:r>
      <w:r>
        <w:t xml:space="preserve"> </w:t>
      </w:r>
      <w:r>
        <w:t xml:space="preserve">(</w:t>
      </w:r>
      <w:hyperlink w:anchor="ref-orr2025wcml">
        <w:r>
          <w:rPr>
            <w:rStyle w:val="Hyperlink"/>
          </w:rPr>
          <w:t xml:space="preserve">Office of Rail and Road, 2025</w:t>
        </w:r>
      </w:hyperlink>
      <w:r>
        <w:t xml:space="preserve">)</w:t>
      </w:r>
      <w:r>
        <w:t xml:space="preserve">. C’est précisément la</w:t>
      </w:r>
      <w:r>
        <w:t xml:space="preserve"> </w:t>
      </w:r>
      <w:r>
        <w:t xml:space="preserve">fonction dont le corridor aura besoin une fois le doublement réalisé : la capacité</w:t>
      </w:r>
      <w:r>
        <w:t xml:space="preserve"> </w:t>
      </w:r>
      <w:r>
        <w:t xml:space="preserve">créée ne se répartit de façon crédible que si elle est arbitrée par un tiers</w:t>
      </w:r>
      <w:r>
        <w:t xml:space="preserve"> </w:t>
      </w:r>
      <w:r>
        <w:t xml:space="preserve">indépendant, et non par le propriétaire de l’une des deux circulations en présence. Le</w:t>
      </w:r>
      <w:r>
        <w:t xml:space="preserve"> </w:t>
      </w:r>
      <w:r>
        <w:t xml:space="preserve">Canada dispose déjà de l’institution et du pouvoir correspondants : l’Office des</w:t>
      </w:r>
      <w:r>
        <w:t xml:space="preserve"> </w:t>
      </w:r>
      <w:r>
        <w:t xml:space="preserve">transports du Canada peut accorder des droits de circulation sur le réseau d’une autre</w:t>
      </w:r>
      <w:r>
        <w:t xml:space="preserve"> </w:t>
      </w:r>
      <w:r>
        <w:t xml:space="preserve">compagnie, en fixer les conditions dans l’intérêt public et en déterminer l’indemnité</w:t>
      </w:r>
      <w:r>
        <w:t xml:space="preserve"> </w:t>
      </w:r>
      <w:r>
        <w:t xml:space="preserve">(</w:t>
      </w:r>
      <w:hyperlink w:anchor="ref-otc2016circulation">
        <w:r>
          <w:rPr>
            <w:rStyle w:val="Hyperlink"/>
          </w:rPr>
          <w:t xml:space="preserve">Office des transports du Canada, 2016</w:t>
        </w:r>
      </w:hyperlink>
      <w:r>
        <w:t xml:space="preserve">;</w:t>
      </w:r>
      <w:r>
        <w:t xml:space="preserve"> </w:t>
      </w:r>
      <w:hyperlink w:anchor="ref-ltc1996art138">
        <w:r>
          <w:rPr>
            <w:rStyle w:val="Hyperlink"/>
          </w:rPr>
          <w:t xml:space="preserve">Parlement du Canada, 1996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 où doubler : relier les évitements d’abord.</w:t>
      </w:r>
      <w:r>
        <w:t xml:space="preserve"> </w:t>
      </w:r>
      <w:r>
        <w:t xml:space="preserve">Un corridor à voie unique équipé</w:t>
      </w:r>
      <w:r>
        <w:t xml:space="preserve"> </w:t>
      </w:r>
      <w:r>
        <w:t xml:space="preserve">d’évitements est déjà partiellement doublé, et la simulation montre que le retard décroît</w:t>
      </w:r>
      <w:r>
        <w:t xml:space="preserve"> </w:t>
      </w:r>
      <w:r>
        <w:t xml:space="preserve">de façon régulière à chaque tronçon de deuxième voie ajouté lorsque l’on procède en</w:t>
      </w:r>
      <w:r>
        <w:t xml:space="preserve"> </w:t>
      </w:r>
      <w:r>
        <w:t xml:space="preserve">reliant des paires d’évitements existants : le programme se phase, sans effet de seuil</w:t>
      </w:r>
      <w:r>
        <w:t xml:space="preserve"> </w:t>
      </w:r>
      <w:r>
        <w:t xml:space="preserve">(</w:t>
      </w:r>
      <w:hyperlink w:anchor="ref-sogin2013doublement">
        <w:r>
          <w:rPr>
            <w:rStyle w:val="Hyperlink"/>
          </w:rPr>
          <w:t xml:space="preserve">Sogin et al., 2013</w:t>
        </w:r>
      </w:hyperlink>
      <w:r>
        <w:t xml:space="preserve">)</w:t>
      </w:r>
      <w:r>
        <w:t xml:space="preserve">. Ce n’est pas une hypothèse théorique : sur le corridor</w:t>
      </w:r>
      <w:r>
        <w:t xml:space="preserve"> </w:t>
      </w:r>
      <w:r>
        <w:t xml:space="preserve">Chicago-Detroit, l’étude d’impact fédérale retient précisément de moderniser et de relier</w:t>
      </w:r>
      <w:r>
        <w:t xml:space="preserve"> </w:t>
      </w:r>
      <w:r>
        <w:t xml:space="preserve">les évitements existants entre Niles et Dowagiac, en notant que cette liaison revient à</w:t>
      </w:r>
      <w:r>
        <w:t xml:space="preserve"> </w:t>
      </w:r>
      <w:r>
        <w:t xml:space="preserve">doubler la voie sur 16 milles et permet d’ajouter des fréquences à 110 mi/h</w:t>
      </w:r>
      <w:r>
        <w:t xml:space="preserve"> </w:t>
      </w:r>
      <w:r>
        <w:t xml:space="preserve">(</w:t>
      </w:r>
      <w:hyperlink w:anchor="ref-mdot2014tier1">
        <w:r>
          <w:rPr>
            <w:rStyle w:val="Hyperlink"/>
          </w:rPr>
          <w:t xml:space="preserve">Federal Railroad Administration &amp; Michigan Department of Transportation, 2014</w:t>
        </w:r>
      </w:hyperlink>
      <w:r>
        <w:t xml:space="preserve">)</w:t>
      </w:r>
      <w:r>
        <w:t xml:space="preserve">. La FRA reconnaît de longue date qu’une série d’évitements longs accroît</w:t>
      </w:r>
      <w:r>
        <w:t xml:space="preserve"> </w:t>
      </w:r>
      <w:r>
        <w:t xml:space="preserve">substantiellement la capacité à un coût très inférieur au doublement continu</w:t>
      </w:r>
      <w:r>
        <w:t xml:space="preserve"> </w:t>
      </w:r>
      <w:r>
        <w:t xml:space="preserve">(</w:t>
      </w:r>
      <w:hyperlink w:anchor="ref-fra2004ptc">
        <w:r>
          <w:rPr>
            <w:rStyle w:val="Hyperlink"/>
          </w:rPr>
          <w:t xml:space="preserve">Federal Railroad Administration, 2004</w:t>
        </w:r>
      </w:hyperlink>
      <w:r>
        <w:t xml:space="preserve">)</w:t>
      </w:r>
      <w:r>
        <w:t xml:space="preserve">. Le programme de doublement du corridor devrait donc commencer par là :</w:t>
      </w:r>
      <w:r>
        <w:t xml:space="preserve"> </w:t>
      </w:r>
      <w:r>
        <w:t xml:space="preserve">allonger et relier les évitements en place sur les sections en voie simple, la deuxième</w:t>
      </w:r>
      <w:r>
        <w:t xml:space="preserve"> </w:t>
      </w:r>
      <w:r>
        <w:t xml:space="preserve">voie continue venant fermer les intervalles restants. L’inventaire fin des évitements</w:t>
      </w:r>
      <w:r>
        <w:t xml:space="preserve"> </w:t>
      </w:r>
      <w:r>
        <w:t xml:space="preserve">(position, longueur utile) relève de l’étude de circulation : la détection géométrique de</w:t>
      </w:r>
      <w:r>
        <w:t xml:space="preserve"> </w:t>
      </w:r>
      <w:r>
        <w:t xml:space="preserve">cette étude, calée sur une fenêtre plus large qu’eux, ne les résout pas un à un.</w:t>
      </w:r>
    </w:p>
    <w:p>
      <w:pPr>
        <w:pStyle w:val="BodyText"/>
      </w:pPr>
      <w:r>
        <w:rPr>
          <w:b/>
          <w:bCs/>
        </w:rPr>
        <w:t xml:space="preserve">Sur Montréal-Toronto, déjà doublé, « doubler 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 : ordres de grandeur 15 contre</w:t>
      </w:r>
      <w:r>
        <w:t xml:space="preserve"> </w:t>
      </w:r>
      <w:r>
        <w:t xml:space="preserve">45-50 mi/h, soit 24 contre 72-80 km/h, à vérifier en étude de circulation)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6"/>
    <w:bookmarkEnd w:id="27"/>
    <w:bookmarkStart w:id="28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t xml:space="preserve">Le scénario recommandé s’arrête volontairement à 177 km/h : les deux dernières marches</w:t>
      </w:r>
      <w:r>
        <w:t xml:space="preserve"> </w:t>
      </w:r>
      <w:r>
        <w:t xml:space="preserve">de cet escalier décrivent ce que l’étude n’exige pas, et une des raisons de ne pas</w:t>
      </w:r>
      <w:r>
        <w:t xml:space="preserve"> </w:t>
      </w:r>
      <w:r>
        <w:t xml:space="preserve">viser plus haut sur une voie partagée.</w:t>
      </w:r>
    </w:p>
    <w:p>
      <w:pPr>
        <w:pStyle w:val="BodyText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trajets, chacun</w:t>
      </w:r>
      <w:r>
        <w:t xml:space="preserve"> </w:t>
      </w:r>
      <w:r>
        <w:t xml:space="preserve">classé à la vitesse maximale des trajets qui l’empruntent),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au plafond retenu</w:t>
      </w:r>
      <w:r>
        <w:t xml:space="preserve">, selon la vitesse d’exploitation du scénario recommandé</w:t>
      </w:r>
      <w:r>
        <w:t xml:space="preserve"> </w:t>
      </w:r>
      <w:r>
        <w:t xml:space="preserve">(la géométrie du pendulaire, plafonnée à 177 km/h)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d’exploitation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 : régime actuel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 : corridor scellé</w:t>
            </w:r>
          </w:p>
        </w:tc>
        <w:tc>
          <w:tcPr/>
          <w:p>
            <w:pPr>
              <w:pStyle w:val="Compact"/>
            </w:pPr>
            <w:r>
              <w:t xml:space="preserve">891</w:t>
            </w:r>
          </w:p>
        </w:tc>
      </w:tr>
    </w:tbl>
    <w:p>
      <w:pPr>
        <w:pStyle w:val="BodyText"/>
      </w:pPr>
      <w:r>
        <w:t xml:space="preserve">La lecture : le corridor scellé est la condition principale du scénario recommandé, et</w:t>
      </w:r>
      <w:r>
        <w:t xml:space="preserve"> </w:t>
      </w:r>
      <w:r>
        <w:t xml:space="preserve">elle se compte. Sur les 891 passages de la zone rapide, 328 portent déjà un système</w:t>
      </w:r>
      <w:r>
        <w:t xml:space="preserve"> </w:t>
      </w:r>
      <w:r>
        <w:t xml:space="preserve">complet de feux, cloches et barrières ;</w:t>
      </w:r>
      <w:r>
        <w:t xml:space="preserve"> </w:t>
      </w:r>
      <w:r>
        <w:rPr>
          <w:b/>
          <w:bCs/>
        </w:rPr>
        <w:t xml:space="preserve">563 restent à équiper</w:t>
      </w:r>
      <w:r>
        <w:t xml:space="preserve">. Les 328 équipés ne</w:t>
      </w:r>
      <w:r>
        <w:t xml:space="preserve"> </w:t>
      </w:r>
      <w:r>
        <w:t xml:space="preserve">sont pas finis pour autant : leurs barrières sont à deux quadrants (elles ne ferment que</w:t>
      </w:r>
      <w:r>
        <w:t xml:space="preserve"> </w:t>
      </w:r>
      <w:r>
        <w:t xml:space="preserve">les voies d’entrée), et le corridor scellé leur ajoute les bras de sortie, les</w:t>
      </w:r>
      <w:r>
        <w:t xml:space="preserve"> </w:t>
      </w:r>
      <w:r>
        <w:t xml:space="preserve">terre-pleins et la détection ; les 563 autres partent de plus loin (475 passages</w:t>
      </w:r>
      <w:r>
        <w:t xml:space="preserve"> </w:t>
      </w:r>
      <w:r>
        <w:t xml:space="preserve">passifs, 60 avec feux et cloches sans barrières). Le tri</w:t>
      </w:r>
      <w:r>
        <w:t xml:space="preserve"> </w:t>
      </w:r>
      <w:r>
        <w:t xml:space="preserve">d’intervention, sur données ouvertes (le lecteur applique ses coûts unitaires) : 782</w:t>
      </w:r>
      <w:r>
        <w:t xml:space="preserve"> </w:t>
      </w:r>
      <w:r>
        <w:t xml:space="preserve">passages standards (municipaux ou privés, deux voies routières ou moins, hors zone</w:t>
      </w:r>
      <w:r>
        <w:t xml:space="preserve"> </w:t>
      </w:r>
      <w:r>
        <w:t xml:space="preserve">urbaine) et 109 complexes (urbains, multi-voies ou provinciaux). La colonne d’accès</w:t>
      </w:r>
      <w:r>
        <w:t xml:space="preserve"> </w:t>
      </w:r>
      <w:r>
        <w:t xml:space="preserve">(public ou privé) de chaque passage reste publiée dans les annexes numériques ; l’étude</w:t>
      </w:r>
      <w:r>
        <w:t xml:space="preserve"> </w:t>
      </w:r>
      <w:r>
        <w:t xml:space="preserve">ne propose la fermeture d’aucun passage.</w:t>
      </w:r>
    </w:p>
    <w:bookmarkEnd w:id="28"/>
    <w:bookmarkStart w:id="29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177 km/h (100 à 110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recommandé,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 Cette limite de 110 mi/h est celle du</w:t>
      </w:r>
      <w:r>
        <w:t xml:space="preserve"> </w:t>
      </w:r>
      <w:r>
        <w:t xml:space="preserve">système lui-même : c’est elle qui fixe le plafond du scénario recommandé.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 : elle est</w:t>
      </w:r>
      <w:r>
        <w:t xml:space="preserve"> </w:t>
      </w:r>
      <w:r>
        <w:t xml:space="preserve">hors du scénario recommandé.</w:t>
      </w:r>
    </w:p>
    <w:p>
      <w:pPr>
        <w:pStyle w:val="FirstParagraph"/>
      </w:pPr>
      <w:r>
        <w:rPr>
          <w:b/>
          <w:bCs/>
        </w:rPr>
        <w:t xml:space="preserve">Ce que la superposition fait à la capacité : rien en moins, et un levier en plus.</w:t>
      </w:r>
      <w:r>
        <w:t xml:space="preserve"> </w:t>
      </w:r>
      <w:r>
        <w:t xml:space="preserve">La</w:t>
      </w:r>
      <w:r>
        <w:t xml:space="preserve"> </w:t>
      </w:r>
      <w:r>
        <w:t xml:space="preserve">superposition retenue ne modifie pas le cantonnement existant : sur la ligne du Michigan,</w:t>
      </w:r>
      <w:r>
        <w:t xml:space="preserve"> </w:t>
      </w:r>
      <w:r>
        <w:t xml:space="preserve">l’ITCS est explicitement conçu comme une couche de sécurité posée par-dessus la commande</w:t>
      </w:r>
      <w:r>
        <w:t xml:space="preserve"> </w:t>
      </w:r>
      <w:r>
        <w:t xml:space="preserve">centralisée en place, et c’est ce dispositif qui a porté la vitesse voyageurs de 79 mi/h</w:t>
      </w:r>
      <w:r>
        <w:t xml:space="preserve"> </w:t>
      </w:r>
      <w:r>
        <w:t xml:space="preserve">en 2000 à 110 mi/h en 2012 sur une ligne partagée avec le fret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 La</w:t>
      </w:r>
      <w:r>
        <w:t xml:space="preserve"> </w:t>
      </w:r>
      <w:r>
        <w:t xml:space="preserve">capacité existante n’est donc ni retranchée ni réattribuée : la superposition s’ajoute au</w:t>
      </w:r>
      <w:r>
        <w:t xml:space="preserve"> </w:t>
      </w:r>
      <w:r>
        <w:t xml:space="preserve">système, elle ne le remplace pas, et la position fédérale juge d’ailleurs non démontrés</w:t>
      </w:r>
      <w:r>
        <w:t xml:space="preserve"> </w:t>
      </w:r>
      <w:r>
        <w:t xml:space="preserve">les gains de débit du contrôle de train pris seul</w:t>
      </w:r>
      <w:r>
        <w:t xml:space="preserve"> </w:t>
      </w:r>
      <w:r>
        <w:t xml:space="preserve">(</w:t>
      </w:r>
      <w:hyperlink w:anchor="ref-fra2004ptc">
        <w:r>
          <w:rPr>
            <w:rStyle w:val="Hyperlink"/>
          </w:rPr>
          <w:t xml:space="preserve">Federal Railroad Administration, 2004</w:t>
        </w:r>
      </w:hyperlink>
      <w:r>
        <w:t xml:space="preserve">)</w:t>
      </w:r>
      <w:r>
        <w:t xml:space="preserve">. Si l’on veut relever le</w:t>
      </w:r>
      <w:r>
        <w:t xml:space="preserve"> </w:t>
      </w:r>
      <w:r>
        <w:t xml:space="preserve">débit, le levier n’est pas la superposition mais le raccourcissement des cantons qu’elle</w:t>
      </w:r>
      <w:r>
        <w:t xml:space="preserve"> </w:t>
      </w:r>
      <w:r>
        <w:t xml:space="preserve">peut accompagner : la simulation d’un corridor nord-américain partagé montre qu’à niveau</w:t>
      </w:r>
      <w:r>
        <w:t xml:space="preserve"> </w:t>
      </w:r>
      <w:r>
        <w:t xml:space="preserve">de service constant, passer d’un cantonnement à trois aspects à quatre aspects puis au</w:t>
      </w:r>
      <w:r>
        <w:t xml:space="preserve"> </w:t>
      </w:r>
      <w:r>
        <w:t xml:space="preserve">bloc mobile fait passer la capacité de 45 à 50 puis 52 trains par jour, l’essentiel du</w:t>
      </w:r>
      <w:r>
        <w:t xml:space="preserve"> </w:t>
      </w:r>
      <w:r>
        <w:t xml:space="preserve">gain venant déjà de l’ajout d’aspects</w:t>
      </w:r>
      <w:r>
        <w:t xml:space="preserve"> </w:t>
      </w:r>
      <w:r>
        <w:t xml:space="preserve">(</w:t>
      </w:r>
      <w:hyperlink w:anchor="ref-dick2019blocs">
        <w:r>
          <w:rPr>
            <w:rStyle w:val="Hyperlink"/>
          </w:rPr>
          <w:t xml:space="preserve">Dick et al., 2019</w:t>
        </w:r>
      </w:hyperlink>
      <w:r>
        <w:t xml:space="preserve">)</w:t>
      </w:r>
      <w:r>
        <w:t xml:space="preserve">. Ce dimensionnement relève de</w:t>
      </w:r>
      <w:r>
        <w:t xml:space="preserve"> </w:t>
      </w:r>
      <w:r>
        <w:t xml:space="preserve">l’étude de circulation ; le point à retenir ici est que la marche du scénario recommandé</w:t>
      </w:r>
      <w:r>
        <w:t xml:space="preserve"> </w:t>
      </w:r>
      <w:r>
        <w:t xml:space="preserve">ne coûte rien à la capacité du propriétaire.</w:t>
      </w:r>
    </w:p>
    <w:p>
      <w:pPr>
        <w:pStyle w:val="BodyText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9"/>
    <w:bookmarkStart w:id="31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 : courbes, blocs urbains</w:t>
      </w:r>
      <w:r>
        <w:t xml:space="preserve"> </w:t>
      </w:r>
      <w:r>
        <w:t xml:space="preserve">figés et arrêts, sans marge. La seconde applique la marge en fourchette : c’est elle</w:t>
      </w:r>
      <w:r>
        <w:t xml:space="preserve"> </w:t>
      </w:r>
      <w:r>
        <w:t xml:space="preserve">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Scénario recommandé, plafond 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  <w:tc>
          <w:tcPr/>
          <w:p>
            <w:pPr>
              <w:pStyle w:val="Compact"/>
            </w:pPr>
            <w:r>
              <w:t xml:space="preserve">2 h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(442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(536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au plafond retenu</w:t>
      </w:r>
      <w:r>
        <w:t xml:space="preserve"> </w:t>
      </w:r>
      <w:r>
        <w:t xml:space="preserve">(8 pour cent du temps de base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). Borne haute : la</w:t>
      </w:r>
      <w:r>
        <w:t xml:space="preserve"> </w:t>
      </w:r>
      <w:r>
        <w:t xml:space="preserve">marge que l’horaire actuel du tronçon porte aujourd’hui, mesurée dans cette étude</w:t>
      </w:r>
      <w:r>
        <w:t xml:space="preserve"> </w:t>
      </w:r>
      <w:r>
        <w:t xml:space="preserve">(11 pour cent sur Montréal-Ottawa, 18 sur Montréal-Toronto, 24 sur Ottawa-Toronto,</w:t>
      </w:r>
      <w:r>
        <w:t xml:space="preserve"> </w:t>
      </w:r>
      <w:r>
        <w:t xml:space="preserve">32 sur Montréal-Québec). Contrôle interne de la méthode : nourrie du train, du plafond</w:t>
      </w:r>
      <w:r>
        <w:t xml:space="preserve"> </w:t>
      </w:r>
      <w:r>
        <w:t xml:space="preserve">et de la marge d’aujourd’hui, elle retombe sur l’horaire actuel, par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Scénario recommandé, plafond 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22)</w:t>
            </w:r>
          </w:p>
        </w:tc>
        <w:tc>
          <w:tcPr/>
          <w:p>
            <w:pPr>
              <w:pStyle w:val="Compact"/>
            </w:pPr>
            <w:r>
              <w:t xml:space="preserve">2 h 30 à 3 h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46 à 1 h 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3 h 39 à 4 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27 à 4 h 52</w:t>
            </w:r>
          </w:p>
        </w:tc>
      </w:tr>
    </w:tbl>
    <w:p>
      <w:pPr>
        <w:pStyle w:val="BodyText"/>
      </w:pPr>
      <w:r>
        <w:t xml:space="preserve">C’est de ces fourchettes que la figure des gains de la synthèse tire sa décomposition :</w:t>
      </w:r>
      <w:r>
        <w:t xml:space="preserve"> </w:t>
      </w:r>
      <w:r>
        <w:t xml:space="preserve">le gain de chaque trajet (l’écart entre l’horaire actuel et la borne basse de la</w:t>
      </w:r>
      <w:r>
        <w:t xml:space="preserve"> </w:t>
      </w:r>
      <w:r>
        <w:t xml:space="preserve">fourchette) est attribué à ses leviers : quatre parts dans la table jointe, que la</w:t>
      </w:r>
      <w:r>
        <w:t xml:space="preserve"> </w:t>
      </w:r>
      <w:r>
        <w:t xml:space="preserve">figure regroupe en trois tranches (le relèvement du plafond et le train pendulaire y</w:t>
      </w:r>
      <w:r>
        <w:t xml:space="preserve"> </w:t>
      </w:r>
      <w:r>
        <w:t xml:space="preserve">sont fusionnés). Le trajet Québec-Toronto de la figure est composé de Québec-Montréal</w:t>
      </w:r>
      <w:r>
        <w:t xml:space="preserve"> </w:t>
      </w:r>
      <w:r>
        <w:t xml:space="preserve">et de Montréal-Toronto, plus dix minutes d’arrêt à Montréal [HYPOTHÈSE déclarée dans</w:t>
      </w:r>
      <w:r>
        <w:t xml:space="preserve"> </w:t>
      </w:r>
      <w:r>
        <w:t xml:space="preserve">la table]. Les parts « relèvement du plafond » et</w:t>
      </w:r>
      <w:r>
        <w:t xml:space="preserve"> </w:t>
      </w:r>
      <w:r>
        <w:t xml:space="preserve">« train pendulaire » sont l’écart de temps de base recalculé en appliquant chaque</w:t>
      </w:r>
      <w:r>
        <w:t xml:space="preserve"> </w:t>
      </w:r>
      <w:r>
        <w:t xml:space="preserve">levier séparément, dans les deux ordres possibles, puis en moyennant (l’écart entre</w:t>
      </w:r>
      <w:r>
        <w:t xml:space="preserve"> </w:t>
      </w:r>
      <w:r>
        <w:t xml:space="preserve">les deux ordres, publié dans</w:t>
      </w:r>
      <w:r>
        <w:t xml:space="preserve"> </w:t>
      </w:r>
      <w:r>
        <w:rPr>
          <w:rStyle w:val="VerbatimChar"/>
        </w:rPr>
        <w:t xml:space="preserve">decomposition_gains.csv</w:t>
      </w:r>
      <w:r>
        <w:t xml:space="preserve">, ne dépasse pas 6 minutes) ; la</w:t>
      </w:r>
      <w:r>
        <w:t xml:space="preserve"> </w:t>
      </w:r>
      <w:r>
        <w:t xml:space="preserve">part « doublement » applique l’écart de marge mesuré entre voie simple et voie double</w:t>
      </w:r>
      <w:r>
        <w:t xml:space="preserve"> </w:t>
      </w:r>
      <w:r>
        <w:t xml:space="preserve">du CN (section 4) aux seuls kilomètres de voie simple CN du trajet ; la part</w:t>
      </w:r>
      <w:r>
        <w:t xml:space="preserve"> </w:t>
      </w:r>
      <w:r>
        <w:t xml:space="preserve">« cohabitation » est le résidu, borné à zéro, et c’est une définition honnête : ce que</w:t>
      </w:r>
      <w:r>
        <w:t xml:space="preserve"> </w:t>
      </w:r>
      <w:r>
        <w:t xml:space="preserve">l’étude ne peut pas allouer autrement, précisément l’objet de l’étude de circulation.</w:t>
      </w:r>
    </w:p>
    <w:p>
      <w:pPr>
        <w:pStyle w:val="BodyText"/>
      </w:pPr>
      <w:r>
        <w:t xml:space="preserve">Sensibilités : blocs urbains ±20 pour cent, soit de ±4 à ±8 minutes de temps de base</w:t>
      </w:r>
      <w:r>
        <w:t xml:space="preserve"> </w:t>
      </w:r>
      <w:r>
        <w:t xml:space="preserve">selon le tronçon ; le biais de la fenêtre de mesure sur les segments courts est mesuré et chiffré ci-dessous ; l’immobilisation en gare (2 minutes par arrêt) peut être doublée sans changer</w:t>
      </w:r>
      <w:r>
        <w:t xml:space="preserve"> </w:t>
      </w:r>
      <w:r>
        <w:t xml:space="preserve">la conclusion (chaque minute ajoutée coûte de 3 à 10 minutes par tronçon selon</w:t>
      </w:r>
      <w:r>
        <w:t xml:space="preserve"> </w:t>
      </w:r>
      <w:r>
        <w:t xml:space="preserve">son nombre d’arrêts) ; la borne du pilote de 2025 (7,5 à 10 minutes par arrêt évité)</w:t>
      </w:r>
      <w:r>
        <w:t xml:space="preserve"> </w:t>
      </w:r>
      <w:r>
        <w:t xml:space="preserve">inclut des effets de sillon qui relèvent de la marge, pas du temps de base.</w:t>
      </w:r>
    </w:p>
    <w:p>
      <w:pPr>
        <w:pStyle w:val="BodyText"/>
      </w:pPr>
      <w:r>
        <w:t xml:space="preserve">Deux sensibilités supplémentaires ont été calculées, dans le sens favorable cette</w:t>
      </w:r>
      <w:r>
        <w:t xml:space="preserve"> </w:t>
      </w:r>
      <w:r>
        <w:t xml:space="preserve">fois.</w:t>
      </w:r>
      <w:r>
        <w:t xml:space="preserve"> </w:t>
      </w:r>
      <w:r>
        <w:rPr>
          <w:b/>
          <w:bCs/>
        </w:rPr>
        <w:t xml:space="preserve">Blocs urbains réintégrés</w:t>
      </w:r>
      <w:r>
        <w:t xml:space="preserve"> : si les approches urbaines cessaient d’être figées</w:t>
      </w:r>
      <w:r>
        <w:t xml:space="preserve"> </w:t>
      </w:r>
      <w:r>
        <w:t xml:space="preserve">à l’horaire actuel et roulaient ce que leur géométrie permet, le temps de base du</w:t>
      </w:r>
      <w:r>
        <w:t xml:space="preserve"> </w:t>
      </w:r>
      <w:r>
        <w:t xml:space="preserve">scénario recommandé baisserait encore de 20 minutes sur Montréal-Québec, 15 sur</w:t>
      </w:r>
      <w:r>
        <w:t xml:space="preserve"> </w:t>
      </w:r>
      <w:r>
        <w:t xml:space="preserve">Montréal-Ottawa, 9 sur Ottawa-Toronto et 22 sur Montréal-Toronto. L’étude ne promet</w:t>
      </w:r>
      <w:r>
        <w:t xml:space="preserve"> </w:t>
      </w:r>
      <w:r>
        <w:t xml:space="preserve">rien de tel (les approches urbaines ont leurs propres contraintes, hors périmètre),</w:t>
      </w:r>
      <w:r>
        <w:t xml:space="preserve"> </w:t>
      </w:r>
      <w:r>
        <w:t xml:space="preserve">mais le chiffre borne ce que le statu quo urbain coûte.</w:t>
      </w:r>
      <w:r>
        <w:t xml:space="preserve"> </w:t>
      </w:r>
      <w:r>
        <w:rPr>
          <w:b/>
          <w:bCs/>
        </w:rPr>
        <w:t xml:space="preserve">Courbes rectifiées avec le</w:t>
      </w:r>
      <w:r>
        <w:rPr>
          <w:b/>
          <w:bCs/>
        </w:rPr>
        <w:t xml:space="preserve"> </w:t>
      </w:r>
      <w:r>
        <w:rPr>
          <w:b/>
          <w:bCs/>
        </w:rPr>
        <w:t xml:space="preserve">doublement</w:t>
      </w:r>
      <w:r>
        <w:t xml:space="preserve"> : reconstruire une plateforme pour y poser une seconde voie est le seul</w:t>
      </w:r>
      <w:r>
        <w:t xml:space="preserve"> </w:t>
      </w:r>
      <w:r>
        <w:t xml:space="preserve">moment où rouvrir un rayon ne coûte presque rien de plus. Si les courbes situées sur</w:t>
      </w:r>
      <w:r>
        <w:t xml:space="preserve"> </w:t>
      </w:r>
      <w:r>
        <w:t xml:space="preserve">les sections à doubler (162 km de segments concernés sur les quatre trajets, définis</w:t>
      </w:r>
      <w:r>
        <w:t xml:space="preserve"> </w:t>
      </w:r>
      <w:r>
        <w:t xml:space="preserve">par un recouvrement d’au moins 70 pour cent avec la voie simple hors gares) étaient rectifiées au plafond</w:t>
      </w:r>
      <w:r>
        <w:t xml:space="preserve"> </w:t>
      </w:r>
      <w:r>
        <w:t xml:space="preserve">retenu, le temps de base gagnerait encore 4 minutes sur Montréal-Québec et 3 sur</w:t>
      </w:r>
      <w:r>
        <w:t xml:space="preserve"> </w:t>
      </w:r>
      <w:r>
        <w:t xml:space="preserve">Montréal-Ottawa (moins d’une minute ailleurs) : un gain modeste en minutes, mais</w:t>
      </w:r>
      <w:r>
        <w:t xml:space="preserve"> </w:t>
      </w:r>
      <w:r>
        <w:t xml:space="preserve">gratuit au moment du chantier, et qui réduit d’autant les kilomètres restants sous</w:t>
      </w:r>
      <w:r>
        <w:t xml:space="preserve"> </w:t>
      </w:r>
      <w:r>
        <w:t xml:space="preserve">grande vitesse.</w:t>
      </w:r>
    </w:p>
    <w:bookmarkStart w:id="30" w:name="X3e98b9c7167cabff9ca22a4446093da05eff647"/>
    <w:p>
      <w:pPr>
        <w:pStyle w:val="Heading2"/>
      </w:pPr>
      <w:r>
        <w:t xml:space="preserve">Le biais de la fenêtre de mesure, et ce qu’il coûte</w:t>
      </w:r>
    </w:p>
    <w:p>
      <w:pPr>
        <w:pStyle w:val="FirstParagraph"/>
      </w:pPr>
      <w:r>
        <w:t xml:space="preserve">L’estimateur ajuste un cercle sur une fenêtre glissante de 900 m. Sur une courbe plus</w:t>
      </w:r>
      <w:r>
        <w:t xml:space="preserve"> </w:t>
      </w:r>
      <w:r>
        <w:t xml:space="preserve">courte que cette fenêtre, il mélange la courbe et ses tangentes d’approche et rend un</w:t>
      </w:r>
      <w:r>
        <w:t xml:space="preserve"> </w:t>
      </w:r>
      <w:r>
        <w:t xml:space="preserve">rayon plus ample : il annonce une voie plus droite qu’elle n’est. Le biais est à sens</w:t>
      </w:r>
      <w:r>
        <w:t xml:space="preserve"> </w:t>
      </w:r>
      <w:r>
        <w:t xml:space="preserve">unique, il ne se compense donc pas en agrégeant.</w:t>
      </w:r>
    </w:p>
    <w:p>
      <w:pPr>
        <w:pStyle w:val="BodyText"/>
      </w:pPr>
      <w:r>
        <w:t xml:space="preserve">Son ampleur a été mesurée sur le corridor, segment par segment : le corps de chaque</w:t>
      </w:r>
      <w:r>
        <w:t xml:space="preserve"> </w:t>
      </w:r>
      <w:r>
        <w:t xml:space="preserve">courbe est localisé avec un estimateur fin de 300 m, un cercle unique y est ajusté, et</w:t>
      </w:r>
      <w:r>
        <w:t xml:space="preserve"> </w:t>
      </w:r>
      <w:r>
        <w:t xml:space="preserve">ce rayon est comparé à celui que le rapport publie. Cet estimateur fin n’est pas</w:t>
      </w:r>
      <w:r>
        <w:t xml:space="preserve"> </w:t>
      </w:r>
      <w:r>
        <w:t xml:space="preserve">publiable en soi, la flèche d’une courbe ample n’y dépassant pas le bruit de la source ;</w:t>
      </w:r>
      <w:r>
        <w:t xml:space="preserve"> </w:t>
      </w:r>
      <w:r>
        <w:t xml:space="preserve">il sert de référence locale sur les courbes serrées, où il est légitime.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Longueur du segment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Segments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Kilomètres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Facteur médian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9e décile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Moins de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à 450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450 à 600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 à 900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 m et 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932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référence</w:t>
            </w:r>
          </w:p>
        </w:tc>
      </w:tr>
    </w:tbl>
    <w:p>
      <w:pPr>
        <w:pStyle w:val="BodyText"/>
      </w:pPr>
      <w:r>
        <w:t xml:space="preserve">La table ne compte que les segments où la référence fine est mesurable (877 des 1 014 ;</w:t>
      </w:r>
      <w:r>
        <w:t xml:space="preserve"> </w:t>
      </w:r>
      <w:r>
        <w:t xml:space="preserve">les autres, trop amples pour que la flèche de la courbe dépasse le bruit de la source,</w:t>
      </w:r>
      <w:r>
        <w:t xml:space="preserve"> </w:t>
      </w:r>
      <w:r>
        <w:t xml:space="preserve">n’ont pas de facteur). Sept cent dix des 1 014 segments du cœur sont plus courts que la fenêtre, soit 305 km</w:t>
      </w:r>
      <w:r>
        <w:t xml:space="preserve"> </w:t>
      </w:r>
      <w:r>
        <w:t xml:space="preserve">sur 1 433. La médiane du facteur y reste proche de 1, mais le neuvième décile atteint</w:t>
      </w:r>
      <w:r>
        <w:t xml:space="preserve"> </w:t>
      </w:r>
      <w:r>
        <w:t xml:space="preserve">1,8 à 2,2 : le biais épargne la plupart des segments courts et en frappe une minorité</w:t>
      </w:r>
      <w:r>
        <w:t xml:space="preserve"> </w:t>
      </w:r>
      <w:r>
        <w:t xml:space="preserve">fortement. Ce sont ces derniers qui déplacent les totaux.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Restants sous 177 km/h, cœur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Corrigé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de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recommandé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 km</w:t>
            </w:r>
          </w:p>
        </w:tc>
      </w:tr>
    </w:tbl>
    <w:p>
      <w:pPr>
        <w:pStyle w:val="BodyText"/>
      </w:pPr>
      <w:r>
        <w:t xml:space="preserve">L’effet sur les temps est d’un tout autre ordre : au plafond retenu, le temps de base</w:t>
      </w:r>
      <w:r>
        <w:t xml:space="preserve"> </w:t>
      </w:r>
      <w:r>
        <w:t xml:space="preserve">du scénario recommandé monte de 3 minutes sur Montréal-Québec, de 2 sur</w:t>
      </w:r>
      <w:r>
        <w:t xml:space="preserve"> </w:t>
      </w:r>
      <w:r>
        <w:t xml:space="preserve">Ottawa-Toronto et de moins d’une minute sur les deux autres tronçons (toutes</w:t>
      </w:r>
      <w:r>
        <w:t xml:space="preserve"> </w:t>
      </w:r>
      <w:r>
        <w:t xml:space="preserve">configurations confondues, l’effet va de 0 à 8 minutes, médiane 2).</w:t>
      </w:r>
    </w:p>
    <w:p>
      <w:pPr>
        <w:pStyle w:val="BodyText"/>
      </w:pPr>
      <w:r>
        <w:rPr>
          <w:b/>
          <w:bCs/>
        </w:rPr>
        <w:t xml:space="preserve">La lecture est donc dissymétrique, et c’est le point à retenir.</w:t>
      </w:r>
      <w:r>
        <w:t xml:space="preserve"> </w:t>
      </w:r>
      <w:r>
        <w:t xml:space="preserve">Ce que cette étude</w:t>
      </w:r>
      <w:r>
        <w:t xml:space="preserve"> </w:t>
      </w:r>
      <w:r>
        <w:t xml:space="preserve">annonce comme atteignable le reste : les temps de parcours bougent de une à trois</w:t>
      </w:r>
      <w:r>
        <w:t xml:space="preserve"> </w:t>
      </w:r>
      <w:r>
        <w:t xml:space="preserve">minutes, à l’intérieur des fourchettes déjà publiées. Ce qu’elle annonce comme travaux</w:t>
      </w:r>
      <w:r>
        <w:t xml:space="preserve"> </w:t>
      </w:r>
      <w:r>
        <w:t xml:space="preserve">restants est en revanche sous-estimé d’environ un huitième (le résidu corrigé du</w:t>
      </w:r>
      <w:r>
        <w:t xml:space="preserve"> </w:t>
      </w:r>
      <w:r>
        <w:t xml:space="preserve">scénario recommandé est de 13 pour cent plus long que le résidu publié). Un budget de</w:t>
      </w:r>
      <w:r>
        <w:t xml:space="preserve"> </w:t>
      </w:r>
      <w:r>
        <w:t xml:space="preserve">rectification bâti sur les kilomètres restants de ce rapport doit porter cette réserve.</w:t>
      </w:r>
    </w:p>
    <w:p>
      <w:pPr>
        <w:pStyle w:val="BodyText"/>
      </w:pPr>
      <w:r>
        <w:t xml:space="preserve">Les chiffres publiés restent ceux de la chaîne sans correction, pour une raison de</w:t>
      </w:r>
      <w:r>
        <w:t xml:space="preserve"> </w:t>
      </w:r>
      <w:r>
        <w:t xml:space="preserve">méthode : corriger une partie seulement des segments avec une référence qui n’est pas</w:t>
      </w:r>
      <w:r>
        <w:t xml:space="preserve"> </w:t>
      </w:r>
      <w:r>
        <w:t xml:space="preserve">valable partout produirait une table mêlant deux mesures. La correction est donnée en</w:t>
      </w:r>
      <w:r>
        <w:t xml:space="preserve"> </w:t>
      </w:r>
      <w:r>
        <w:t xml:space="preserve">fourchette, son détail segment par segment est joint (</w:t>
      </w:r>
      <w:r>
        <w:rPr>
          <w:rStyle w:val="VerbatimChar"/>
        </w:rPr>
        <w:t xml:space="preserve">biais_segments_courts.csv</w:t>
      </w:r>
      <w:r>
        <w:t xml:space="preserve">), et</w:t>
      </w:r>
      <w:r>
        <w:t xml:space="preserve"> </w:t>
      </w:r>
      <w:r>
        <w:t xml:space="preserve">sa levée relève de l’étude à commander, avec une source de géométrie plus fine que</w:t>
      </w:r>
      <w:r>
        <w:t xml:space="preserve"> </w:t>
      </w:r>
      <w:r>
        <w:t xml:space="preserve">l’inventaire ouvert.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3 804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30"/>
    <w:bookmarkEnd w:id="31"/>
    <w:bookmarkStart w:id="32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Le plafond de 177 km/h est un choix de système (la limite</w:t>
      </w:r>
      <w:r>
        <w:t xml:space="preserve"> </w:t>
      </w:r>
      <w:r>
        <w:t xml:space="preserve">du contrôle en cabine incrémental disponible), pas une limite de la voie : ce que des</w:t>
      </w:r>
      <w:r>
        <w:t xml:space="preserve"> </w:t>
      </w:r>
      <w:r>
        <w:t xml:space="preserve">plafonds supérieurs donneraient reste calculé dans les annexes numériques du projet.</w:t>
      </w:r>
      <w:r>
        <w:t xml:space="preserve"> </w:t>
      </w:r>
      <w:r>
        <w:t xml:space="preserve">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crise. Le résultat central y tient : la voie simple du CN portait déjà 67 pour cent</w:t>
      </w:r>
      <w:r>
        <w:t xml:space="preserve"> </w:t>
      </w:r>
      <w:r>
        <w:t xml:space="preserve">de marge en 2023, contre 36 pour la voie double ; le coût du régime chez le propriétaire</w:t>
      </w:r>
      <w:r>
        <w:t xml:space="preserve"> </w:t>
      </w:r>
      <w:r>
        <w:t xml:space="preserve">de fret précède la crise. La lecture fine de la voie simple de VIA, elle, dépend de la</w:t>
      </w:r>
      <w:r>
        <w:t xml:space="preserve"> </w:t>
      </w:r>
      <w:r>
        <w:t xml:space="preserve">saison (49 pour cent de marge en 2023, 34 en 2026) : l’écart entre propriétaires reste</w:t>
      </w:r>
      <w:r>
        <w:t xml:space="preserve"> </w:t>
      </w:r>
      <w:r>
        <w:t xml:space="preserve">béant dans les deux saisons, mais la valeur « la voie simple ne coûte rien chez VIA »</w:t>
      </w:r>
      <w:r>
        <w:t xml:space="preserve"> </w:t>
      </w:r>
      <w:r>
        <w:t xml:space="preserve">est celle des horaires courants, et se lit comme telle.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32"/>
    <w:bookmarkStart w:id="100" w:name="références"/>
    <w:p>
      <w:pPr>
        <w:pStyle w:val="Heading1"/>
      </w:pPr>
      <w:r>
        <w:t xml:space="preserve">Références</w:t>
      </w:r>
    </w:p>
    <w:bookmarkStart w:id="99" w:name="refs"/>
    <w:bookmarkStart w:id="34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https://www.altotrain.ca/en/about-alto</w:t>
        </w:r>
      </w:hyperlink>
    </w:p>
    <w:bookmarkEnd w:id="34"/>
    <w:bookmarkStart w:id="36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5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6"/>
    <w:bookmarkStart w:id="38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7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8"/>
    <w:bookmarkStart w:id="40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9">
        <w:r>
          <w:rPr>
            <w:rStyle w:val="Hyperlink"/>
          </w:rPr>
          <w:t xml:space="preserve">https://spacing.ca/toronto/2015/12/09/53711/</w:t>
        </w:r>
      </w:hyperlink>
    </w:p>
    <w:bookmarkEnd w:id="40"/>
    <w:bookmarkStart w:id="42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41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42"/>
    <w:bookmarkStart w:id="43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43"/>
    <w:bookmarkStart w:id="45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5"/>
    <w:bookmarkStart w:id="47" w:name="ref-dick2019blocs"/>
    <w:p>
      <w:pPr>
        <w:pStyle w:val="Bibliography"/>
      </w:pPr>
      <w:r>
        <w:t xml:space="preserve">Dick, C. T., Mussanov, D., Evans, L. E., Roscoe, G. S., &amp; Chang, T.-Y. (2019). Relative Capacity and Performance of Fixed- and Moving-Block Control Systems on North American Freight Railway Lines and Shared Passenger Corridors.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</w:t>
      </w:r>
      <w:r>
        <w:t xml:space="preserve"> </w:t>
      </w:r>
      <w:r>
        <w:rPr>
          <w:i/>
          <w:iCs/>
        </w:rPr>
        <w:t xml:space="preserve">2673</w:t>
      </w:r>
      <w:r>
        <w:t xml:space="preserve">(5), 1‑12.</w:t>
      </w:r>
      <w:r>
        <w:t xml:space="preserve"> </w:t>
      </w:r>
      <w:hyperlink r:id="rId46">
        <w:r>
          <w:rPr>
            <w:rStyle w:val="Hyperlink"/>
          </w:rPr>
          <w:t xml:space="preserve">https://doi.org/10.1177/0361198119841852</w:t>
        </w:r>
      </w:hyperlink>
    </w:p>
    <w:bookmarkEnd w:id="47"/>
    <w:bookmarkStart w:id="49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8">
        <w:r>
          <w:rPr>
            <w:rStyle w:val="Hyperlink"/>
          </w:rPr>
          <w:t xml:space="preserve">https://www.ecfr.gov/current/title-49/section-213.347</w:t>
        </w:r>
      </w:hyperlink>
    </w:p>
    <w:bookmarkEnd w:id="49"/>
    <w:bookmarkStart w:id="51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50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51"/>
    <w:bookmarkStart w:id="53" w:name="ref-fra2004ptc"/>
    <w:p>
      <w:pPr>
        <w:pStyle w:val="Bibliography"/>
      </w:pPr>
      <w:r>
        <w:t xml:space="preserve">Federal Railroad Administration. (2004).</w:t>
      </w:r>
      <w:r>
        <w:t xml:space="preserve"> </w:t>
      </w:r>
      <w:r>
        <w:rPr>
          <w:i/>
          <w:iCs/>
        </w:rPr>
        <w:t xml:space="preserve">Benefits and Costs of Positive Train Control: Report in Response to Request of Appropriations Committees</w:t>
      </w:r>
      <w:r>
        <w:t xml:space="preserve">. U.S. Department of Transportation.</w:t>
      </w:r>
      <w:r>
        <w:t xml:space="preserve"> </w:t>
      </w:r>
      <w:hyperlink r:id="rId52">
        <w:r>
          <w:rPr>
            <w:rStyle w:val="Hyperlink"/>
          </w:rPr>
          <w:t xml:space="preserve">https://railroads.dot.gov/sites/fra.dot.gov/files/fra_net/17524/ptc_ben_cost_report.pdf</w:t>
        </w:r>
      </w:hyperlink>
    </w:p>
    <w:bookmarkEnd w:id="53"/>
    <w:bookmarkStart w:id="55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54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55"/>
    <w:bookmarkStart w:id="57" w:name="ref-mdot2014tier1"/>
    <w:p>
      <w:pPr>
        <w:pStyle w:val="Bibliography"/>
      </w:pPr>
      <w:r>
        <w:t xml:space="preserve">Federal Railroad Administration, &amp; Michigan Department of Transportation. (2014).</w:t>
      </w:r>
      <w:r>
        <w:t xml:space="preserve"> </w:t>
      </w:r>
      <w:r>
        <w:rPr>
          <w:i/>
          <w:iCs/>
        </w:rPr>
        <w:t xml:space="preserve">Chicago–Detroit/Pontiac Passenger Rail Corridor Program: Tier 1 Draft Environmental Impact Statement, Chapter 2 – Alternatives Considered</w:t>
      </w:r>
      <w:r>
        <w:t xml:space="preserve">. U.S. Department of Transportation.</w:t>
      </w:r>
      <w:r>
        <w:t xml:space="preserve"> </w:t>
      </w:r>
      <w:hyperlink r:id="rId56">
        <w:r>
          <w:rPr>
            <w:rStyle w:val="Hyperlink"/>
          </w:rPr>
          <w:t xml:space="preserve">https://railroads.dot.gov/sites/fra.dot.gov/files/fra_net/17118/Chapter%202%20Alternatives%20Considered.pdf</w:t>
        </w:r>
      </w:hyperlink>
    </w:p>
    <w:bookmarkEnd w:id="57"/>
    <w:bookmarkStart w:id="5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5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59"/>
    <w:bookmarkStart w:id="61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60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61"/>
    <w:bookmarkStart w:id="63" w:name="ref-otc2016circulation"/>
    <w:p>
      <w:pPr>
        <w:pStyle w:val="Bibliography"/>
      </w:pPr>
      <w:r>
        <w:t xml:space="preserve">Office des transports du Canada. (2016).</w:t>
      </w:r>
      <w:r>
        <w:t xml:space="preserve"> </w:t>
      </w:r>
      <w:r>
        <w:rPr>
          <w:i/>
          <w:iCs/>
        </w:rPr>
        <w:t xml:space="preserve">Différends sur les droits de circulation et sur l’usage commun des voies</w:t>
      </w:r>
      <w:r>
        <w:t xml:space="preserve">. Gouvernement du Canada.</w:t>
      </w:r>
      <w:r>
        <w:t xml:space="preserve"> </w:t>
      </w:r>
      <w:hyperlink r:id="rId62">
        <w:r>
          <w:rPr>
            <w:rStyle w:val="Hyperlink"/>
          </w:rPr>
          <w:t xml:space="preserve">https://otc-cta.gc.ca/fra/differends-sur-droits-circulation-et-sur-lusage-commun-des-voies</w:t>
        </w:r>
      </w:hyperlink>
    </w:p>
    <w:bookmarkEnd w:id="63"/>
    <w:bookmarkStart w:id="65" w:name="ref-orr2021cadre"/>
    <w:p>
      <w:pPr>
        <w:pStyle w:val="Bibliography"/>
      </w:pPr>
      <w:r>
        <w:t xml:space="preserve">Office of Rail and Road. (2021).</w:t>
      </w:r>
      <w:r>
        <w:t xml:space="preserve"> </w:t>
      </w:r>
      <w:r>
        <w:rPr>
          <w:i/>
          <w:iCs/>
        </w:rPr>
        <w:t xml:space="preserve">The Statutory and Contractual Framework</w:t>
      </w:r>
      <w:r>
        <w:t xml:space="preserve"> </w:t>
      </w:r>
      <w:r>
        <w:t xml:space="preserve">[Module d'orientation sur l'acc\`es au r\'eseau]. Office of Rail; Road.</w:t>
      </w:r>
      <w:r>
        <w:t xml:space="preserve"> </w:t>
      </w:r>
      <w:hyperlink r:id="rId64">
        <w:r>
          <w:rPr>
            <w:rStyle w:val="Hyperlink"/>
          </w:rPr>
          <w:t xml:space="preserve">https://www.orr.gov.uk/sites/default/files/2021-07/guidance-on-the-statutory-and-contractual-framework.pdf</w:t>
        </w:r>
      </w:hyperlink>
    </w:p>
    <w:bookmarkEnd w:id="65"/>
    <w:bookmarkStart w:id="67" w:name="ref-orr2025wcml"/>
    <w:p>
      <w:pPr>
        <w:pStyle w:val="Bibliography"/>
      </w:pPr>
      <w:r>
        <w:t xml:space="preserve">Office of Rail and Road. (2025).</w:t>
      </w:r>
      <w:r>
        <w:t xml:space="preserve"> </w:t>
      </w:r>
      <w:r>
        <w:rPr>
          <w:i/>
          <w:iCs/>
        </w:rPr>
        <w:t xml:space="preserve">Applications for Access to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WCML</w:t>
      </w:r>
      <w:r>
        <w:rPr>
          <w:i/>
          <w:iCs/>
        </w:rPr>
        <w:t xml:space="preserve">): Decision Letter</w:t>
      </w:r>
      <w:r>
        <w:t xml:space="preserve"> </w:t>
      </w:r>
      <w:r>
        <w:t xml:space="preserve">[Lettre de d\'ecision]. Office of Rail; Road.</w:t>
      </w:r>
      <w:r>
        <w:t xml:space="preserve"> </w:t>
      </w:r>
      <w:hyperlink r:id="rId66">
        <w:r>
          <w:rPr>
            <w:rStyle w:val="Hyperlink"/>
          </w:rPr>
          <w:t xml:space="preserve">https://www.orr.gov.uk/sites/default/files/2025-07/2025-07-03-applications-for-access-to-the-west-coast-main-line-decision.pdf</w:t>
        </w:r>
      </w:hyperlink>
    </w:p>
    <w:bookmarkEnd w:id="67"/>
    <w:bookmarkStart w:id="69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68">
        <w:r>
          <w:rPr>
            <w:rStyle w:val="Hyperlink"/>
          </w:rPr>
          <w:t xml:space="preserve">https://download.geofabrik.de/</w:t>
        </w:r>
      </w:hyperlink>
    </w:p>
    <w:bookmarkEnd w:id="69"/>
    <w:bookmarkStart w:id="71" w:name="ref-ltc1996art138"/>
    <w:p>
      <w:pPr>
        <w:pStyle w:val="Bibliography"/>
      </w:pPr>
      <w:r>
        <w:t xml:space="preserve">Parlement du Canada. (1996).</w:t>
      </w:r>
      <w:r>
        <w:t xml:space="preserve"> </w:t>
      </w:r>
      <w:r>
        <w:rPr>
          <w:i/>
          <w:iCs/>
        </w:rPr>
        <w:t xml:space="preserve">Loi sur les transports au</w:t>
      </w:r>
      <w:r>
        <w:rPr>
          <w:i/>
          <w:iCs/>
        </w:rPr>
        <w:t xml:space="preserve"> </w:t>
      </w:r>
      <w:r>
        <w:rPr>
          <w:i/>
          <w:iCs/>
        </w:rPr>
        <w:t xml:space="preserve">Canada</w:t>
      </w:r>
      <w:r>
        <w:rPr>
          <w:i/>
          <w:iCs/>
        </w:rPr>
        <w:t xml:space="preserve">, L.C. 1996, ch. 10, art. 138 : droits de circulation</w:t>
      </w:r>
      <w:r>
        <w:t xml:space="preserve">. Site Web de la législation (Justice Canada).</w:t>
      </w:r>
      <w:r>
        <w:t xml:space="preserve"> </w:t>
      </w:r>
      <w:hyperlink r:id="rId70">
        <w:r>
          <w:rPr>
            <w:rStyle w:val="Hyperlink"/>
          </w:rPr>
          <w:t xml:space="preserve">https://laws-lois.justice.gc.ca/fra/lois/c-10.4/section-138.html</w:t>
        </w:r>
      </w:hyperlink>
    </w:p>
    <w:bookmarkEnd w:id="71"/>
    <w:bookmarkStart w:id="73" w:name="ref-railwaysact1993"/>
    <w:p>
      <w:pPr>
        <w:pStyle w:val="Bibliography"/>
      </w:pPr>
      <w:r>
        <w:t xml:space="preserve">Parlement du Royaume-Uni. (1993).</w:t>
      </w:r>
      <w:r>
        <w:t xml:space="preserve"> </w:t>
      </w:r>
      <w:r>
        <w:rPr>
          <w:i/>
          <w:iCs/>
        </w:rPr>
        <w:t xml:space="preserve">Railways Act 1993, c. 43, art. 17–22A : access agreements</w:t>
      </w:r>
      <w:r>
        <w:t xml:space="preserve">. legislation.gov.uk, version révisée.</w:t>
      </w:r>
      <w:r>
        <w:t xml:space="preserve"> </w:t>
      </w:r>
      <w:hyperlink r:id="rId72">
        <w:r>
          <w:rPr>
            <w:rStyle w:val="Hyperlink"/>
          </w:rPr>
          <w:t xml:space="preserve">https://www.legislation.gov.uk/ukpga/1993/43/section/17</w:t>
        </w:r>
      </w:hyperlink>
    </w:p>
    <w:bookmarkEnd w:id="73"/>
    <w:bookmarkStart w:id="75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https://journals.aau.dk/index.php/td/article/download/5554/4887</w:t>
        </w:r>
      </w:hyperlink>
    </w:p>
    <w:bookmarkEnd w:id="75"/>
    <w:bookmarkStart w:id="77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76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77"/>
    <w:bookmarkStart w:id="79" w:name="ref-sogin2013doublement"/>
    <w:p>
      <w:pPr>
        <w:pStyle w:val="Bibliography"/>
      </w:pPr>
      <w:r>
        <w:t xml:space="preserve">Sogin, S. L., Dick, C. T., Lai, Y.-C., &amp; Barkan, C. P. L. (2013). Analyzing the Incremental Transition from Single to Double Track Railway Lines.</w:t>
      </w:r>
      <w:r>
        <w:t xml:space="preserve"> </w:t>
      </w:r>
      <w:r>
        <w:rPr>
          <w:i/>
          <w:iCs/>
        </w:rPr>
        <w:t xml:space="preserve">Proceedings of the IAROR 5th International Seminar on Railway Operations Modelling and Analysis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https://railtec.illinois.edu/wp/wp-content/uploads/2019/01/Sogin%20et%20al%202013b%20IAROR.pdf</w:t>
        </w:r>
      </w:hyperlink>
    </w:p>
    <w:bookmarkEnd w:id="79"/>
    <w:bookmarkStart w:id="81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80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81"/>
    <w:bookmarkStart w:id="83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82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83"/>
    <w:bookmarkStart w:id="85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84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85"/>
    <w:bookmarkStart w:id="87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86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87"/>
    <w:bookmarkStart w:id="88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88"/>
    <w:bookmarkStart w:id="90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89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90"/>
    <w:bookmarkStart w:id="92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92"/>
    <w:bookmarkStart w:id="94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94"/>
    <w:bookmarkStart w:id="96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95">
        <w:r>
          <w:rPr>
            <w:rStyle w:val="Hyperlink"/>
          </w:rPr>
          <w:t xml:space="preserve">https://www.viarail.ca/fr/developpeurs</w:t>
        </w:r>
      </w:hyperlink>
    </w:p>
    <w:bookmarkEnd w:id="96"/>
    <w:bookmarkStart w:id="98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2" Type="http://schemas.openxmlformats.org/officeDocument/2006/relationships/image" Target="media/rId12.png"/><Relationship Id="rId9" Type="http://schemas.openxmlformats.org/officeDocument/2006/relationships/image" Target="media/rId9.png"/><Relationship Id="rId35" Type="http://schemas.openxmlformats.org/officeDocument/2006/relationships/hyperlink" Target="https://amtrakoig.gov/sites/default/files/reports/OIG-A-2020-001%20OTP%20mandate.pdf" TargetMode="External"/><Relationship Id="rId80" Type="http://schemas.openxmlformats.org/officeDocument/2006/relationships/hyperlink" Target="https://bransch.trafikverket.se/contentassets/6526f430ae7f489aae8e88c06f2eef6b/jnb-2027-2025-12-05.pdf" TargetMode="External"/><Relationship Id="rId46" Type="http://schemas.openxmlformats.org/officeDocument/2006/relationships/hyperlink" Target="https://doi.org/10.1177/0361198119841852" TargetMode="External"/><Relationship Id="rId68" Type="http://schemas.openxmlformats.org/officeDocument/2006/relationships/hyperlink" Target="https://download.geofabrik.de/" TargetMode="External"/><Relationship Id="rId97" Type="http://schemas.openxmlformats.org/officeDocument/2006/relationships/hyperlink" Target="https://en.wikipedia.org/wiki/West_Coast_Main_Line_route_modernisation" TargetMode="External"/><Relationship Id="rId37" Type="http://schemas.openxmlformats.org/officeDocument/2006/relationships/hyperlink" Target="https://exporail.org/canrail/canadian_rail_1962_1989/canadian-rail-296-1976.pdf" TargetMode="External"/><Relationship Id="rId58" Type="http://schemas.openxmlformats.org/officeDocument/2006/relationships/hyperlink" Target="https://globalnews.ca/news/10868587/via-rail-judicial-review-cn-rail-speed-restrictions/" TargetMode="External"/><Relationship Id="rId74" Type="http://schemas.openxmlformats.org/officeDocument/2006/relationships/hyperlink" Target="https://journals.aau.dk/index.php/td/article/download/5554/4887" TargetMode="External"/><Relationship Id="rId70" Type="http://schemas.openxmlformats.org/officeDocument/2006/relationships/hyperlink" Target="https://laws-lois.justice.gc.ca/fra/lois/c-10.4/section-138.html" TargetMode="External"/><Relationship Id="rId93" Type="http://schemas.openxmlformats.org/officeDocument/2006/relationships/hyperlink" Target="https://media.viarail.ca/sites/default/files/publications/2025_VIA-Rail_First-Quarter-Report.pdf" TargetMode="External"/><Relationship Id="rId91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tc-cta.gc.ca/fra/differends-sur-droits-circulation-et-sur-lusage-commun-des-voies" TargetMode="External"/><Relationship Id="rId84" Type="http://schemas.openxmlformats.org/officeDocument/2006/relationships/hyperlink" Target="https://ouvert.canada.ca/data/fr/dataset/d0f54727-6c0b-4e5a-aa04-ea1463cf9f4c" TargetMode="External"/><Relationship Id="rId54" Type="http://schemas.openxmlformats.org/officeDocument/2006/relationships/hyperlink" Target="https://railroads.dot.gov/research-development/program-areas/train-control/ptc/incremental-train-control-system" TargetMode="External"/><Relationship Id="rId56" Type="http://schemas.openxmlformats.org/officeDocument/2006/relationships/hyperlink" Target="https://railroads.dot.gov/sites/fra.dot.gov/files/fra_net/17118/Chapter%202%20Alternatives%20Considered.pdf" TargetMode="External"/><Relationship Id="rId52" Type="http://schemas.openxmlformats.org/officeDocument/2006/relationships/hyperlink" Target="https://railroads.dot.gov/sites/fra.dot.gov/files/fra_net/17524/ptc_ben_cost_report.pdf" TargetMode="External"/><Relationship Id="rId50" Type="http://schemas.openxmlformats.org/officeDocument/2006/relationships/hyperlink" Target="https://railroads.dot.gov/sites/fra.dot.gov/files/fra_net/19085/Superelevation.pdf" TargetMode="External"/><Relationship Id="rId41" Type="http://schemas.openxmlformats.org/officeDocument/2006/relationships/hyperlink" Target="https://railroads.dot.gov/sites/fra.dot.gov/files/fra_net/300/ord0917.pdf" TargetMode="External"/><Relationship Id="rId78" Type="http://schemas.openxmlformats.org/officeDocument/2006/relationships/hyperlink" Target="https://railtec.illinois.edu/wp/wp-content/uploads/2019/01/Sogin%20et%20al%202013b%20IAROR.pdf" TargetMode="External"/><Relationship Id="rId39" Type="http://schemas.openxmlformats.org/officeDocument/2006/relationships/hyperlink" Target="https://spacing.ca/toronto/2015/12/09/53711/" TargetMode="External"/><Relationship Id="rId86" Type="http://schemas.openxmlformats.org/officeDocument/2006/relationships/hyperlink" Target="https://tc.canada.ca/en/binder/3-pic-operating-restrictions-via-rail-quebec-city-windsor-corridor" TargetMode="External"/><Relationship Id="rId82" Type="http://schemas.openxmlformats.org/officeDocument/2006/relationships/hyperlink" Target="https://tc.canada.ca/en/rail-transportation/rules/2022-2023/rules-respecting-track-safety/subpart-c" TargetMode="External"/><Relationship Id="rId33" Type="http://schemas.openxmlformats.org/officeDocument/2006/relationships/hyperlink" Target="https://www.altotrain.ca/en/about-alto" TargetMode="External"/><Relationship Id="rId44" Type="http://schemas.openxmlformats.org/officeDocument/2006/relationships/hyperlink" Target="https://www.cbc.ca/news/canada/ottawa/via-montreal-toronto-pilot-that-skipped-eastern-ontario-postponed-1.7646512" TargetMode="External"/><Relationship Id="rId48" Type="http://schemas.openxmlformats.org/officeDocument/2006/relationships/hyperlink" Target="https://www.ecfr.gov/current/title-49/section-213.347" TargetMode="External"/><Relationship Id="rId72" Type="http://schemas.openxmlformats.org/officeDocument/2006/relationships/hyperlink" Target="https://www.legislation.gov.uk/ukpga/1993/43/section/17" TargetMode="External"/><Relationship Id="rId60" Type="http://schemas.openxmlformats.org/officeDocument/2006/relationships/hyperlink" Target="https://www.nao.org.uk/reports/the-modernisation-of-the-west-coast-main-line/" TargetMode="External"/><Relationship Id="rId64" Type="http://schemas.openxmlformats.org/officeDocument/2006/relationships/hyperlink" Target="https://www.orr.gov.uk/sites/default/files/2021-07/guidance-on-the-statutory-and-contractual-framework.pdf" TargetMode="External"/><Relationship Id="rId66" Type="http://schemas.openxmlformats.org/officeDocument/2006/relationships/hyperlink" Target="https://www.orr.gov.uk/sites/default/files/2025-07/2025-07-03-applications-for-access-to-the-west-coast-main-line-decision.pdf" TargetMode="External"/><Relationship Id="rId76" Type="http://schemas.openxmlformats.org/officeDocument/2006/relationships/hyperlink" Target="https://www.sncf-reseau.com/medias-publics/2023-12/DRR2025-annexe-4-1.pdf" TargetMode="External"/><Relationship Id="rId95" Type="http://schemas.openxmlformats.org/officeDocument/2006/relationships/hyperlink" Target="https://www.viarail.ca/fr/developpeurs" TargetMode="External"/><Relationship Id="rId89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amtrakoig.gov/sites/default/files/reports/OIG-A-2020-001%20OTP%20mandate.pdf" TargetMode="External"/><Relationship Id="rId80" Type="http://schemas.openxmlformats.org/officeDocument/2006/relationships/hyperlink" Target="https://bransch.trafikverket.se/contentassets/6526f430ae7f489aae8e88c06f2eef6b/jnb-2027-2025-12-05.pdf" TargetMode="External"/><Relationship Id="rId46" Type="http://schemas.openxmlformats.org/officeDocument/2006/relationships/hyperlink" Target="https://doi.org/10.1177/0361198119841852" TargetMode="External"/><Relationship Id="rId68" Type="http://schemas.openxmlformats.org/officeDocument/2006/relationships/hyperlink" Target="https://download.geofabrik.de/" TargetMode="External"/><Relationship Id="rId97" Type="http://schemas.openxmlformats.org/officeDocument/2006/relationships/hyperlink" Target="https://en.wikipedia.org/wiki/West_Coast_Main_Line_route_modernisation" TargetMode="External"/><Relationship Id="rId37" Type="http://schemas.openxmlformats.org/officeDocument/2006/relationships/hyperlink" Target="https://exporail.org/canrail/canadian_rail_1962_1989/canadian-rail-296-1976.pdf" TargetMode="External"/><Relationship Id="rId58" Type="http://schemas.openxmlformats.org/officeDocument/2006/relationships/hyperlink" Target="https://globalnews.ca/news/10868587/via-rail-judicial-review-cn-rail-speed-restrictions/" TargetMode="External"/><Relationship Id="rId74" Type="http://schemas.openxmlformats.org/officeDocument/2006/relationships/hyperlink" Target="https://journals.aau.dk/index.php/td/article/download/5554/4887" TargetMode="External"/><Relationship Id="rId70" Type="http://schemas.openxmlformats.org/officeDocument/2006/relationships/hyperlink" Target="https://laws-lois.justice.gc.ca/fra/lois/c-10.4/section-138.html" TargetMode="External"/><Relationship Id="rId93" Type="http://schemas.openxmlformats.org/officeDocument/2006/relationships/hyperlink" Target="https://media.viarail.ca/sites/default/files/publications/2025_VIA-Rail_First-Quarter-Report.pdf" TargetMode="External"/><Relationship Id="rId91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tc-cta.gc.ca/fra/differends-sur-droits-circulation-et-sur-lusage-commun-des-voies" TargetMode="External"/><Relationship Id="rId84" Type="http://schemas.openxmlformats.org/officeDocument/2006/relationships/hyperlink" Target="https://ouvert.canada.ca/data/fr/dataset/d0f54727-6c0b-4e5a-aa04-ea1463cf9f4c" TargetMode="External"/><Relationship Id="rId54" Type="http://schemas.openxmlformats.org/officeDocument/2006/relationships/hyperlink" Target="https://railroads.dot.gov/research-development/program-areas/train-control/ptc/incremental-train-control-system" TargetMode="External"/><Relationship Id="rId56" Type="http://schemas.openxmlformats.org/officeDocument/2006/relationships/hyperlink" Target="https://railroads.dot.gov/sites/fra.dot.gov/files/fra_net/17118/Chapter%202%20Alternatives%20Considered.pdf" TargetMode="External"/><Relationship Id="rId52" Type="http://schemas.openxmlformats.org/officeDocument/2006/relationships/hyperlink" Target="https://railroads.dot.gov/sites/fra.dot.gov/files/fra_net/17524/ptc_ben_cost_report.pdf" TargetMode="External"/><Relationship Id="rId50" Type="http://schemas.openxmlformats.org/officeDocument/2006/relationships/hyperlink" Target="https://railroads.dot.gov/sites/fra.dot.gov/files/fra_net/19085/Superelevation.pdf" TargetMode="External"/><Relationship Id="rId41" Type="http://schemas.openxmlformats.org/officeDocument/2006/relationships/hyperlink" Target="https://railroads.dot.gov/sites/fra.dot.gov/files/fra_net/300/ord0917.pdf" TargetMode="External"/><Relationship Id="rId78" Type="http://schemas.openxmlformats.org/officeDocument/2006/relationships/hyperlink" Target="https://railtec.illinois.edu/wp/wp-content/uploads/2019/01/Sogin%20et%20al%202013b%20IAROR.pdf" TargetMode="External"/><Relationship Id="rId39" Type="http://schemas.openxmlformats.org/officeDocument/2006/relationships/hyperlink" Target="https://spacing.ca/toronto/2015/12/09/53711/" TargetMode="External"/><Relationship Id="rId86" Type="http://schemas.openxmlformats.org/officeDocument/2006/relationships/hyperlink" Target="https://tc.canada.ca/en/binder/3-pic-operating-restrictions-via-rail-quebec-city-windsor-corridor" TargetMode="External"/><Relationship Id="rId82" Type="http://schemas.openxmlformats.org/officeDocument/2006/relationships/hyperlink" Target="https://tc.canada.ca/en/rail-transportation/rules/2022-2023/rules-respecting-track-safety/subpart-c" TargetMode="External"/><Relationship Id="rId33" Type="http://schemas.openxmlformats.org/officeDocument/2006/relationships/hyperlink" Target="https://www.altotrain.ca/en/about-alto" TargetMode="External"/><Relationship Id="rId44" Type="http://schemas.openxmlformats.org/officeDocument/2006/relationships/hyperlink" Target="https://www.cbc.ca/news/canada/ottawa/via-montreal-toronto-pilot-that-skipped-eastern-ontario-postponed-1.7646512" TargetMode="External"/><Relationship Id="rId48" Type="http://schemas.openxmlformats.org/officeDocument/2006/relationships/hyperlink" Target="https://www.ecfr.gov/current/title-49/section-213.347" TargetMode="External"/><Relationship Id="rId72" Type="http://schemas.openxmlformats.org/officeDocument/2006/relationships/hyperlink" Target="https://www.legislation.gov.uk/ukpga/1993/43/section/17" TargetMode="External"/><Relationship Id="rId60" Type="http://schemas.openxmlformats.org/officeDocument/2006/relationships/hyperlink" Target="https://www.nao.org.uk/reports/the-modernisation-of-the-west-coast-main-line/" TargetMode="External"/><Relationship Id="rId64" Type="http://schemas.openxmlformats.org/officeDocument/2006/relationships/hyperlink" Target="https://www.orr.gov.uk/sites/default/files/2021-07/guidance-on-the-statutory-and-contractual-framework.pdf" TargetMode="External"/><Relationship Id="rId66" Type="http://schemas.openxmlformats.org/officeDocument/2006/relationships/hyperlink" Target="https://www.orr.gov.uk/sites/default/files/2025-07/2025-07-03-applications-for-access-to-the-west-coast-main-line-decision.pdf" TargetMode="External"/><Relationship Id="rId76" Type="http://schemas.openxmlformats.org/officeDocument/2006/relationships/hyperlink" Target="https://www.sncf-reseau.com/medias-publics/2023-12/DRR2025-annexe-4-1.pdf" TargetMode="External"/><Relationship Id="rId95" Type="http://schemas.openxmlformats.org/officeDocument/2006/relationships/hyperlink" Target="https://www.viarail.ca/fr/developpeurs" TargetMode="External"/><Relationship Id="rId89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2026-08-17T23:33:07Z</dcterms:created>
  <dcterms:modified xsi:type="dcterms:W3CDTF">2026-08-17T23:33:07Z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du scénario recommandé, et ce qui les retient : géométrie, passages à niveau, signalisation, doublement et régime de cohabitation</vt:lpwstr>
  </property>
</Properties>
</file>