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Québec-Windsor : ce que la voie existante permet</w:t>
      </w:r>
    </w:p>
    <w:p>
      <w:pPr>
        <w:pStyle w:val="Subtitle"/>
      </w:pPr>
      <w:r>
        <w:t xml:space="preserve">Temps de parcours par scénario de modernisation,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François Rebello [AUTEUR À COMPLÉTER]</w:t>
      </w:r>
    </w:p>
    <w:p>
      <w:pPr>
        <w:pStyle w:val="Date"/>
      </w:pPr>
      <w:r>
        <w:t xml:space="preserve">Brouillon, août 2026</w:t>
      </w:r>
    </w:p>
    <w:bookmarkStart w:id="9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se lit dans une seule table, construite en additionnant quatre choses</w:t>
      </w:r>
      <w:r>
        <w:t xml:space="preserve"> </w:t>
      </w:r>
      <w:r>
        <w:t xml:space="preserve">que l’on peut compter : le temps que les courbes permettent, le temps des zones urbaines</w:t>
      </w:r>
      <w:r>
        <w:t xml:space="preserve"> </w:t>
      </w:r>
      <w:r>
        <w:t xml:space="preserve">(figé à l’horaire actuel), le temps des arrêts, et une marge d’exploitation que l’étude</w:t>
      </w:r>
      <w:r>
        <w:t xml:space="preserve"> </w:t>
      </w:r>
      <w:r>
        <w:t xml:space="preserve">encadre entre deux bornes au lieu de la deviner.</w:t>
      </w:r>
    </w:p>
    <w:p>
      <w:pPr>
        <w:pStyle w:val="BodyText"/>
      </w:pPr>
      <w:r>
        <w:t xml:space="preserve">Trois scénarios de matériel et de voie (détail en section 3) :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est la voie et le</w:t>
      </w:r>
      <w:r>
        <w:t xml:space="preserve"> </w:t>
      </w:r>
      <w:r>
        <w:t xml:space="preserve">train d’aujourd’hui ;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est un train pendulaire exploité selon la méthode que le CN</w:t>
      </w:r>
      <w:r>
        <w:t xml:space="preserve"> </w:t>
      </w:r>
      <w:r>
        <w:t xml:space="preserve">applique déjà à ce type de train, avec le dévers maximal standard du CN (aucune dérogation</w:t>
      </w:r>
      <w:r>
        <w:t xml:space="preserve"> </w:t>
      </w:r>
      <w:r>
        <w:t xml:space="preserve">nécessaire) ;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est un pendulaire moderne plus performant, qui sort du précédent</w:t>
      </w:r>
      <w:r>
        <w:t xml:space="preserve"> </w:t>
      </w:r>
      <w:r>
        <w:t xml:space="preserve">nord-américain et demanderait une approbation par équipement. La « bande » est le plafond</w:t>
      </w:r>
      <w:r>
        <w:t xml:space="preserve"> </w:t>
      </w:r>
      <w:r>
        <w:t xml:space="preserve">de vitesse qu’on s’autorise à exploiter (200 km/h exige de traiter les passages à niveau et</w:t>
      </w:r>
      <w:r>
        <w:t xml:space="preserve"> </w:t>
      </w:r>
      <w:r>
        <w:t xml:space="preserve">la signalisation ; 250 et plus exige de les éliminer, voir sections 5 et 6).</w:t>
      </w:r>
    </w:p>
    <w:p>
      <w:pPr>
        <w:pStyle w:val="BodyText"/>
      </w:pPr>
      <w:r>
        <w:rPr>
          <w:b/>
          <w:bCs/>
        </w:rPr>
        <w:t xml:space="preserve">Temps Montréal-Toronto (539 km).</w:t>
      </w:r>
      <w:r>
        <w:t xml:space="preserve"> </w:t>
      </w:r>
      <w:r>
        <w:t xml:space="preserve">Horaire actuel : 5 h 18. Le « temps de base »</w:t>
      </w:r>
      <w:r>
        <w:t xml:space="preserve"> </w:t>
      </w:r>
      <w:r>
        <w:t xml:space="preserve">est le temps calculé sans marge (courbes + zones urbaines figées + arrêts) ; la</w:t>
      </w:r>
      <w:r>
        <w:t xml:space="preserve"> </w:t>
      </w:r>
      <w:r>
        <w:t xml:space="preserve">fourchette applique la marge, de la borne normative (9 %) à la marge actuelle du tronçon.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 × bande</w:t>
            </w:r>
          </w:p>
        </w:tc>
        <w:tc>
          <w:tcPr/>
          <w:p>
            <w:pPr>
              <w:pStyle w:val="Compact"/>
            </w:pPr>
            <w:r>
              <w:t xml:space="preserve">Temps de base</w:t>
            </w:r>
          </w:p>
        </w:tc>
        <w:tc>
          <w:tcPr/>
          <w:p>
            <w:pPr>
              <w:pStyle w:val="Compact"/>
            </w:pPr>
            <w:r>
              <w:t xml:space="preserve">Avec marge (fourchette)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S2, bande 200 km/h</w:t>
            </w:r>
          </w:p>
        </w:tc>
        <w:tc>
          <w:tcPr/>
          <w:p>
            <w:pPr>
              <w:pStyle w:val="Compact"/>
            </w:pPr>
            <w:r>
              <w:t xml:space="preserve">4 h 00</w:t>
            </w:r>
          </w:p>
        </w:tc>
        <w:tc>
          <w:tcPr/>
          <w:p>
            <w:pPr>
              <w:pStyle w:val="Compact"/>
            </w:pPr>
            <w:r>
              <w:t xml:space="preserve">4 h 21 à 4 h 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S3, bande 250 km/h</w:t>
            </w:r>
          </w:p>
        </w:tc>
        <w:tc>
          <w:tcPr/>
          <w:p>
            <w:pPr>
              <w:pStyle w:val="Compact"/>
            </w:pPr>
            <w:r>
              <w:t xml:space="preserve">3 h 30</w:t>
            </w:r>
          </w:p>
        </w:tc>
        <w:tc>
          <w:tcPr/>
          <w:p>
            <w:pPr>
              <w:pStyle w:val="Compact"/>
            </w:pPr>
            <w:r>
              <w:t xml:space="preserve">3 h 49 à 4 h 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S3, bande 300 km/h</w:t>
            </w:r>
          </w:p>
        </w:tc>
        <w:tc>
          <w:tcPr/>
          <w:p>
            <w:pPr>
              <w:pStyle w:val="Compact"/>
            </w:pPr>
            <w:r>
              <w:t xml:space="preserve">3 h 15</w:t>
            </w:r>
          </w:p>
        </w:tc>
        <w:tc>
          <w:tcPr/>
          <w:p>
            <w:pPr>
              <w:pStyle w:val="Compact"/>
            </w:pPr>
            <w:r>
              <w:t xml:space="preserve">3 h 32 à 3 h 43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Montréal-Québec (270 km).</w:t>
      </w:r>
      <w:r>
        <w:t xml:space="preserve"> </w:t>
      </w:r>
      <w:r>
        <w:t xml:space="preserve">Horaire actuel : 3 h 23.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 × bande</w:t>
            </w:r>
          </w:p>
        </w:tc>
        <w:tc>
          <w:tcPr/>
          <w:p>
            <w:pPr>
              <w:pStyle w:val="Compact"/>
            </w:pPr>
            <w:r>
              <w:t xml:space="preserve">Temps de base</w:t>
            </w:r>
          </w:p>
        </w:tc>
        <w:tc>
          <w:tcPr/>
          <w:p>
            <w:pPr>
              <w:pStyle w:val="Compact"/>
            </w:pPr>
            <w:r>
              <w:t xml:space="preserve">Avec marge (fourchette)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S2, bande 200 km/h</w:t>
            </w:r>
          </w:p>
        </w:tc>
        <w:tc>
          <w:tcPr/>
          <w:p>
            <w:pPr>
              <w:pStyle w:val="Compact"/>
            </w:pPr>
            <w:r>
              <w:t xml:space="preserve">2 h 12</w:t>
            </w:r>
          </w:p>
        </w:tc>
        <w:tc>
          <w:tcPr/>
          <w:p>
            <w:pPr>
              <w:pStyle w:val="Compact"/>
            </w:pPr>
            <w:r>
              <w:t xml:space="preserve">2 h 24 à 2 h 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S3, bande 250 km/h</w:t>
            </w:r>
          </w:p>
        </w:tc>
        <w:tc>
          <w:tcPr/>
          <w:p>
            <w:pPr>
              <w:pStyle w:val="Compact"/>
            </w:pPr>
            <w:r>
              <w:t xml:space="preserve">1 h 58</w:t>
            </w:r>
          </w:p>
        </w:tc>
        <w:tc>
          <w:tcPr/>
          <w:p>
            <w:pPr>
              <w:pStyle w:val="Compact"/>
            </w:pPr>
            <w:r>
              <w:t xml:space="preserve">2 h 09 à 2 h 37</w:t>
            </w:r>
          </w:p>
        </w:tc>
      </w:tr>
    </w:tbl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 (9 pour cent du temps de parcours aux vitesses de 200 km/h et plus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 borne haute est la marge que l’horaire actuel de VIA porte</w:t>
      </w:r>
      <w:r>
        <w:t xml:space="preserve"> </w:t>
      </w:r>
      <w:r>
        <w:t xml:space="preserve">aujourd’hui sur le tronçon concerné (mesurée dans cette étude : de 14 pour cent sur</w:t>
      </w:r>
      <w:r>
        <w:t xml:space="preserve"> </w:t>
      </w:r>
      <w:r>
        <w:t xml:space="preserve">Montréal-Toronto à 33 pour cent sur Montréal-Québec). La distance entre les deux bornes</w:t>
      </w:r>
      <w:r>
        <w:t xml:space="preserve"> </w:t>
      </w:r>
      <w:r>
        <w:t xml:space="preserve">est le coût du régime d’exploitation actuel ; la trancher est l’objet de l’étude de</w:t>
      </w:r>
      <w:r>
        <w:t xml:space="preserve"> </w:t>
      </w:r>
      <w:r>
        <w:t xml:space="preserve">circulation recommandée 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parcourues en 1 431 km de trajets) peut donner, ainsi que les cinq obstacles qui les retiennent et le prix réglementaire</w:t>
      </w:r>
      <w:r>
        <w:t xml:space="preserve"> </w:t>
      </w:r>
      <w:r>
        <w:t xml:space="preserve">de chacun. Les deux exercices sont complémentaires : on ne peut comparer les options</w:t>
      </w:r>
      <w:r>
        <w:t xml:space="preserve"> </w:t>
      </w:r>
      <w:r>
        <w:t xml:space="preserve">qu’en connaissant les deux.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un pendulaire moderne (S3),</w:t>
      </w:r>
      <w:r>
        <w:t xml:space="preserve"> </w:t>
      </w:r>
      <w:r>
        <w:t xml:space="preserve">il ne reste que 186 km (13 pour cent du réseau parcouru) dont les courbes interdisent</w:t>
      </w:r>
      <w:r>
        <w:t xml:space="preserve"> </w:t>
      </w:r>
      <w:r>
        <w:t xml:space="preserve">200 km/h, et plus aucun kilomètre sous 100 km/h. Même en restant dans le strict</w:t>
      </w:r>
      <w:r>
        <w:t xml:space="preserve"> </w:t>
      </w:r>
      <w:r>
        <w:t xml:space="preserve">précédent CN (S2), le résidu sous 200 km/h est de 267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l’obstacle réglementaire dominant au-dessus 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</w:t>
      </w:r>
      <w:r>
        <w:t xml:space="preserve"> : en scénario S3, 754 des 924 passages du corridor se trouvent sur des segments dont la</w:t>
      </w:r>
      <w:r>
        <w:t xml:space="preserve"> </w:t>
      </w:r>
      <w:r>
        <w:t xml:space="preserve">géométrie dépasserait ce seuil (695 en S2, 471 dès S1) ; le précédent américain y exige zéro passage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km/h, une superposition de contrôle en cabine de 161 à 200 (précédent tarifé au</w:t>
      </w:r>
      <w:r>
        <w:t xml:space="preserve"> </w:t>
      </w:r>
      <w:r>
        <w:t xml:space="preserve">Michigan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), un système intégral au-delà (c’est le devis d’Alto).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coûte environ 5 points de marge</w:t>
      </w:r>
      <w:r>
        <w:t xml:space="preserve"> </w:t>
      </w:r>
      <w:r>
        <w:t xml:space="preserve">quand VIA est propriétaire, environ 28 points quand le CN l’est (stable de 3 à 6 et</w:t>
      </w:r>
      <w:r>
        <w:t xml:space="preserve"> </w:t>
      </w:r>
      <w:r>
        <w:t xml:space="preserve">de 27 à 33 selon la pénalité d’arrêt testée). Le même instrument</w:t>
      </w:r>
      <w:r>
        <w:t xml:space="preserve"> </w:t>
      </w:r>
      <w:r>
        <w:t xml:space="preserve">montre ce que le doublement achète chez le CN : environ 28 points, soit une vingtaine</w:t>
      </w:r>
      <w:r>
        <w:t xml:space="preserve"> </w:t>
      </w:r>
      <w:r>
        <w:t xml:space="preserve">de minutes sur Montréal-Québec.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37 à 65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9"/>
    <w:bookmarkStart w:id="13" w:name="méthode-et-périmètre"/>
    <w:p>
      <w:pPr>
        <w:pStyle w:val="Heading1"/>
      </w:pPr>
      <w:r>
        <w:t xml:space="preserve">Méthode et périmètre</w:t>
      </w:r>
    </w:p>
    <w:bookmarkStart w:id="10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tronçon, pour une bande de vitesse et un scénario donnés, est</w:t>
      </w:r>
      <w:r>
        <w:t xml:space="preserve"> </w:t>
      </w:r>
      <w:r>
        <w:t xml:space="preserve">la somme de quatre termes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bande</m:t>
        </m:r>
        <m:r>
          <m:rPr>
            <m:sty m:val="p"/>
          </m:rPr>
          <m:t>)</m:t>
        </m:r>
      </m:oMath>
      <w:r>
        <w:t xml:space="preserve"> </w:t>
      </w:r>
      <w:r>
        <w:t xml:space="preserve">sur</w:t>
      </w:r>
      <w:r>
        <w:t xml:space="preserve"> </w:t>
      </w:r>
      <w:r>
        <w:t xml:space="preserve">l’interurbain.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 manquante 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Avec un</w:t>
      </w:r>
      <w:r>
        <w:t xml:space="preserve"> </w:t>
      </w:r>
      <w:r>
        <w:t xml:space="preserve">écartement effectif de 1 524 mm, cette formule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Cinq minutes par arrêt intermédiaire hors blocs urbains. C’est une</w:t>
      </w:r>
      <w:r>
        <w:t xml:space="preserve"> </w:t>
      </w:r>
      <w:r>
        <w:t xml:space="preserve">normalisation volontairement favorable : le pilote de train sans arrêt de septembre 2025</w:t>
      </w:r>
      <w:r>
        <w:t xml:space="preserve"> </w:t>
      </w:r>
      <w:r>
        <w:t xml:space="preserve">annonçait un gain de 30 à 40 minutes pour quatre arrêts sautés, soit 7,5 à 10 minutes par</w:t>
      </w:r>
      <w:r>
        <w:t xml:space="preserve"> </w:t>
      </w:r>
      <w:r>
        <w:t xml:space="preserve">arrêt en conditions réelles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0"/>
    <w:bookmarkStart w:id="11" w:name="les-données"/>
    <w:p>
      <w:pPr>
        <w:pStyle w:val="Heading2"/>
      </w:pPr>
      <w:r>
        <w:t xml:space="preserve">Les données</w:t>
      </w:r>
    </w:p>
    <w:p>
      <w:pPr>
        <w:pStyle w:val="FirstParagraph"/>
      </w:pPr>
      <w:r>
        <w:t xml:space="preserve">Géométrie : tracé VIA reconstruit par appariement des données d’horaires ouvertes de VIA (GTFS) sur le</w:t>
      </w:r>
      <w:r>
        <w:t xml:space="preserve"> </w:t>
      </w:r>
      <w:r>
        <w:t xml:space="preserve">graphe ferroviaire OpenStreetMap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;</w:t>
      </w:r>
      <w:r>
        <w:t xml:space="preserve"> 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, rayon de</w:t>
      </w:r>
      <w:r>
        <w:t xml:space="preserve"> </w:t>
      </w:r>
      <w:r>
        <w:t xml:space="preserve">courbure calculé tous les 10 mètres, validé par quatre passes de contre-vérification</w:t>
      </w:r>
      <w:r>
        <w:t xml:space="preserve"> </w:t>
      </w:r>
      <w:r>
        <w:t xml:space="preserve">indépendantes lors des phases antérieures du projet. Nombre de voies : détection</w:t>
      </w:r>
      <w:r>
        <w:t xml:space="preserve"> </w:t>
      </w:r>
      <w:r>
        <w:t xml:space="preserve">géométrique des voies parallèles dans OpenStreetMap, corroborée par les rapports du</w:t>
      </w:r>
      <w:r>
        <w:t xml:space="preserve"> </w:t>
      </w:r>
      <w:r>
        <w:t xml:space="preserve">Bureau de la sécurité des transports (l’écart entre un tronçon double détecté et le même</w:t>
      </w:r>
      <w:r>
        <w:t xml:space="preserve"> </w:t>
      </w:r>
      <w:r>
        <w:t xml:space="preserve">tronçon documenté par le BST est de 0,1 km sur 25). Passages à niveau : inventaire</w:t>
      </w:r>
      <w:r>
        <w:t xml:space="preserve"> </w:t>
      </w:r>
      <w:r>
        <w:t xml:space="preserve">officiel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. Horaires : flux GTFS de VIA,</w:t>
      </w:r>
      <w:r>
        <w:t xml:space="preserve"> </w:t>
      </w:r>
      <w:r>
        <w:t xml:space="preserve">saison 2026.</w:t>
      </w:r>
    </w:p>
    <w:bookmarkEnd w:id="11"/>
    <w:bookmarkStart w:id="12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 cantonnement fin, la simulation de</w:t>
      </w:r>
      <w:r>
        <w:t xml:space="preserve"> </w:t>
      </w:r>
      <w:r>
        <w:t xml:space="preserve">circulation (c’est l’étude à commander), les ponts, tunnels et l’état detaillé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6)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 ce qui devrait être vrai 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2"/>
    <w:bookmarkEnd w:id="13"/>
    <w:bookmarkStart w:id="14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trois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100 % précédent CN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 : pendulaire moderne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270 mm</w:t>
            </w:r>
          </w:p>
        </w:tc>
        <w:tc>
          <w:tcPr/>
          <w:p>
            <w:pPr>
              <w:pStyle w:val="Compact"/>
            </w:pPr>
            <w:r>
              <w:t xml:space="preserve">5,75</w:t>
            </w:r>
          </w:p>
        </w:tc>
        <w:tc>
          <w:tcPr/>
          <w:p>
            <w:pPr>
              <w:pStyle w:val="Compact"/>
            </w:pPr>
            <w:r>
              <w:t xml:space="preserve">hors précédent NA</w:t>
            </w:r>
          </w:p>
        </w:tc>
      </w:tr>
    </w:tbl>
    <w:p>
      <w:pPr>
        <w:pStyle w:val="BodyText"/>
      </w:pPr>
      <w:r>
        <w:t xml:space="preserve">Le dévers de S2 et S3 (127 mm, soit 5 pouces) est le maximum standard du CN pour trafic</w:t>
      </w:r>
      <w:r>
        <w:t xml:space="preserve"> </w:t>
      </w:r>
      <w:r>
        <w:t xml:space="preserve">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 fret. S1 porte</w:t>
      </w:r>
      <w:r>
        <w:t xml:space="preserve"> </w:t>
      </w:r>
      <w:r>
        <w:t xml:space="preserve">un dévers supposé (le réseau réel n’a pas été relevé), signalé comme tel partout.</w:t>
      </w:r>
    </w:p>
    <w:p>
      <w:pPr>
        <w:pStyle w:val="BodyText"/>
      </w:pPr>
      <w:r>
        <w:rPr>
          <w:b/>
          <w:bCs/>
        </w:rPr>
        <w:t xml:space="preserve">Ce que chaque scénario achète</w:t>
      </w:r>
      <w:r>
        <w:t xml:space="preserve">, en kilomètres de tracé dont le plafond géométrique</w:t>
      </w:r>
      <w:r>
        <w:t xml:space="preserve"> </w:t>
      </w:r>
      <w:r>
        <w:t xml:space="preserve">reste sous la cible (somme des quatre trajets analysés, 1 431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200 km/h (rectification requise pour la grande vitesse)</w:t>
            </w:r>
          </w:p>
        </w:tc>
        <w:tc>
          <w:tcPr/>
          <w:p>
            <w:pPr>
              <w:pStyle w:val="Compact"/>
            </w:pPr>
            <w:r>
              <w:t xml:space="preserve">620 km</w:t>
            </w:r>
          </w:p>
        </w:tc>
        <w:tc>
          <w:tcPr/>
          <w:p>
            <w:pPr>
              <w:pStyle w:val="Compact"/>
            </w:pPr>
            <w:r>
              <w:t xml:space="preserve">267 km</w:t>
            </w:r>
          </w:p>
        </w:tc>
        <w:tc>
          <w:tcPr/>
          <w:p>
            <w:pPr>
              <w:pStyle w:val="Compact"/>
            </w:pPr>
            <w:r>
              <w:t xml:space="preserve">186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</w:t>
            </w:r>
          </w:p>
        </w:tc>
        <w:tc>
          <w:tcPr/>
          <w:p>
            <w:pPr>
              <w:pStyle w:val="Compact"/>
            </w:pPr>
            <w:r>
              <w:t xml:space="preserve">326 km</w:t>
            </w:r>
          </w:p>
        </w:tc>
        <w:tc>
          <w:tcPr/>
          <w:p>
            <w:pPr>
              <w:pStyle w:val="Compact"/>
            </w:pPr>
            <w:r>
              <w:t xml:space="preserve">122 km</w:t>
            </w:r>
          </w:p>
        </w:tc>
        <w:tc>
          <w:tcPr/>
          <w:p>
            <w:pPr>
              <w:pStyle w:val="Compact"/>
            </w:pPr>
            <w:r>
              <w:t xml:space="preserve">59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(sections sévères)</w:t>
            </w:r>
          </w:p>
        </w:tc>
        <w:tc>
          <w:tcPr/>
          <w:p>
            <w:pPr>
              <w:pStyle w:val="Compact"/>
            </w:pPr>
            <w:r>
              <w:t xml:space="preserve">41 km</w:t>
            </w:r>
          </w:p>
        </w:tc>
        <w:tc>
          <w:tcPr/>
          <w:p>
            <w:pPr>
              <w:pStyle w:val="Compact"/>
            </w:pPr>
            <w:r>
              <w:t xml:space="preserve">18 km</w:t>
            </w:r>
          </w:p>
        </w:tc>
        <w:tc>
          <w:tcPr/>
          <w:p>
            <w:pPr>
              <w:pStyle w:val="Compact"/>
            </w:pPr>
            <w:r>
              <w:t xml:space="preserve">0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En S3, 87 pour cent du tracé atteint 200 km/h ou plus</w:t>
      </w:r>
      <w:r>
        <w:t xml:space="preserve"> </w:t>
      </w:r>
      <w:r>
        <w:t xml:space="preserve">sans toucher une seule courbe ; le résidu de 186 km est listé section par section dans</w:t>
      </w:r>
      <w:r>
        <w:t xml:space="preserve"> </w:t>
      </w:r>
      <w:r>
        <w:t xml:space="preserve">les annexes numériques du projet, avec le rayon à ouvrir pour chaque site.</w:t>
      </w:r>
    </w:p>
    <w:p>
      <w:pPr>
        <w:pStyle w:val="BodyText"/>
      </w:pPr>
      <w:r>
        <w:rPr>
          <w:b/>
          <w:bCs/>
        </w:rPr>
        <w:t xml:space="preserve">Ce qu’il faut dire honnêtement de S3.</w:t>
      </w:r>
      <w:r>
        <w:t xml:space="preserve"> </w:t>
      </w:r>
      <w:r>
        <w:t xml:space="preserve">Aucun matériel n’est exploité en Amérique du</w:t>
      </w:r>
      <w:r>
        <w:t xml:space="preserve"> </w:t>
      </w:r>
      <w:r>
        <w:t xml:space="preserve">Nord à 270 mm d’insuffisance ; la voie d’approbation existe (l’article 4.3 du règlement</w:t>
      </w:r>
      <w:r>
        <w:t xml:space="preserve"> </w:t>
      </w:r>
      <w:r>
        <w:t xml:space="preserve">canadien permet d’approuver un équipement désigné au-delà de 3 pouces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</w:t>
      </w:r>
      <w:r>
        <w:t xml:space="preserve"> </w:t>
      </w:r>
      <w:r>
        <w:t xml:space="preserve">mais elle reste à parcourir. Une position de repli à 225 mm est calculée en sensibilité</w:t>
      </w:r>
      <w:r>
        <w:t xml:space="preserve"> </w:t>
      </w:r>
      <w:r>
        <w:t xml:space="preserve">dans les annexes. Par ailleurs, la caisse pendulaire protège le passager, pas le rail :</w:t>
      </w:r>
      <w:r>
        <w:t xml:space="preserve"> </w:t>
      </w:r>
      <w:r>
        <w:t xml:space="preserve">les efforts en voie croissent avec la vitesse en courbe, ce qui implique un standard</w:t>
      </w:r>
      <w:r>
        <w:t xml:space="preserve"> </w:t>
      </w:r>
      <w:r>
        <w:t xml:space="preserve">d’entretien renforcé (un point de veto potentiel du propriétaire, et un coût récurrent).</w:t>
      </w:r>
      <w:r>
        <w:t xml:space="preserve"> </w:t>
      </w:r>
      <w:r>
        <w:t xml:space="preserve">L’histoire du LRC le rappelle : son système d’inclinaison, coûteux en entretien, a fini</w:t>
      </w:r>
      <w:r>
        <w:t xml:space="preserve"> </w:t>
      </w:r>
      <w:r>
        <w:t xml:space="preserve">désactivé puis retiré</w:t>
      </w:r>
      <w:r>
        <w:t xml:space="preserve"> </w:t>
      </w:r>
      <w:r>
        <w:t xml:space="preserve">(</w:t>
      </w:r>
      <w:hyperlink w:anchor="ref-wiki2025lrc">
        <w:r>
          <w:rPr>
            <w:rStyle w:val="Hyperlink"/>
          </w:rPr>
          <w:t xml:space="preserve">Wikipédia, 2025a</w:t>
        </w:r>
      </w:hyperlink>
      <w:r>
        <w:t xml:space="preserve">)</w:t>
      </w:r>
      <w:r>
        <w:t xml:space="preserve">. S2 reste, pour cette raison, le scénario pivot de</w:t>
      </w:r>
      <w:r>
        <w:t xml:space="preserve"> </w:t>
      </w:r>
      <w:r>
        <w:t xml:space="preserve">l’argumentaire : tout y tient dans la méthode que le CN applique déjà.</w:t>
      </w:r>
    </w:p>
    <w:bookmarkEnd w:id="14"/>
    <w:bookmarkStart w:id="18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15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km/h), rapporté à ce</w:t>
      </w:r>
      <w:r>
        <w:t xml:space="preserve"> </w:t>
      </w:r>
      <w:r>
        <w:t xml:space="preserve">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Paires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  <w:tc>
          <w:tcPr/>
          <w:p>
            <w:pPr>
              <w:pStyle w:val="Compact"/>
            </w:pPr>
            <w:r>
              <w:t xml:space="preserve">5 %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42 %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65 %</w:t>
            </w:r>
          </w:p>
        </w:tc>
        <w:tc>
          <w:tcPr/>
          <w:p>
            <w:pPr>
              <w:pStyle w:val="Compact"/>
            </w:pPr>
            <w:r>
              <w:t xml:space="preserve">21 %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BodyText"/>
      </w:pPr>
      <w:r>
        <w:t xml:space="preserve">Trois lignes, trois faits :</w:t>
      </w:r>
    </w:p>
    <w:p>
      <w:pPr>
        <w:pStyle w:val="BodyText"/>
      </w:pPr>
      <w:r>
        <w:rPr>
          <w:b/>
          <w:bCs/>
        </w:rPr>
        <w:t xml:space="preserve">Ce que le doublement achète, chez le CN</w:t>
      </w:r>
      <w:r>
        <w:t xml:space="preserve"> : environ 28 points de marge (65 contre 37),</w:t>
      </w:r>
      <w:r>
        <w:t xml:space="preserve"> </w:t>
      </w:r>
      <w:r>
        <w:t xml:space="preserve">soit une vingtaine de minutes sur Montréal-Québec. L’échantillon de voie simple CN est</w:t>
      </w:r>
      <w:r>
        <w:t xml:space="preserve"> </w:t>
      </w:r>
      <w:r>
        <w:t xml:space="preserve">mince (deux paires, celles du tronçon de Québec) : le chiffre se publie en fourchette,</w:t>
      </w:r>
      <w:r>
        <w:t xml:space="preserve"> </w:t>
      </w:r>
      <w:r>
        <w:t xml:space="preserve">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 : sous propriétaire VIA, la voie simple ne coûte qu’environ</w:t>
      </w:r>
      <w:r>
        <w:t xml:space="preserve"> </w:t>
      </w:r>
      <w:r>
        <w:t xml:space="preserve">5 points de marge par rapport à la voie double du CN ; sous propriétaire CN, elle en</w:t>
      </w:r>
      <w:r>
        <w:t xml:space="preserve"> </w:t>
      </w:r>
      <w:r>
        <w:t xml:space="preserve">coûte environ 28 (les fourchettes 3 à 6 et 27 à 33 couvrent les pénalités d’arrêt testées). Le rapport est d’environ sept pour un, et il résiste aux tests de</w:t>
      </w:r>
      <w:r>
        <w:t xml:space="preserve"> </w:t>
      </w:r>
      <w:r>
        <w:t xml:space="preserve">sensibilité (pénalité d’arrêt de 0 à 3 minutes par paire).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15"/>
    <w:bookmarkStart w:id="16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(95 km/h de moyenne, voie entretenue à 100 mi/h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16"/>
    <w:bookmarkStart w:id="17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et 9 pour cent à 200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37 à 65 pour cent de marge</w:t>
      </w:r>
      <w:r>
        <w:t xml:space="preserve"> </w:t>
      </w:r>
      <w:r>
        <w:t xml:space="preserve">selon la cellule (table ci-dessus).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 Montréal-Toronto, déjà doublé, « doubler 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 [ordres de grandeur 15 vs 45-50 mi/h,</w:t>
      </w:r>
      <w:r>
        <w:t xml:space="preserve"> </w:t>
      </w:r>
      <w:r>
        <w:t xml:space="preserve">À VÉRIFIER en étude de circulation])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17"/>
    <w:bookmarkEnd w:id="18"/>
    <w:bookmarkStart w:id="19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jusqu’à 153 km/h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passages à niveau [SOURCE tertiaire,</w:t>
      </w:r>
      <w:r>
        <w:t xml:space="preserve"> </w:t>
      </w:r>
      <w:r>
        <w:t xml:space="preserve">à consolider :</w:t>
      </w:r>
      <w:r>
        <w:t xml:space="preserve"> </w:t>
      </w:r>
      <w:r>
        <w:t xml:space="preserve">Wikipédia (</w:t>
      </w:r>
      <w:hyperlink w:anchor="ref-wiki2025turbo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])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154 à 177 km/h</w:t>
      </w:r>
      <w:r>
        <w:t xml:space="preserve"> : corridor « scellé » : traiter ou fermer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178 à 201 km/h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au-delà de 201 km/h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par bande</w:t>
      </w:r>
      <w:r>
        <w:t xml:space="preserve">, selon la vitesse que la géométrie permettrait en S3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du segment porteur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178-201 km/h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201 km/h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</w:tbl>
    <w:p>
      <w:pPr>
        <w:pStyle w:val="BodyText"/>
      </w:pPr>
      <w:r>
        <w:t xml:space="preserve">La lecture : si l’on veut exploiter la géométrie que le pendulaire libère, 754 passages</w:t>
      </w:r>
      <w:r>
        <w:t xml:space="preserve"> </w:t>
      </w:r>
      <w:r>
        <w:t xml:space="preserve">tombent dans la bande « zéro passage » du précédent américain. C’est le vrai mur</w:t>
      </w:r>
      <w:r>
        <w:t xml:space="preserve"> </w:t>
      </w:r>
      <w:r>
        <w:t xml:space="preserve">au-dessus de 200 km/h, très loin devant la signalisation.</w:t>
      </w:r>
    </w:p>
    <w:p>
      <w:pPr>
        <w:pStyle w:val="BodyText"/>
      </w:pPr>
      <w:r>
        <w:rPr>
          <w:b/>
          <w:bCs/>
        </w:rPr>
        <w:t xml:space="preserve">Le tri</w:t>
      </w:r>
      <w:r>
        <w:t xml:space="preserve">, sur données ouvertes (le lecteur applique ses coûts unitaires) : 569 passages</w:t>
      </w:r>
      <w:r>
        <w:t xml:space="preserve"> </w:t>
      </w:r>
      <w:r>
        <w:t xml:space="preserve">privés ou de ferme, candidats à la fermeture [HYPOTHÈSE : l’existence d’une alternative</w:t>
      </w:r>
      <w:r>
        <w:t xml:space="preserve"> </w:t>
      </w:r>
      <w:r>
        <w:t xml:space="preserve">routière à moins de 2 km n’a pas été vérifiée] ; 233 passages municipaux simples,</w:t>
      </w:r>
      <w:r>
        <w:t xml:space="preserve"> </w:t>
      </w:r>
      <w:r>
        <w:t xml:space="preserve">traitement standard ; 122 passages urbains, multi-voies ou provinciaux, complexes.</w:t>
      </w:r>
    </w:p>
    <w:bookmarkEnd w:id="19"/>
    <w:bookmarkStart w:id="20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160 km/h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 79 mi/h » américain.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161 à 200 km/h : superposition de contrôle en cabine.</w:t>
      </w:r>
      <w:r>
        <w:t xml:space="preserve"> </w:t>
      </w:r>
      <w:r>
        <w:t xml:space="preserve">Le précédent tarifé</w:t>
      </w:r>
      <w:r>
        <w:t xml:space="preserve"> </w:t>
      </w:r>
      <w:r>
        <w:t xml:space="preserve">existe : la ligne Amtrak du Michigan exploite 110 mi/h avec un système incrémental</w:t>
      </w:r>
      <w:r>
        <w:t xml:space="preserve"> </w:t>
      </w:r>
      <w:r>
        <w:t xml:space="preserve">superposé à 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200 km/h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trains). C’est le devis 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l’argument économique pour ne pas viser cette bande sur la voie partagée.</w:t>
      </w:r>
    </w:p>
    <w:p>
      <w:pPr>
        <w:pStyle w:val="FirstParagraph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20"/>
    <w:bookmarkStart w:id="21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Table complète des temps de base par tronçon, scénario et bande (sans marge ; la marge</w:t>
      </w:r>
      <w:r>
        <w:t xml:space="preserve"> </w:t>
      </w:r>
      <w:r>
        <w:t xml:space="preserve">s’applique par la fourchette de la synthèse). Horaire actuel en regard.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S1, plafond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23</w:t>
            </w:r>
          </w:p>
        </w:tc>
        <w:tc>
          <w:tcPr/>
          <w:p>
            <w:pPr>
              <w:pStyle w:val="Compact"/>
            </w:pPr>
            <w:r>
              <w:t xml:space="preserve">2 h 33</w:t>
            </w:r>
          </w:p>
        </w:tc>
        <w:tc>
          <w:tcPr/>
          <w:p>
            <w:pPr>
              <w:pStyle w:val="Compact"/>
            </w:pPr>
            <w:r>
              <w:t xml:space="preserve">2 h 12</w:t>
            </w:r>
          </w:p>
        </w:tc>
        <w:tc>
          <w:tcPr/>
          <w:p>
            <w:pPr>
              <w:pStyle w:val="Compact"/>
            </w:pPr>
            <w:r>
              <w:t xml:space="preserve">1 h 58</w:t>
            </w:r>
          </w:p>
        </w:tc>
        <w:tc>
          <w:tcPr/>
          <w:p>
            <w:pPr>
              <w:pStyle w:val="Compact"/>
            </w:pPr>
            <w:r>
              <w:t xml:space="preserve">1 h 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47</w:t>
            </w:r>
          </w:p>
        </w:tc>
        <w:tc>
          <w:tcPr/>
          <w:p>
            <w:pPr>
              <w:pStyle w:val="Compact"/>
            </w:pPr>
            <w:r>
              <w:t xml:space="preserve">1 h 33</w:t>
            </w:r>
          </w:p>
        </w:tc>
        <w:tc>
          <w:tcPr/>
          <w:p>
            <w:pPr>
              <w:pStyle w:val="Compact"/>
            </w:pPr>
            <w:r>
              <w:t xml:space="preserve">1 h 24</w:t>
            </w:r>
          </w:p>
        </w:tc>
        <w:tc>
          <w:tcPr/>
          <w:p>
            <w:pPr>
              <w:pStyle w:val="Compact"/>
            </w:pPr>
            <w:r>
              <w:t xml:space="preserve">1 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(444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53</w:t>
            </w:r>
          </w:p>
        </w:tc>
        <w:tc>
          <w:tcPr/>
          <w:p>
            <w:pPr>
              <w:pStyle w:val="Compact"/>
            </w:pPr>
            <w:r>
              <w:t xml:space="preserve">3 h 21</w:t>
            </w:r>
          </w:p>
        </w:tc>
        <w:tc>
          <w:tcPr/>
          <w:p>
            <w:pPr>
              <w:pStyle w:val="Compact"/>
            </w:pPr>
            <w:r>
              <w:t xml:space="preserve">2 h 56</w:t>
            </w:r>
          </w:p>
        </w:tc>
        <w:tc>
          <w:tcPr/>
          <w:p>
            <w:pPr>
              <w:pStyle w:val="Compact"/>
            </w:pPr>
            <w:r>
              <w:t xml:space="preserve">2 h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(539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38</w:t>
            </w:r>
          </w:p>
        </w:tc>
        <w:tc>
          <w:tcPr/>
          <w:p>
            <w:pPr>
              <w:pStyle w:val="Compact"/>
            </w:pPr>
            <w:r>
              <w:t xml:space="preserve">4 h 00</w:t>
            </w:r>
          </w:p>
        </w:tc>
        <w:tc>
          <w:tcPr/>
          <w:p>
            <w:pPr>
              <w:pStyle w:val="Compact"/>
            </w:pPr>
            <w:r>
              <w:t xml:space="preserve">3 h 30</w:t>
            </w:r>
          </w:p>
        </w:tc>
        <w:tc>
          <w:tcPr/>
          <w:p>
            <w:pPr>
              <w:pStyle w:val="Compact"/>
            </w:pPr>
            <w:r>
              <w:t xml:space="preserve">3 h 15</w:t>
            </w:r>
          </w:p>
        </w:tc>
      </w:tr>
    </w:tbl>
    <w:p>
      <w:pPr>
        <w:pStyle w:val="BodyText"/>
      </w:pPr>
      <w:r>
        <w:t xml:space="preserve">Sensibilités : blocs urbains ±20 pour cent (déjà dans les fourchettes) ; le bruit sur les</w:t>
      </w:r>
      <w:r>
        <w:t xml:space="preserve"> </w:t>
      </w:r>
      <w:r>
        <w:t xml:space="preserve">rayons de courbure est absorbé par la publication en classes de vitesse plutôt qu’au</w:t>
      </w:r>
      <w:r>
        <w:t xml:space="preserve"> </w:t>
      </w:r>
      <w:r>
        <w:t xml:space="preserve">km/h près ; la pénalité d’arrêt (5 minutes par arrêt, borne basse volontaire) peut être</w:t>
      </w:r>
      <w:r>
        <w:t xml:space="preserve"> </w:t>
      </w:r>
      <w:r>
        <w:t xml:space="preserve">portée à 7,5-10 minutes sans changer l’ordre des scénarios.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5 040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21"/>
    <w:bookmarkStart w:id="22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Ses horaires de référence datent d’une saison de restrictions</w:t>
      </w:r>
      <w:r>
        <w:t xml:space="preserve"> </w:t>
      </w:r>
      <w:r>
        <w:t xml:space="preserve">exceptionnelles, ce qui peut gonfler les marges mesurées ; la hiérarchie entre cellules</w:t>
      </w:r>
      <w:r>
        <w:t xml:space="preserve"> </w:t>
      </w:r>
      <w:r>
        <w:t xml:space="preserve">(voie simple CN au-dessus de tout le reste) est robuste à ce biais, les niveaux absolus</w:t>
      </w:r>
      <w:r>
        <w:t xml:space="preserve"> </w:t>
      </w:r>
      <w:r>
        <w:t xml:space="preserve">moins.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22"/>
    <w:bookmarkStart w:id="66" w:name="références"/>
    <w:p>
      <w:pPr>
        <w:pStyle w:val="Heading1"/>
      </w:pPr>
      <w:r>
        <w:t xml:space="preserve">Références</w:t>
      </w:r>
    </w:p>
    <w:bookmarkStart w:id="65" w:name="refs"/>
    <w:bookmarkStart w:id="24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https://www.altotrain.ca/en/about-alto</w:t>
        </w:r>
      </w:hyperlink>
    </w:p>
    <w:bookmarkEnd w:id="24"/>
    <w:bookmarkStart w:id="26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25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26"/>
    <w:bookmarkStart w:id="28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27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28"/>
    <w:bookmarkStart w:id="29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29"/>
    <w:bookmarkStart w:id="31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31"/>
    <w:bookmarkStart w:id="33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32">
        <w:r>
          <w:rPr>
            <w:rStyle w:val="Hyperlink"/>
          </w:rPr>
          <w:t xml:space="preserve">https://www.ecfr.gov/current/title-49/section-213.347</w:t>
        </w:r>
      </w:hyperlink>
    </w:p>
    <w:bookmarkEnd w:id="33"/>
    <w:bookmarkStart w:id="35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34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35"/>
    <w:bookmarkStart w:id="37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36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37"/>
    <w:bookmarkStart w:id="39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38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39"/>
    <w:bookmarkStart w:id="41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40">
        <w:r>
          <w:rPr>
            <w:rStyle w:val="Hyperlink"/>
          </w:rPr>
          <w:t xml:space="preserve">https://download.geofabrik.de/</w:t>
        </w:r>
      </w:hyperlink>
    </w:p>
    <w:bookmarkEnd w:id="41"/>
    <w:bookmarkStart w:id="43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https://journals.aau.dk/index.php/td/article/download/5554/4887</w:t>
        </w:r>
      </w:hyperlink>
    </w:p>
    <w:bookmarkEnd w:id="43"/>
    <w:bookmarkStart w:id="45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44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45"/>
    <w:bookmarkStart w:id="47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46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47"/>
    <w:bookmarkStart w:id="49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48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49"/>
    <w:bookmarkStart w:id="51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50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51"/>
    <w:bookmarkStart w:id="53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52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53"/>
    <w:bookmarkStart w:id="54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54"/>
    <w:bookmarkStart w:id="56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56"/>
    <w:bookmarkStart w:id="58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58"/>
    <w:bookmarkStart w:id="60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59">
        <w:r>
          <w:rPr>
            <w:rStyle w:val="Hyperlink"/>
          </w:rPr>
          <w:t xml:space="preserve">https://www.viarail.ca/fr/developpeurs</w:t>
        </w:r>
      </w:hyperlink>
    </w:p>
    <w:bookmarkEnd w:id="60"/>
    <w:bookmarkStart w:id="62" w:name="ref-wiki2025lrc"/>
    <w:p>
      <w:pPr>
        <w:pStyle w:val="Bibliography"/>
      </w:pPr>
      <w:r>
        <w:t xml:space="preserve">Wikipédia. (2025a).</w:t>
      </w:r>
      <w:r>
        <w:t xml:space="preserve"> </w:t>
      </w:r>
      <w:r>
        <w:rPr>
          <w:i/>
          <w:iCs/>
        </w:rPr>
        <w:t xml:space="preserve">LRC</w:t>
      </w:r>
      <w:r>
        <w:rPr>
          <w:i/>
          <w:iCs/>
        </w:rPr>
        <w:t xml:space="preserve"> </w:t>
      </w:r>
      <w:r>
        <w:rPr>
          <w:i/>
          <w:iCs/>
        </w:rPr>
        <w:t xml:space="preserve">(train)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https://en.wikipedia.org/wiki/LRC_(train)</w:t>
        </w:r>
      </w:hyperlink>
    </w:p>
    <w:bookmarkEnd w:id="62"/>
    <w:bookmarkStart w:id="64" w:name="ref-wiki2025turbo"/>
    <w:p>
      <w:pPr>
        <w:pStyle w:val="Bibliography"/>
      </w:pPr>
      <w:r>
        <w:t xml:space="preserve">Wikipédia. (2025b).</w:t>
      </w:r>
      <w:r>
        <w:t xml:space="preserve"> </w:t>
      </w:r>
      <w:r>
        <w:rPr>
          <w:i/>
          <w:iCs/>
        </w:rPr>
        <w:t xml:space="preserve">UAC TurboTrain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https://en.wikipedia.org/wiki/UAC_TurboTrain</w:t>
        </w:r>
      </w:hyperlink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amtrakoig.gov/sites/default/files/reports/OIG-A-2020-001%20OTP%20mandate.pdf" TargetMode="External" /><Relationship Type="http://schemas.openxmlformats.org/officeDocument/2006/relationships/hyperlink" Id="rId46" Target="https://bransch.trafikverket.se/contentassets/6526f430ae7f489aae8e88c06f2eef6b/jnb-2027-2025-12-05.pdf" TargetMode="External" /><Relationship Type="http://schemas.openxmlformats.org/officeDocument/2006/relationships/hyperlink" Id="rId40" Target="https://download.geofabrik.de/" TargetMode="External" /><Relationship Type="http://schemas.openxmlformats.org/officeDocument/2006/relationships/hyperlink" Id="rId61" Target="https://en.wikipedia.org/wiki/LRC_(train)" TargetMode="External" /><Relationship Type="http://schemas.openxmlformats.org/officeDocument/2006/relationships/hyperlink" Id="rId63" Target="https://en.wikipedia.org/wiki/UAC_TurboTrain" TargetMode="External" /><Relationship Type="http://schemas.openxmlformats.org/officeDocument/2006/relationships/hyperlink" Id="rId38" Target="https://globalnews.ca/news/10868587/via-rail-judicial-review-cn-rail-speed-restrictions/" TargetMode="External" /><Relationship Type="http://schemas.openxmlformats.org/officeDocument/2006/relationships/hyperlink" Id="rId42" Target="https://journals.aau.dk/index.php/td/article/download/5554/4887" TargetMode="External" /><Relationship Type="http://schemas.openxmlformats.org/officeDocument/2006/relationships/hyperlink" Id="rId57" Target="https://media.viarail.ca/sites/default/files/publications/2025_VIA-Rail_First-Quarter-Report.pdf" TargetMode="External" /><Relationship Type="http://schemas.openxmlformats.org/officeDocument/2006/relationships/hyperlink" Id="rId55" Target="https://media.viarail.ca/sites/default/files/publications/VIA-Rail_Annual-Report_2024.pdf" TargetMode="External" /><Relationship Type="http://schemas.openxmlformats.org/officeDocument/2006/relationships/hyperlink" Id="rId50" Target="https://ouvert.canada.ca/data/fr/dataset/d0f54727-6c0b-4e5a-aa04-ea1463cf9f4c" TargetMode="External" /><Relationship Type="http://schemas.openxmlformats.org/officeDocument/2006/relationships/hyperlink" Id="rId36" Target="https://railroads.dot.gov/research-development/program-areas/train-control/ptc/incremental-train-control-system" TargetMode="External" /><Relationship Type="http://schemas.openxmlformats.org/officeDocument/2006/relationships/hyperlink" Id="rId34" Target="https://railroads.dot.gov/sites/fra.dot.gov/files/fra_net/19085/Superelevation.pdf" TargetMode="External" /><Relationship Type="http://schemas.openxmlformats.org/officeDocument/2006/relationships/hyperlink" Id="rId27" Target="https://railroads.dot.gov/sites/fra.dot.gov/files/fra_net/300/ord0917.pdf" TargetMode="External" /><Relationship Type="http://schemas.openxmlformats.org/officeDocument/2006/relationships/hyperlink" Id="rId52" Target="https://tc.canada.ca/en/binder/3-pic-operating-restrictions-via-rail-quebec-city-windsor-corridor" TargetMode="External" /><Relationship Type="http://schemas.openxmlformats.org/officeDocument/2006/relationships/hyperlink" Id="rId48" Target="https://tc.canada.ca/en/rail-transportation/rules/2022-2023/rules-respecting-track-safety/subpart-c" TargetMode="External" /><Relationship Type="http://schemas.openxmlformats.org/officeDocument/2006/relationships/hyperlink" Id="rId23" Target="https://www.altotrain.ca/en/about-alto" TargetMode="External" /><Relationship Type="http://schemas.openxmlformats.org/officeDocument/2006/relationships/hyperlink" Id="rId30" Target="https://www.cbc.ca/news/canada/ottawa/via-montreal-toronto-pilot-that-skipped-eastern-ontario-postponed-1.7646512" TargetMode="External" /><Relationship Type="http://schemas.openxmlformats.org/officeDocument/2006/relationships/hyperlink" Id="rId32" Target="https://www.ecfr.gov/current/title-49/section-213.347" TargetMode="External" /><Relationship Type="http://schemas.openxmlformats.org/officeDocument/2006/relationships/hyperlink" Id="rId44" Target="https://www.sncf-reseau.com/medias-publics/2023-12/DRR2025-annexe-4-1.pdf" TargetMode="External" /><Relationship Type="http://schemas.openxmlformats.org/officeDocument/2006/relationships/hyperlink" Id="rId59" Target="https://www.viarail.ca/fr/developpeu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mtrakoig.gov/sites/default/files/reports/OIG-A-2020-001%20OTP%20mandate.pdf" TargetMode="External" /><Relationship Type="http://schemas.openxmlformats.org/officeDocument/2006/relationships/hyperlink" Id="rId46" Target="https://bransch.trafikverket.se/contentassets/6526f430ae7f489aae8e88c06f2eef6b/jnb-2027-2025-12-05.pdf" TargetMode="External" /><Relationship Type="http://schemas.openxmlformats.org/officeDocument/2006/relationships/hyperlink" Id="rId40" Target="https://download.geofabrik.de/" TargetMode="External" /><Relationship Type="http://schemas.openxmlformats.org/officeDocument/2006/relationships/hyperlink" Id="rId61" Target="https://en.wikipedia.org/wiki/LRC_(train)" TargetMode="External" /><Relationship Type="http://schemas.openxmlformats.org/officeDocument/2006/relationships/hyperlink" Id="rId63" Target="https://en.wikipedia.org/wiki/UAC_TurboTrain" TargetMode="External" /><Relationship Type="http://schemas.openxmlformats.org/officeDocument/2006/relationships/hyperlink" Id="rId38" Target="https://globalnews.ca/news/10868587/via-rail-judicial-review-cn-rail-speed-restrictions/" TargetMode="External" /><Relationship Type="http://schemas.openxmlformats.org/officeDocument/2006/relationships/hyperlink" Id="rId42" Target="https://journals.aau.dk/index.php/td/article/download/5554/4887" TargetMode="External" /><Relationship Type="http://schemas.openxmlformats.org/officeDocument/2006/relationships/hyperlink" Id="rId57" Target="https://media.viarail.ca/sites/default/files/publications/2025_VIA-Rail_First-Quarter-Report.pdf" TargetMode="External" /><Relationship Type="http://schemas.openxmlformats.org/officeDocument/2006/relationships/hyperlink" Id="rId55" Target="https://media.viarail.ca/sites/default/files/publications/VIA-Rail_Annual-Report_2024.pdf" TargetMode="External" /><Relationship Type="http://schemas.openxmlformats.org/officeDocument/2006/relationships/hyperlink" Id="rId50" Target="https://ouvert.canada.ca/data/fr/dataset/d0f54727-6c0b-4e5a-aa04-ea1463cf9f4c" TargetMode="External" /><Relationship Type="http://schemas.openxmlformats.org/officeDocument/2006/relationships/hyperlink" Id="rId36" Target="https://railroads.dot.gov/research-development/program-areas/train-control/ptc/incremental-train-control-system" TargetMode="External" /><Relationship Type="http://schemas.openxmlformats.org/officeDocument/2006/relationships/hyperlink" Id="rId34" Target="https://railroads.dot.gov/sites/fra.dot.gov/files/fra_net/19085/Superelevation.pdf" TargetMode="External" /><Relationship Type="http://schemas.openxmlformats.org/officeDocument/2006/relationships/hyperlink" Id="rId27" Target="https://railroads.dot.gov/sites/fra.dot.gov/files/fra_net/300/ord0917.pdf" TargetMode="External" /><Relationship Type="http://schemas.openxmlformats.org/officeDocument/2006/relationships/hyperlink" Id="rId52" Target="https://tc.canada.ca/en/binder/3-pic-operating-restrictions-via-rail-quebec-city-windsor-corridor" TargetMode="External" /><Relationship Type="http://schemas.openxmlformats.org/officeDocument/2006/relationships/hyperlink" Id="rId48" Target="https://tc.canada.ca/en/rail-transportation/rules/2022-2023/rules-respecting-track-safety/subpart-c" TargetMode="External" /><Relationship Type="http://schemas.openxmlformats.org/officeDocument/2006/relationships/hyperlink" Id="rId23" Target="https://www.altotrain.ca/en/about-alto" TargetMode="External" /><Relationship Type="http://schemas.openxmlformats.org/officeDocument/2006/relationships/hyperlink" Id="rId30" Target="https://www.cbc.ca/news/canada/ottawa/via-montreal-toronto-pilot-that-skipped-eastern-ontario-postponed-1.7646512" TargetMode="External" /><Relationship Type="http://schemas.openxmlformats.org/officeDocument/2006/relationships/hyperlink" Id="rId32" Target="https://www.ecfr.gov/current/title-49/section-213.347" TargetMode="External" /><Relationship Type="http://schemas.openxmlformats.org/officeDocument/2006/relationships/hyperlink" Id="rId44" Target="https://www.sncf-reseau.com/medias-publics/2023-12/DRR2025-annexe-4-1.pdf" TargetMode="External" /><Relationship Type="http://schemas.openxmlformats.org/officeDocument/2006/relationships/hyperlink" Id="rId59" Target="https://www.viarail.ca/fr/developpeu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Québec-Windsor : ce que la voie existante permet</dc:title>
  <dc:creator>Étude préparée pour François Rebello [AUTEUR À COMPLÉTER]</dc:creator>
  <dc:language>fr-CA</dc:language>
  <cp:keywords/>
  <dcterms:created xsi:type="dcterms:W3CDTF">2026-08-06T09:10:34Z</dcterms:created>
  <dcterms:modified xsi:type="dcterms:W3CDTF">2026-08-06T09:10:34Z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Brouillon, 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par scénario de modernisation, et ce qui les retient : géométrie, passages à niveau, signalisation, doublement et régime de cohabitation</vt:lpwstr>
  </property>
</Properties>
</file>