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2563EB"/>
          <w:sz w:val="40"/>
          <w:szCs w:val="40"/>
        </w:rPr>
        <w:t xml:space="preserve">AnalystLab Africa</w:t>
      </w:r>
    </w:p>
    <w:p>
      <w:pPr>
        <w:spacing w:after="120"/>
        <w:jc w:val="center"/>
      </w:pPr>
      <w:r>
        <w:rPr>
          <w:rFonts w:ascii="Arial" w:cs="Arial" w:eastAsia="Arial" w:hAnsi="Arial"/>
          <w:color w:val="64748B"/>
          <w:sz w:val="28"/>
          <w:szCs w:val="28"/>
        </w:rPr>
        <w:t xml:space="preserve">Machine Learning Internship Program</w:t>
      </w:r>
    </w:p>
    <w:p>
      <w:pPr>
        <w:pBdr>
          <w:bottom w:val="single" w:color="2563EB" w:sz="6" w:space="4"/>
        </w:pBdr>
        <w:spacing w:after="480"/>
        <w:jc w:val="center"/>
      </w:pPr>
      <w:r>
        <w:rPr>
          <w:rFonts w:ascii="Arial" w:cs="Arial" w:eastAsia="Arial" w:hAnsi="Arial"/>
          <w:b/>
          <w:bCs/>
          <w:sz w:val="28"/>
          <w:szCs w:val="28"/>
        </w:rPr>
        <w:t xml:space="preserve">Week 5 Performance Comparison Report: Advanced Machine Learning</w:t>
      </w:r>
    </w:p>
    <w:p>
      <w:pPr>
        <w:spacing w:after="160"/>
      </w:pPr>
      <w:r>
        <w:t xml:space="preserve"/>
      </w:r>
    </w:p>
    <w:p>
      <w:pPr>
        <w:spacing w:after="120"/>
      </w:pPr>
      <w:r>
        <w:rPr>
          <w:rFonts w:ascii="Arial" w:cs="Arial" w:eastAsia="Arial" w:hAnsi="Arial"/>
          <w:sz w:val="22"/>
          <w:szCs w:val="22"/>
        </w:rPr>
        <w:t xml:space="preserve">Program:   AnalystLab Africa ML Internship</w:t>
      </w:r>
    </w:p>
    <w:p>
      <w:pPr>
        <w:spacing w:after="120"/>
      </w:pPr>
      <w:r>
        <w:rPr>
          <w:rFonts w:ascii="Arial" w:cs="Arial" w:eastAsia="Arial" w:hAnsi="Arial"/>
          <w:sz w:val="22"/>
          <w:szCs w:val="22"/>
        </w:rPr>
        <w:t xml:space="preserve">Week:      Week 5 — Advanced Machine Learning</w:t>
      </w:r>
    </w:p>
    <w:p>
      <w:pPr>
        <w:spacing w:after="120"/>
      </w:pPr>
      <w:r>
        <w:rPr>
          <w:rFonts w:ascii="Arial" w:cs="Arial" w:eastAsia="Arial" w:hAnsi="Arial"/>
          <w:sz w:val="22"/>
          <w:szCs w:val="22"/>
        </w:rPr>
        <w:t xml:space="preserve">Dataset:   Titanic Survival Prediction (891 samples)</w:t>
      </w:r>
    </w:p>
    <w:p>
      <w:pPr>
        <w:spacing w:after="120"/>
      </w:pPr>
      <w:r>
        <w:rPr>
          <w:rFonts w:ascii="Arial" w:cs="Arial" w:eastAsia="Arial" w:hAnsi="Arial"/>
          <w:sz w:val="22"/>
          <w:szCs w:val="22"/>
        </w:rPr>
        <w:t xml:space="preserve">Models:    Decision Tree, Random Forest, Gradient Boosting (default + tuned)</w:t>
      </w:r>
    </w:p>
    <w:p>
      <w:pPr>
        <w:spacing w:after="120"/>
      </w:pPr>
      <w:r>
        <w:rPr>
          <w:rFonts w:ascii="Arial" w:cs="Arial" w:eastAsia="Arial" w:hAnsi="Arial"/>
          <w:sz w:val="22"/>
          <w:szCs w:val="22"/>
        </w:rPr>
        <w:t xml:space="preserve">Tools:     Python, Scikit-learn, Pandas, Matplotlib, Seaborn</w:t>
      </w:r>
    </w:p>
    <w:p>
      <w:pPr>
        <w:spacing w:after="160"/>
      </w:pPr>
      <w:r>
        <w:t xml:space="preserve"/>
      </w:r>
    </w:p>
    <w:p>
      <w:pPr>
        <w:spacing w:after="160"/>
      </w:pPr>
      <w:r>
        <w:t xml:space="preserve"/>
      </w:r>
    </w:p>
    <w:p>
      <w:pPr>
        <w:pStyle w:val="Heading1"/>
        <w:pBdr>
          <w:bottom w:val="single" w:color="2563EB" w:sz="6" w:space="4"/>
        </w:pBdr>
        <w:spacing w:after="160" w:before="320"/>
      </w:pPr>
      <w:r>
        <w:rPr>
          <w:rFonts w:ascii="Arial" w:cs="Arial" w:eastAsia="Arial" w:hAnsi="Arial"/>
          <w:b/>
          <w:bCs/>
          <w:color w:val="2563EB"/>
          <w:sz w:val="32"/>
          <w:szCs w:val="32"/>
        </w:rPr>
        <w:t xml:space="preserve">1. Dataset Description</w:t>
      </w:r>
    </w:p>
    <w:p>
      <w:pPr>
        <w:spacing w:after="120"/>
      </w:pPr>
      <w:r>
        <w:rPr>
          <w:rFonts w:ascii="Arial" w:cs="Arial" w:eastAsia="Arial" w:hAnsi="Arial"/>
          <w:sz w:val="22"/>
          <w:szCs w:val="22"/>
        </w:rPr>
        <w:t xml:space="preserve">The Titanic dataset contains information on 891 passengers including demographic details, ticket information, and survival outcome. The task is binary classification: predict whether a passenger survived (1) or did not survive (0).</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Attribute</w:t>
            </w:r>
          </w:p>
        </w:tc>
        <w:tc>
          <w:tcPr>
            <w:tcW w:type="dxa" w:w="5760"/>
            <w:tcBorders>
              <w:top w:val="single" w:color="CCCCCC" w:sz="1"/>
              <w:left w:val="single" w:color="CCCCCC" w:sz="1"/>
              <w:bottom w:val="single" w:color="CCCCCC" w:sz="1"/>
              <w:right w:val="single" w:color="CCCCCC" w:sz="1"/>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Detail</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Samples</w:t>
            </w:r>
          </w:p>
        </w:tc>
        <w:tc>
          <w:tcPr>
            <w:tcW w:type="dxa" w:w="57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891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Features used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8 (Pclass, Sex, Age, SibSp, Parch, Fare, Embarked_Q, Embarked_S)</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Target</w:t>
            </w:r>
          </w:p>
        </w:tc>
        <w:tc>
          <w:tcPr>
            <w:tcW w:type="dxa" w:w="57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Survived (0 = No, 1 = 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Class balance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38.4% survived, 61.6% did not survive</w:t>
            </w:r>
          </w:p>
        </w:tc>
      </w:tr>
      <w:tr>
        <w:tc>
          <w:tcPr>
            <w:tcW w:type="dxa" w:w="36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Train/Test split</w:t>
            </w:r>
          </w:p>
        </w:tc>
        <w:tc>
          <w:tcPr>
            <w:tcW w:type="dxa" w:w="576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80% / 20% stratified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Preprocessing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Median imputation, binary encoding, one-hot encoding, StandardScaler</w:t>
            </w:r>
          </w:p>
        </w:tc>
      </w:tr>
    </w:tbl>
    <w:p>
      <w:pPr>
        <w:spacing w:after="160"/>
      </w:pPr>
      <w:r>
        <w:t xml:space="preserve"/>
      </w:r>
    </w:p>
    <w:p>
      <w:pPr>
        <w:pStyle w:val="Heading1"/>
        <w:pBdr>
          <w:bottom w:val="single" w:color="2563EB" w:sz="6" w:space="4"/>
        </w:pBdr>
        <w:spacing w:after="160" w:before="320"/>
      </w:pPr>
      <w:r>
        <w:rPr>
          <w:rFonts w:ascii="Arial" w:cs="Arial" w:eastAsia="Arial" w:hAnsi="Arial"/>
          <w:b/>
          <w:bCs/>
          <w:color w:val="2563EB"/>
          <w:sz w:val="32"/>
          <w:szCs w:val="32"/>
        </w:rPr>
        <w:t xml:space="preserve">2. Models Used</w:t>
      </w:r>
    </w:p>
    <w:p>
      <w:pPr>
        <w:pStyle w:val="Heading2"/>
        <w:spacing w:after="120" w:before="240"/>
      </w:pPr>
      <w:r>
        <w:rPr>
          <w:rFonts w:ascii="Arial" w:cs="Arial" w:eastAsia="Arial" w:hAnsi="Arial"/>
          <w:b/>
          <w:bCs/>
          <w:color w:val="1E293B"/>
          <w:sz w:val="26"/>
          <w:szCs w:val="26"/>
        </w:rPr>
        <w:t xml:space="preserve">2.1 Decision Tree</w:t>
      </w:r>
    </w:p>
    <w:p>
      <w:pPr>
        <w:spacing w:after="120"/>
      </w:pPr>
      <w:r>
        <w:rPr>
          <w:rFonts w:ascii="Arial" w:cs="Arial" w:eastAsia="Arial" w:hAnsi="Arial"/>
          <w:sz w:val="22"/>
          <w:szCs w:val="22"/>
        </w:rPr>
        <w:t xml:space="preserve">A Decision Tree splits the data into subsets based on feature values, creating a tree of decisions. Each node represents a feature test and each leaf represents a class label. Simple, fast, and highly interpretable, but prone to overfitting at large depths.</w:t>
      </w:r>
    </w:p>
    <w:p>
      <w:pPr>
        <w:spacing w:after="160"/>
      </w:pPr>
      <w:r>
        <w:t xml:space="preserve"/>
      </w:r>
    </w:p>
    <w:p>
      <w:pPr>
        <w:pStyle w:val="Heading2"/>
        <w:spacing w:after="120" w:before="240"/>
      </w:pPr>
      <w:r>
        <w:rPr>
          <w:rFonts w:ascii="Arial" w:cs="Arial" w:eastAsia="Arial" w:hAnsi="Arial"/>
          <w:b/>
          <w:bCs/>
          <w:color w:val="1E293B"/>
          <w:sz w:val="26"/>
          <w:szCs w:val="26"/>
        </w:rPr>
        <w:t xml:space="preserve">2.2 Random Forest</w:t>
      </w:r>
    </w:p>
    <w:p>
      <w:pPr>
        <w:spacing w:after="120"/>
      </w:pPr>
      <w:r>
        <w:rPr>
          <w:rFonts w:ascii="Arial" w:cs="Arial" w:eastAsia="Arial" w:hAnsi="Arial"/>
          <w:sz w:val="22"/>
          <w:szCs w:val="22"/>
        </w:rPr>
        <w:t xml:space="preserve">Random Forest is an ensemble method that builds multiple Decision Trees on random subsets of the data and features, then aggregates their predictions by majority vote. This reduces variance and overfitting compared to a single tree.</w:t>
      </w:r>
    </w:p>
    <w:p>
      <w:pPr>
        <w:spacing w:after="160"/>
      </w:pPr>
      <w:r>
        <w:t xml:space="preserve"/>
      </w:r>
    </w:p>
    <w:p>
      <w:pPr>
        <w:pStyle w:val="Heading2"/>
        <w:spacing w:after="120" w:before="240"/>
      </w:pPr>
      <w:r>
        <w:rPr>
          <w:rFonts w:ascii="Arial" w:cs="Arial" w:eastAsia="Arial" w:hAnsi="Arial"/>
          <w:b/>
          <w:bCs/>
          <w:color w:val="1E293B"/>
          <w:sz w:val="26"/>
          <w:szCs w:val="26"/>
        </w:rPr>
        <w:t xml:space="preserve">2.3 Gradient Boosting</w:t>
      </w:r>
    </w:p>
    <w:p>
      <w:pPr>
        <w:spacing w:after="120"/>
      </w:pPr>
      <w:r>
        <w:rPr>
          <w:rFonts w:ascii="Arial" w:cs="Arial" w:eastAsia="Arial" w:hAnsi="Arial"/>
          <w:sz w:val="22"/>
          <w:szCs w:val="22"/>
        </w:rPr>
        <w:t xml:space="preserve">Gradient Boosting builds trees sequentially where each tree corrects the errors of the previous one. It optimises a loss function using gradient descent. Generally produces strong predictive performance but is slower to train than Random Forest.</w:t>
      </w:r>
    </w:p>
    <w:p>
      <w:pPr>
        <w:spacing w:after="160"/>
      </w:pPr>
      <w:r>
        <w:t xml:space="preserve"/>
      </w:r>
    </w:p>
    <w:p>
      <w:pPr>
        <w:pStyle w:val="Heading2"/>
        <w:spacing w:after="120" w:before="240"/>
      </w:pPr>
      <w:r>
        <w:rPr>
          <w:rFonts w:ascii="Arial" w:cs="Arial" w:eastAsia="Arial" w:hAnsi="Arial"/>
          <w:b/>
          <w:bCs/>
          <w:color w:val="1E293B"/>
          <w:sz w:val="26"/>
          <w:szCs w:val="26"/>
        </w:rPr>
        <w:t xml:space="preserve">2.4 Hyperparameter Tuning</w:t>
      </w:r>
    </w:p>
    <w:p>
      <w:pPr>
        <w:spacing w:after="120"/>
      </w:pPr>
      <w:r>
        <w:rPr>
          <w:rFonts w:ascii="Arial" w:cs="Arial" w:eastAsia="Arial" w:hAnsi="Arial"/>
          <w:sz w:val="22"/>
          <w:szCs w:val="22"/>
        </w:rPr>
        <w:t xml:space="preserve">GridSearchCV with 5-fold cross-validation was used to tune both Random Forest and Gradient Boosting. Parameters searched:</w:t>
      </w:r>
    </w:p>
    <w:p>
      <w:pPr>
        <w:pStyle w:val="ListParagraph"/>
        <w:numPr>
          <w:ilvl w:val="0"/>
          <w:numId w:val="2"/>
        </w:numPr>
        <w:spacing w:after="80"/>
      </w:pPr>
      <w:r>
        <w:rPr>
          <w:rFonts w:ascii="Arial" w:cs="Arial" w:eastAsia="Arial" w:hAnsi="Arial"/>
          <w:sz w:val="22"/>
          <w:szCs w:val="22"/>
        </w:rPr>
        <w:t xml:space="preserve">Random Forest: n_estimators [100, 200], max_depth [4, 6, 8, None], min_samples_split [2, 5], max_features [sqrt, log2]</w:t>
      </w:r>
    </w:p>
    <w:p>
      <w:pPr>
        <w:pStyle w:val="ListParagraph"/>
        <w:numPr>
          <w:ilvl w:val="0"/>
          <w:numId w:val="2"/>
        </w:numPr>
        <w:spacing w:after="80"/>
      </w:pPr>
      <w:r>
        <w:rPr>
          <w:rFonts w:ascii="Arial" w:cs="Arial" w:eastAsia="Arial" w:hAnsi="Arial"/>
          <w:sz w:val="22"/>
          <w:szCs w:val="22"/>
        </w:rPr>
        <w:t xml:space="preserve">Gradient Boosting: n_estimators [100, 200], max_depth [3, 4, 5], learning_rate [0.05, 0.1, 0.2], min_samples_split [2, 5]</w:t>
      </w:r>
    </w:p>
    <w:p>
      <w:pPr>
        <w:pStyle w:val="ListParagraph"/>
        <w:numPr>
          <w:ilvl w:val="0"/>
          <w:numId w:val="2"/>
        </w:numPr>
        <w:spacing w:after="80"/>
      </w:pPr>
      <w:r>
        <w:rPr>
          <w:rFonts w:ascii="Arial" w:cs="Arial" w:eastAsia="Arial" w:hAnsi="Arial"/>
          <w:sz w:val="22"/>
          <w:szCs w:val="22"/>
        </w:rPr>
        <w:t xml:space="preserve">Best RF params: n_estimators=200, max_depth=6, max_features=sqrt, min_samples_split=2</w:t>
      </w:r>
    </w:p>
    <w:p>
      <w:pPr>
        <w:pStyle w:val="ListParagraph"/>
        <w:numPr>
          <w:ilvl w:val="0"/>
          <w:numId w:val="2"/>
        </w:numPr>
        <w:spacing w:after="80"/>
      </w:pPr>
      <w:r>
        <w:rPr>
          <w:rFonts w:ascii="Arial" w:cs="Arial" w:eastAsia="Arial" w:hAnsi="Arial"/>
          <w:sz w:val="22"/>
          <w:szCs w:val="22"/>
        </w:rPr>
        <w:t xml:space="preserve">Best GB params: learning_rate=0.2, max_depth=3, min_samples_split=5, n_estimators=100</w:t>
      </w:r>
    </w:p>
    <w:p>
      <w:pPr>
        <w:spacing w:after="160"/>
      </w:pPr>
      <w:r>
        <w:t xml:space="preserve"/>
      </w:r>
    </w:p>
    <w:p>
      <w:pPr>
        <w:pStyle w:val="Heading1"/>
        <w:pBdr>
          <w:bottom w:val="single" w:color="2563EB" w:sz="6" w:space="4"/>
        </w:pBdr>
        <w:spacing w:after="160" w:before="320"/>
      </w:pPr>
      <w:r>
        <w:rPr>
          <w:rFonts w:ascii="Arial" w:cs="Arial" w:eastAsia="Arial" w:hAnsi="Arial"/>
          <w:b/>
          <w:bCs/>
          <w:color w:val="2563EB"/>
          <w:sz w:val="32"/>
          <w:szCs w:val="32"/>
        </w:rPr>
        <w:t xml:space="preserve">3. Evaluation Metrics</w:t>
      </w:r>
    </w:p>
    <w:p>
      <w:pPr>
        <w:spacing w:after="16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100"/>
        <w:gridCol w:w="1100"/>
        <w:gridCol w:w="1400"/>
        <w:gridCol w:w="1200"/>
      </w:tblGrid>
      <w:tr>
        <w:trPr>
          <w:tblHeader/>
        </w:trPr>
        <w:tc>
          <w:tcPr>
            <w:tcW w:type="dxa" w:w="2400"/>
            <w:tcBorders>
              <w:top w:val="single" w:color="CCCCCC" w:sz="1"/>
              <w:left w:val="single" w:color="CCCCCC" w:sz="1"/>
              <w:bottom w:val="single" w:color="CCCCCC" w:sz="1"/>
              <w:right w:val="single" w:color="CCCCCC" w:sz="1"/>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Model</w:t>
            </w:r>
          </w:p>
        </w:tc>
        <w:tc>
          <w:tcPr>
            <w:tcW w:type="dxa" w:w="1200"/>
            <w:tcBorders>
              <w:top w:val="single" w:color="CCCCCC" w:sz="1"/>
              <w:left w:val="single" w:color="CCCCCC" w:sz="1"/>
              <w:bottom w:val="single" w:color="CCCCCC" w:sz="1"/>
              <w:right w:val="single" w:color="CCCCCC" w:sz="1"/>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Accuracy</w:t>
            </w:r>
          </w:p>
        </w:tc>
        <w:tc>
          <w:tcPr>
            <w:tcW w:type="dxa" w:w="1200"/>
            <w:tcBorders>
              <w:top w:val="single" w:color="CCCCCC" w:sz="1"/>
              <w:left w:val="single" w:color="CCCCCC" w:sz="1"/>
              <w:bottom w:val="single" w:color="CCCCCC" w:sz="1"/>
              <w:right w:val="single" w:color="CCCCCC" w:sz="1"/>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Precision</w:t>
            </w:r>
          </w:p>
        </w:tc>
        <w:tc>
          <w:tcPr>
            <w:tcW w:type="dxa" w:w="1100"/>
            <w:tcBorders>
              <w:top w:val="single" w:color="CCCCCC" w:sz="1"/>
              <w:left w:val="single" w:color="CCCCCC" w:sz="1"/>
              <w:bottom w:val="single" w:color="CCCCCC" w:sz="1"/>
              <w:right w:val="single" w:color="CCCCCC" w:sz="1"/>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Recall</w:t>
            </w:r>
          </w:p>
        </w:tc>
        <w:tc>
          <w:tcPr>
            <w:tcW w:type="dxa" w:w="1100"/>
            <w:tcBorders>
              <w:top w:val="single" w:color="CCCCCC" w:sz="1"/>
              <w:left w:val="single" w:color="CCCCCC" w:sz="1"/>
              <w:bottom w:val="single" w:color="CCCCCC" w:sz="1"/>
              <w:right w:val="single" w:color="CCCCCC" w:sz="1"/>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F1 Score</w:t>
            </w:r>
          </w:p>
        </w:tc>
        <w:tc>
          <w:tcPr>
            <w:tcW w:type="dxa" w:w="1400"/>
            <w:tcBorders>
              <w:top w:val="single" w:color="CCCCCC" w:sz="1"/>
              <w:left w:val="single" w:color="CCCCCC" w:sz="1"/>
              <w:bottom w:val="single" w:color="CCCCCC" w:sz="1"/>
              <w:right w:val="single" w:color="CCCCCC" w:sz="1"/>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CV Accuracy</w:t>
            </w:r>
          </w:p>
        </w:tc>
        <w:tc>
          <w:tcPr>
            <w:tcW w:type="dxa" w:w="1200"/>
            <w:tcBorders>
              <w:top w:val="single" w:color="CCCCCC" w:sz="1"/>
              <w:left w:val="single" w:color="CCCCCC" w:sz="1"/>
              <w:bottom w:val="single" w:color="CCCCCC" w:sz="1"/>
              <w:right w:val="single" w:color="CCCCCC" w:sz="1"/>
            </w:tcBorders>
            <w:shd w:fill="2563EB" w:val="clear"/>
            <w:tcMar>
              <w:top w:type="dxa" w:w="80"/>
              <w:left w:type="dxa" w:w="100"/>
              <w:bottom w:type="dxa" w:w="80"/>
              <w:right w:type="dxa" w:w="100"/>
            </w:tcMar>
          </w:tcPr>
          <w:p>
            <w:r>
              <w:rPr>
                <w:rFonts w:ascii="Arial" w:cs="Arial" w:eastAsia="Arial" w:hAnsi="Arial"/>
                <w:b/>
                <w:bCs/>
                <w:color w:val="FFFFFF"/>
                <w:sz w:val="18"/>
                <w:szCs w:val="18"/>
              </w:rPr>
              <w:t xml:space="preserve">CV Std</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Decision Tree</w:t>
            </w:r>
          </w:p>
        </w:tc>
        <w:tc>
          <w:tcPr>
            <w:tcW w:type="dxa" w:w="1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82.12%</w:t>
            </w:r>
          </w:p>
        </w:tc>
        <w:tc>
          <w:tcPr>
            <w:tcW w:type="dxa" w:w="1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79.37%</w:t>
            </w:r>
          </w:p>
        </w:tc>
        <w:tc>
          <w:tcPr>
            <w:tcW w:type="dxa" w:w="11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72.46%</w:t>
            </w:r>
          </w:p>
        </w:tc>
        <w:tc>
          <w:tcPr>
            <w:tcW w:type="dxa" w:w="11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75.76%</w:t>
            </w:r>
          </w:p>
        </w:tc>
        <w:tc>
          <w:tcPr>
            <w:tcW w:type="dxa" w:w="14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77.26%</w:t>
            </w:r>
          </w:p>
        </w:tc>
        <w:tc>
          <w:tcPr>
            <w:tcW w:type="dxa" w:w="1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±3.58%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Random Forest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80.45%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77.42%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69.57%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73.28%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78.39%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±5.34%</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Gradient Boosting</w:t>
            </w:r>
          </w:p>
        </w:tc>
        <w:tc>
          <w:tcPr>
            <w:tcW w:type="dxa" w:w="1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79.89%</w:t>
            </w:r>
          </w:p>
        </w:tc>
        <w:tc>
          <w:tcPr>
            <w:tcW w:type="dxa" w:w="1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78.95%</w:t>
            </w:r>
          </w:p>
        </w:tc>
        <w:tc>
          <w:tcPr>
            <w:tcW w:type="dxa" w:w="11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65.22%</w:t>
            </w:r>
          </w:p>
        </w:tc>
        <w:tc>
          <w:tcPr>
            <w:tcW w:type="dxa" w:w="11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71.43%</w:t>
            </w:r>
          </w:p>
        </w:tc>
        <w:tc>
          <w:tcPr>
            <w:tcW w:type="dxa" w:w="14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81.19%</w:t>
            </w:r>
          </w:p>
        </w:tc>
        <w:tc>
          <w:tcPr>
            <w:tcW w:type="dxa" w:w="1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±3.12%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RF Tuned (GridSearch)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78.77%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80.39%</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59.42%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68.33%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82.88%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±3.35%</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GB Tuned (GridSearch)</w:t>
            </w:r>
          </w:p>
        </w:tc>
        <w:tc>
          <w:tcPr>
            <w:tcW w:type="dxa" w:w="1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79.89%</w:t>
            </w:r>
          </w:p>
        </w:tc>
        <w:tc>
          <w:tcPr>
            <w:tcW w:type="dxa" w:w="1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78.95%</w:t>
            </w:r>
          </w:p>
        </w:tc>
        <w:tc>
          <w:tcPr>
            <w:tcW w:type="dxa" w:w="11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65.22%</w:t>
            </w:r>
          </w:p>
        </w:tc>
        <w:tc>
          <w:tcPr>
            <w:tcW w:type="dxa" w:w="11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71.43%</w:t>
            </w:r>
          </w:p>
        </w:tc>
        <w:tc>
          <w:tcPr>
            <w:tcW w:type="dxa" w:w="14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82.60%</w:t>
            </w:r>
          </w:p>
        </w:tc>
        <w:tc>
          <w:tcPr>
            <w:tcW w:type="dxa" w:w="1200"/>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tcPr>
          <w:p>
            <w:r>
              <w:rPr>
                <w:rFonts w:ascii="Arial" w:cs="Arial" w:eastAsia="Arial" w:hAnsi="Arial"/>
                <w:sz w:val="18"/>
                <w:szCs w:val="18"/>
              </w:rPr>
              <w:t xml:space="preserve">±4.23%</w:t>
            </w:r>
          </w:p>
        </w:tc>
      </w:tr>
    </w:tbl>
    <w:p>
      <w:pPr>
        <w:spacing w:after="160"/>
      </w:pPr>
      <w:r>
        <w:t xml:space="preserve"/>
      </w:r>
    </w:p>
    <w:p>
      <w:pPr>
        <w:spacing w:after="120"/>
      </w:pPr>
      <w:r>
        <w:rPr>
          <w:rFonts w:ascii="Arial" w:cs="Arial" w:eastAsia="Arial" w:hAnsi="Arial"/>
          <w:sz w:val="22"/>
          <w:szCs w:val="22"/>
        </w:rPr>
        <w:t xml:space="preserve">CV Accuracy = 5-fold cross-validation mean accuracy on training set. This is the most reliable indicator of how a model will generalise to truly unseen data.</w:t>
      </w:r>
    </w:p>
    <w:p>
      <w:pPr>
        <w:spacing w:after="160"/>
      </w:pPr>
      <w:r>
        <w:t xml:space="preserve"/>
      </w:r>
    </w:p>
    <w:p>
      <w:pPr>
        <w:pStyle w:val="Heading1"/>
        <w:pBdr>
          <w:bottom w:val="single" w:color="2563EB" w:sz="6" w:space="4"/>
        </w:pBdr>
        <w:spacing w:after="160" w:before="320"/>
      </w:pPr>
      <w:r>
        <w:rPr>
          <w:rFonts w:ascii="Arial" w:cs="Arial" w:eastAsia="Arial" w:hAnsi="Arial"/>
          <w:b/>
          <w:bCs/>
          <w:color w:val="2563EB"/>
          <w:sz w:val="32"/>
          <w:szCs w:val="32"/>
        </w:rPr>
        <w:t xml:space="preserve">4. Comparison of Results</w:t>
      </w:r>
    </w:p>
    <w:p>
      <w:pPr>
        <w:pStyle w:val="Heading2"/>
        <w:spacing w:after="120" w:before="240"/>
      </w:pPr>
      <w:r>
        <w:rPr>
          <w:rFonts w:ascii="Arial" w:cs="Arial" w:eastAsia="Arial" w:hAnsi="Arial"/>
          <w:b/>
          <w:bCs/>
          <w:color w:val="1E293B"/>
          <w:sz w:val="26"/>
          <w:szCs w:val="26"/>
        </w:rPr>
        <w:t xml:space="preserve">4.1 Test Accuracy vs CV Accuracy</w:t>
      </w:r>
    </w:p>
    <w:p>
      <w:pPr>
        <w:spacing w:after="120"/>
      </w:pPr>
      <w:r>
        <w:rPr>
          <w:rFonts w:ascii="Arial" w:cs="Arial" w:eastAsia="Arial" w:hAnsi="Arial"/>
          <w:sz w:val="22"/>
          <w:szCs w:val="22"/>
        </w:rPr>
        <w:t xml:space="preserve">A notable pattern emerged: the Decision Tree achieved the highest single test accuracy (82.12%) but the lowest CV accuracy (77.26%), indicating it overfits to the specific test split. The Tuned Random Forest reversed this trend — lower test accuracy (78.77%) but highest CV accuracy (82.88%), meaning it generalises more reliably.</w:t>
      </w:r>
    </w:p>
    <w:p>
      <w:pPr>
        <w:spacing w:after="160"/>
      </w:pPr>
      <w:r>
        <w:t xml:space="preserve"/>
      </w:r>
    </w:p>
    <w:p>
      <w:pPr>
        <w:pStyle w:val="Heading2"/>
        <w:spacing w:after="120" w:before="240"/>
      </w:pPr>
      <w:r>
        <w:rPr>
          <w:rFonts w:ascii="Arial" w:cs="Arial" w:eastAsia="Arial" w:hAnsi="Arial"/>
          <w:b/>
          <w:bCs/>
          <w:color w:val="1E293B"/>
          <w:sz w:val="26"/>
          <w:szCs w:val="26"/>
        </w:rPr>
        <w:t xml:space="preserve">4.2 Precision vs Recall Trade-off</w:t>
      </w:r>
    </w:p>
    <w:p>
      <w:pPr>
        <w:spacing w:after="120"/>
      </w:pPr>
      <w:r>
        <w:rPr>
          <w:rFonts w:ascii="Arial" w:cs="Arial" w:eastAsia="Arial" w:hAnsi="Arial"/>
          <w:sz w:val="22"/>
          <w:szCs w:val="22"/>
        </w:rPr>
        <w:t xml:space="preserve">The Tuned Random Forest achieved the highest precision (80.39%) but the lowest recall (59.42%), meaning it is conservative in predicting survival — when it does predict survival, it is usually right, but it misses more actual survivors. The Decision Tree had the most balanced precision-recall performance.</w:t>
      </w:r>
    </w:p>
    <w:p>
      <w:pPr>
        <w:spacing w:after="160"/>
      </w:pPr>
      <w:r>
        <w:t xml:space="preserve"/>
      </w:r>
    </w:p>
    <w:p>
      <w:pPr>
        <w:pStyle w:val="Heading2"/>
        <w:spacing w:after="120" w:before="240"/>
      </w:pPr>
      <w:r>
        <w:rPr>
          <w:rFonts w:ascii="Arial" w:cs="Arial" w:eastAsia="Arial" w:hAnsi="Arial"/>
          <w:b/>
          <w:bCs/>
          <w:color w:val="1E293B"/>
          <w:sz w:val="26"/>
          <w:szCs w:val="26"/>
        </w:rPr>
        <w:t xml:space="preserve">4.3 Effect of Hyperparameter Tuning</w:t>
      </w:r>
    </w:p>
    <w:p>
      <w:pPr>
        <w:spacing w:after="120"/>
      </w:pPr>
      <w:r>
        <w:rPr>
          <w:rFonts w:ascii="Arial" w:cs="Arial" w:eastAsia="Arial" w:hAnsi="Arial"/>
          <w:sz w:val="22"/>
          <w:szCs w:val="22"/>
        </w:rPr>
        <w:t xml:space="preserve">Tuning improved CV accuracy for both models (Random Forest: +4.49 percentage points, Gradient Boosting: +1.41 percentage points) but did not always improve single-split test accuracy. This confirms that CV accuracy is the correct metric to optimise when tuning — single-split test accuracy is subject to chance variation in how the data was divided.</w:t>
      </w:r>
    </w:p>
    <w:p>
      <w:pPr>
        <w:spacing w:after="160"/>
      </w:pPr>
      <w:r>
        <w:t xml:space="preserve"/>
      </w:r>
    </w:p>
    <w:p>
      <w:pPr>
        <w:pStyle w:val="Heading1"/>
        <w:pBdr>
          <w:bottom w:val="single" w:color="2563EB" w:sz="6" w:space="4"/>
        </w:pBdr>
        <w:spacing w:after="160" w:before="320"/>
      </w:pPr>
      <w:r>
        <w:rPr>
          <w:rFonts w:ascii="Arial" w:cs="Arial" w:eastAsia="Arial" w:hAnsi="Arial"/>
          <w:b/>
          <w:bCs/>
          <w:color w:val="2563EB"/>
          <w:sz w:val="32"/>
          <w:szCs w:val="32"/>
        </w:rPr>
        <w:t xml:space="preserve">5. Best-Performing Model</w:t>
      </w:r>
    </w:p>
    <w:p>
      <w:pPr>
        <w:spacing w:after="120"/>
      </w:pPr>
      <w:r>
        <w:rPr>
          <w:rFonts w:ascii="Arial" w:cs="Arial" w:eastAsia="Arial" w:hAnsi="Arial"/>
          <w:sz w:val="22"/>
          <w:szCs w:val="22"/>
        </w:rPr>
        <w:t xml:space="preserve">The Tuned Random Forest is the best-performing model based on the following evidence:</w:t>
      </w:r>
    </w:p>
    <w:p>
      <w:pPr>
        <w:pStyle w:val="ListParagraph"/>
        <w:numPr>
          <w:ilvl w:val="0"/>
          <w:numId w:val="2"/>
        </w:numPr>
        <w:spacing w:after="80"/>
      </w:pPr>
      <w:r>
        <w:rPr>
          <w:rFonts w:ascii="Arial" w:cs="Arial" w:eastAsia="Arial" w:hAnsi="Arial"/>
          <w:sz w:val="22"/>
          <w:szCs w:val="22"/>
        </w:rPr>
        <w:t xml:space="preserve">Highest 5-fold CV accuracy: 82.88% — the most reliable estimate of real-world performance</w:t>
      </w:r>
    </w:p>
    <w:p>
      <w:pPr>
        <w:pStyle w:val="ListParagraph"/>
        <w:numPr>
          <w:ilvl w:val="0"/>
          <w:numId w:val="2"/>
        </w:numPr>
        <w:spacing w:after="80"/>
      </w:pPr>
      <w:r>
        <w:rPr>
          <w:rFonts w:ascii="Arial" w:cs="Arial" w:eastAsia="Arial" w:hAnsi="Arial"/>
          <w:sz w:val="22"/>
          <w:szCs w:val="22"/>
        </w:rPr>
        <w:t xml:space="preserve">Low variance across folds: ±3.35% — consistent and stable predictions</w:t>
      </w:r>
    </w:p>
    <w:p>
      <w:pPr>
        <w:pStyle w:val="ListParagraph"/>
        <w:numPr>
          <w:ilvl w:val="0"/>
          <w:numId w:val="2"/>
        </w:numPr>
        <w:spacing w:after="80"/>
      </w:pPr>
      <w:r>
        <w:rPr>
          <w:rFonts w:ascii="Arial" w:cs="Arial" w:eastAsia="Arial" w:hAnsi="Arial"/>
          <w:sz w:val="22"/>
          <w:szCs w:val="22"/>
        </w:rPr>
        <w:t xml:space="preserve">Highest precision: 80.39% — when it predicts survival, it is accurate</w:t>
      </w:r>
    </w:p>
    <w:p>
      <w:pPr>
        <w:pStyle w:val="ListParagraph"/>
        <w:numPr>
          <w:ilvl w:val="0"/>
          <w:numId w:val="2"/>
        </w:numPr>
        <w:spacing w:after="80"/>
      </w:pPr>
      <w:r>
        <w:rPr>
          <w:rFonts w:ascii="Arial" w:cs="Arial" w:eastAsia="Arial" w:hAnsi="Arial"/>
          <w:sz w:val="22"/>
          <w:szCs w:val="22"/>
        </w:rPr>
        <w:t xml:space="preserve">Ensemble design reduces overfitting that affects the single Decision Tree</w:t>
      </w:r>
    </w:p>
    <w:p>
      <w:pPr>
        <w:spacing w:after="120"/>
      </w:pPr>
      <w:r>
        <w:rPr>
          <w:rFonts w:ascii="Arial" w:cs="Arial" w:eastAsia="Arial" w:hAnsi="Arial"/>
          <w:sz w:val="22"/>
          <w:szCs w:val="22"/>
        </w:rPr>
        <w:t xml:space="preserve">For a deployment scenario where consistent performance on new passenger data matters more than maximising accuracy on one specific test set, the Tuned Random Forest is the recommended model.</w:t>
      </w:r>
    </w:p>
    <w:p>
      <w:pPr>
        <w:spacing w:after="160"/>
      </w:pPr>
      <w:r>
        <w:t xml:space="preserve"/>
      </w:r>
    </w:p>
    <w:p>
      <w:pPr>
        <w:pStyle w:val="Heading1"/>
        <w:pBdr>
          <w:bottom w:val="single" w:color="2563EB" w:sz="6" w:space="4"/>
        </w:pBdr>
        <w:spacing w:after="160" w:before="320"/>
      </w:pPr>
      <w:r>
        <w:rPr>
          <w:rFonts w:ascii="Arial" w:cs="Arial" w:eastAsia="Arial" w:hAnsi="Arial"/>
          <w:b/>
          <w:bCs/>
          <w:color w:val="2563EB"/>
          <w:sz w:val="32"/>
          <w:szCs w:val="32"/>
        </w:rPr>
        <w:t xml:space="preserve">6. Key Findings &amp; Recommendations</w:t>
      </w:r>
    </w:p>
    <w:p>
      <w:pPr>
        <w:pStyle w:val="ListParagraph"/>
        <w:numPr>
          <w:ilvl w:val="0"/>
          <w:numId w:val="2"/>
        </w:numPr>
        <w:spacing w:after="80"/>
      </w:pPr>
      <w:r>
        <w:rPr>
          <w:rFonts w:ascii="Arial" w:cs="Arial" w:eastAsia="Arial" w:hAnsi="Arial"/>
          <w:sz w:val="22"/>
          <w:szCs w:val="22"/>
        </w:rPr>
        <w:t xml:space="preserve">Sex (gender) and Fare were the top two most important features across all three model types — consistent with findings from Weeks 3 and 4</w:t>
      </w:r>
    </w:p>
    <w:p>
      <w:pPr>
        <w:pStyle w:val="ListParagraph"/>
        <w:numPr>
          <w:ilvl w:val="0"/>
          <w:numId w:val="2"/>
        </w:numPr>
        <w:spacing w:after="80"/>
      </w:pPr>
      <w:r>
        <w:rPr>
          <w:rFonts w:ascii="Arial" w:cs="Arial" w:eastAsia="Arial" w:hAnsi="Arial"/>
          <w:sz w:val="22"/>
          <w:szCs w:val="22"/>
        </w:rPr>
        <w:t xml:space="preserve">Gradient Boosting showed the most stable CV performance (lowest standard deviation of 3.12% in its default form) making it worth exploring further with more aggressive tuning</w:t>
      </w:r>
    </w:p>
    <w:p>
      <w:pPr>
        <w:pStyle w:val="ListParagraph"/>
        <w:numPr>
          <w:ilvl w:val="0"/>
          <w:numId w:val="2"/>
        </w:numPr>
        <w:spacing w:after="80"/>
      </w:pPr>
      <w:r>
        <w:rPr>
          <w:rFonts w:ascii="Arial" w:cs="Arial" w:eastAsia="Arial" w:hAnsi="Arial"/>
          <w:sz w:val="22"/>
          <w:szCs w:val="22"/>
        </w:rPr>
        <w:t xml:space="preserve">Cross-validation accuracy is a more trustworthy evaluation metric than single train-test split accuracy — models should be selected based on CV performance</w:t>
      </w:r>
    </w:p>
    <w:p>
      <w:pPr>
        <w:pStyle w:val="ListParagraph"/>
        <w:numPr>
          <w:ilvl w:val="0"/>
          <w:numId w:val="2"/>
        </w:numPr>
        <w:spacing w:after="80"/>
      </w:pPr>
      <w:r>
        <w:rPr>
          <w:rFonts w:ascii="Arial" w:cs="Arial" w:eastAsia="Arial" w:hAnsi="Arial"/>
          <w:sz w:val="22"/>
          <w:szCs w:val="22"/>
        </w:rPr>
        <w:t xml:space="preserve">Hyperparameter tuning via GridSearchCV meaningfully improved generalisation even when it did not improve test set accuracy</w:t>
      </w:r>
    </w:p>
    <w:p>
      <w:pPr>
        <w:pStyle w:val="ListParagraph"/>
        <w:numPr>
          <w:ilvl w:val="0"/>
          <w:numId w:val="2"/>
        </w:numPr>
        <w:spacing w:after="80"/>
      </w:pPr>
      <w:r>
        <w:rPr>
          <w:rFonts w:ascii="Arial" w:cs="Arial" w:eastAsia="Arial" w:hAnsi="Arial"/>
          <w:sz w:val="22"/>
          <w:szCs w:val="22"/>
        </w:rPr>
        <w:t xml:space="preserve">Next steps: try XGBoost or LightGBM for potentially stronger performance; apply feature engineering (e.g. FamilySize = SibSp + Parch + 1, Title extracted from Name) to improve all models</w:t>
      </w:r>
    </w:p>
    <w:p>
      <w:pPr>
        <w:spacing w:after="160"/>
      </w:pPr>
      <w:r>
        <w:t xml:space="preserve"/>
      </w:r>
    </w:p>
    <w:p>
      <w:pPr>
        <w:pBdr>
          <w:top w:val="single" w:color="2563EB" w:sz="4" w:space="4"/>
        </w:pBdr>
        <w:spacing w:before="480"/>
        <w:jc w:val="center"/>
      </w:pPr>
      <w:r>
        <w:rPr>
          <w:rFonts w:ascii="Arial" w:cs="Arial" w:eastAsia="Arial" w:hAnsi="Arial"/>
          <w:color w:val="94A3B8"/>
          <w:sz w:val="18"/>
          <w:szCs w:val="18"/>
        </w:rPr>
        <w:t xml:space="preserve">AnalystLab Africa ML Internship — Week 5 Performance Comparison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2026-06-07T15:12:37.193Z</dcterms:created>
  <dcterms:modified xsi:type="dcterms:W3CDTF">2026-06-07T15:12:37.204Z</dcterms:modified>
</cp:coreProperties>
</file>

<file path=docProps/custom.xml><?xml version="1.0" encoding="utf-8"?>
<Properties xmlns="http://schemas.openxmlformats.org/officeDocument/2006/custom-properties" xmlns:vt="http://schemas.openxmlformats.org/officeDocument/2006/docPropsVTypes"/>
</file>