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781"/>
        <w:gridCol w:w="1529"/>
        <w:gridCol w:w="1080"/>
        <w:gridCol w:w="1291"/>
        <w:gridCol w:w="1291"/>
        <w:gridCol w:w="1080"/>
        <w:gridCol w:w="1181"/>
        <w:gridCol w:w="1401"/>
      </w:tblGrid>
      <w:tr>
        <w:trPr>
          <w:trHeight w:val="563" w:hRule="auto"/>
          <w:tblHeader/>
        </w:trPr>
        header1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Variable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Unit</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Mean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SD</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Min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Median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Max</w:t>
            </w:r>
          </w:p>
        </w:tc>
      </w:tr>
      <w:tr>
        <w:trPr>
          <w:trHeight w:val="61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PM2.5 exposure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µg/m³</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3,185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26.80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16.73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5.13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22.12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107.14</w:t>
            </w:r>
          </w:p>
        </w:tc>
      </w:tr>
      <w:tr>
        <w:trPr>
          <w:trHeight w:val="61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GDP per capita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current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12,891.09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19,009.01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136.93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4,264.66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123,678.70</w:t>
            </w:r>
          </w:p>
        </w:tc>
      </w:tr>
      <w:tr>
        <w:trPr>
          <w:trHeight w:val="61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Urban population share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100.00</w:t>
            </w:r>
          </w:p>
        </w:tc>
      </w:tr>
      <w:tr>
        <w:trPr>
          <w:trHeight w:val="61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Industrial production share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 of GDP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86.67</w:t>
            </w:r>
          </w:p>
        </w:tc>
      </w:tr>
      <w:tr>
        <w:trPr>
          <w:trHeight w:val="61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Trade openness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 of GDP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76.08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437.33</w:t>
            </w:r>
          </w:p>
        </w:tc>
      </w:tr>
      <w:tr>
        <w:trPr>
          <w:trHeight w:val="611"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Renewable energy</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 of energy</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3,185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31.63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28.84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22.80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98.30</w:t>
            </w:r>
          </w:p>
        </w:tc>
      </w:tr>
      <w:tr>
        <w:trPr>
          <w:trHeight w:val="360" w:hRule="auto"/>
        </w:trPr>
        footer1
        <w:tc>
          <w:tcPr>
            <w:gridSpan w:val="8"/>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18"/>
                <w:szCs w:val="18"/>
                <w:color w:val="000000"/>
              </w:rPr>
            </w:pPr>
            <w:r>
              <w:rPr>
                <w:rFonts w:ascii="Times New Roman" w:hAnsi="Times New Roman" w:eastAsia="Times New Roman" w:cs="Times New Roman"/>
                <w:i w:val="false"/>
                <w:b w:val="false"/>
                <w:u w:val="none"/>
                <w:sz w:val="18"/>
                <w:szCs w:val="18"/>
                <w:color w:val="000000"/>
              </w:rPr>
              <w:t xml:space="preserve">Notes: Estimation sample: 3,185 country-year observations, 174 countries, 2000–2019. All statistics computed on the estimation sample (complete cases for the fullest specification). GDP per capita and PM2.5 are entered in log form in the regression. Population density and CO₂ per capita are excluded from this table; CO₂ is included in the dataset for reference only and is not used as a control variable.</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bendietrich</cp:lastModifiedBy>
  <cp:revision>9</cp:revision>
  <dcterms:created xsi:type="dcterms:W3CDTF">2017-02-28T11:18:00Z</dcterms:created>
  <dcterms:modified xsi:type="dcterms:W3CDTF">2026-06-25T22:30:27Z</dcterms:modified>
  <cp:category/>
</cp:coreProperties>
</file>