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20" w:rsidRPr="00016620" w:rsidRDefault="00016620" w:rsidP="00016620">
      <w:pPr>
        <w:shd w:val="clear" w:color="auto" w:fill="FFFFFF"/>
        <w:spacing w:after="100" w:afterAutospacing="1" w:line="315" w:lineRule="atLeast"/>
        <w:outlineLvl w:val="0"/>
        <w:rPr>
          <w:rFonts w:ascii="Arial" w:eastAsia="Times New Roman" w:hAnsi="Arial" w:cs="Arial"/>
          <w:caps/>
          <w:color w:val="A6192E"/>
          <w:kern w:val="36"/>
          <w:sz w:val="21"/>
          <w:szCs w:val="21"/>
          <w:lang w:eastAsia="tr-TR"/>
        </w:rPr>
      </w:pPr>
      <w:r w:rsidRPr="00016620">
        <w:rPr>
          <w:rFonts w:ascii="Arial" w:eastAsia="Times New Roman" w:hAnsi="Arial" w:cs="Arial"/>
          <w:caps/>
          <w:color w:val="A6192E"/>
          <w:kern w:val="36"/>
          <w:sz w:val="21"/>
          <w:szCs w:val="21"/>
          <w:lang w:eastAsia="tr-TR"/>
        </w:rPr>
        <w:t>RESEARCH</w:t>
      </w:r>
    </w:p>
    <w:p w:rsidR="00016620" w:rsidRPr="00016620" w:rsidRDefault="00016620" w:rsidP="00016620">
      <w:pPr>
        <w:shd w:val="clear" w:color="auto" w:fill="FFFFFF"/>
        <w:spacing w:after="93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</w:pPr>
      <w:bookmarkStart w:id="0" w:name="_GoBack"/>
      <w:proofErr w:type="spellStart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>Electric</w:t>
      </w:r>
      <w:proofErr w:type="spellEnd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 xml:space="preserve"> </w:t>
      </w:r>
      <w:proofErr w:type="spellStart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>vehicles</w:t>
      </w:r>
      <w:proofErr w:type="spellEnd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 xml:space="preserve">’ </w:t>
      </w:r>
      <w:proofErr w:type="spellStart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>success</w:t>
      </w:r>
      <w:proofErr w:type="spellEnd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 xml:space="preserve"> not </w:t>
      </w:r>
      <w:proofErr w:type="spellStart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>tied</w:t>
      </w:r>
      <w:proofErr w:type="spellEnd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 xml:space="preserve"> </w:t>
      </w:r>
      <w:proofErr w:type="spellStart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>to</w:t>
      </w:r>
      <w:proofErr w:type="spellEnd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 xml:space="preserve"> </w:t>
      </w:r>
      <w:proofErr w:type="spellStart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>public</w:t>
      </w:r>
      <w:proofErr w:type="spellEnd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 xml:space="preserve"> </w:t>
      </w:r>
      <w:proofErr w:type="spellStart"/>
      <w:r w:rsidRPr="00016620">
        <w:rPr>
          <w:rFonts w:ascii="Arial" w:eastAsia="Times New Roman" w:hAnsi="Arial" w:cs="Arial"/>
          <w:color w:val="000000"/>
          <w:kern w:val="36"/>
          <w:sz w:val="48"/>
          <w:szCs w:val="48"/>
          <w:lang w:eastAsia="tr-TR"/>
        </w:rPr>
        <w:t>chargers</w:t>
      </w:r>
      <w:proofErr w:type="spellEnd"/>
    </w:p>
    <w:bookmarkEnd w:id="0"/>
    <w:p w:rsidR="00016620" w:rsidRPr="00016620" w:rsidRDefault="00016620" w:rsidP="00016620">
      <w:pPr>
        <w:shd w:val="clear" w:color="auto" w:fill="FFFFFF"/>
        <w:spacing w:line="315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March</w:t>
      </w:r>
      <w:proofErr w:type="spellEnd"/>
      <w:r w:rsidRPr="0001662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12, 2015</w:t>
      </w:r>
    </w:p>
    <w:p w:rsidR="00016620" w:rsidRPr="00016620" w:rsidRDefault="00016620" w:rsidP="00016620">
      <w:pPr>
        <w:shd w:val="clear" w:color="auto" w:fill="FFFFFF"/>
        <w:spacing w:after="0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t>Tweet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 </w:t>
      </w:r>
      <w:r w:rsidRPr="00016620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t>Facebook</w:t>
      </w: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 </w:t>
      </w:r>
      <w:proofErr w:type="spellStart"/>
      <w:r w:rsidRPr="00016620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t>Pinterest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 </w:t>
      </w:r>
      <w:proofErr w:type="spellStart"/>
      <w:r w:rsidRPr="00016620">
        <w:rPr>
          <w:rFonts w:ascii="Verdana" w:eastAsia="Times New Roman" w:hAnsi="Verdana" w:cs="Times New Roman"/>
          <w:color w:val="000000"/>
          <w:sz w:val="17"/>
          <w:szCs w:val="17"/>
          <w:lang w:eastAsia="tr-TR"/>
        </w:rPr>
        <w:t>Email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 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fldChar w:fldCharType="begin"/>
      </w: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instrText xml:space="preserve"> HYPERLINK "javascript:window.print()" </w:instrText>
      </w: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fldChar w:fldCharType="separate"/>
      </w:r>
      <w:r w:rsidRPr="00016620">
        <w:rPr>
          <w:rFonts w:ascii="Verdana" w:eastAsia="Times New Roman" w:hAnsi="Verdana" w:cs="Times New Roman"/>
          <w:color w:val="000000"/>
          <w:sz w:val="17"/>
          <w:szCs w:val="17"/>
          <w:u w:val="single"/>
          <w:lang w:eastAsia="tr-TR"/>
        </w:rPr>
        <w:t>Print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fldChar w:fldCharType="end"/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A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Simon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Fraser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University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Faculty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Environment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researcher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says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new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study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conducted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graduate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students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has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important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implications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governments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limited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budgets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support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market.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hyperlink r:id="rId4" w:history="1">
        <w:proofErr w:type="spellStart"/>
        <w:r w:rsidRPr="00016620">
          <w:rPr>
            <w:rFonts w:ascii="Cambria" w:eastAsia="Times New Roman" w:hAnsi="Cambria" w:cs="Times New Roman"/>
            <w:color w:val="A6192E"/>
            <w:sz w:val="24"/>
            <w:szCs w:val="24"/>
            <w:u w:val="single"/>
            <w:lang w:eastAsia="tr-TR"/>
          </w:rPr>
          <w:t>Jonn</w:t>
        </w:r>
        <w:proofErr w:type="spellEnd"/>
        <w:r w:rsidRPr="00016620">
          <w:rPr>
            <w:rFonts w:ascii="Cambria" w:eastAsia="Times New Roman" w:hAnsi="Cambria" w:cs="Times New Roman"/>
            <w:color w:val="A6192E"/>
            <w:sz w:val="24"/>
            <w:szCs w:val="24"/>
            <w:u w:val="single"/>
            <w:lang w:eastAsia="tr-TR"/>
          </w:rPr>
          <w:t xml:space="preserve"> </w:t>
        </w:r>
        <w:proofErr w:type="spellStart"/>
        <w:r w:rsidRPr="00016620">
          <w:rPr>
            <w:rFonts w:ascii="Cambria" w:eastAsia="Times New Roman" w:hAnsi="Cambria" w:cs="Times New Roman"/>
            <w:color w:val="A6192E"/>
            <w:sz w:val="24"/>
            <w:szCs w:val="24"/>
            <w:u w:val="single"/>
            <w:lang w:eastAsia="tr-TR"/>
          </w:rPr>
          <w:t>Axsen</w:t>
        </w:r>
        <w:proofErr w:type="spellEnd"/>
      </w:hyperlink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a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professor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School of Resource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Environmental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Management, has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co-authored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 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fldChar w:fldCharType="begin"/>
      </w: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instrText xml:space="preserve"> HYPERLINK "http://www.sciencedirect.com/science/article/pii/S1361920915000103" </w:instrText>
      </w: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fldChar w:fldCharType="separate"/>
      </w:r>
      <w:r w:rsidRPr="00016620">
        <w:rPr>
          <w:rFonts w:ascii="Cambria" w:eastAsia="Times New Roman" w:hAnsi="Cambria" w:cs="Times New Roman"/>
          <w:color w:val="A6192E"/>
          <w:sz w:val="24"/>
          <w:szCs w:val="24"/>
          <w:u w:val="single"/>
          <w:lang w:eastAsia="tr-TR"/>
        </w:rPr>
        <w:t>study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fldChar w:fldCharType="end"/>
      </w: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 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finds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accessibility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home-based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could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do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more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boost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popularity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Working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his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graduate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students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Joseph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Bailey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study’s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lead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author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Amy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Miele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Axsen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found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awareness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has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little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impact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consumers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’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interest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peer-reviewed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journal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 </w:t>
      </w:r>
      <w:proofErr w:type="spellStart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>Transportation</w:t>
      </w:r>
      <w:proofErr w:type="spellEnd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>Research</w:t>
      </w:r>
      <w:proofErr w:type="spellEnd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>Part</w:t>
      </w:r>
      <w:proofErr w:type="spellEnd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 xml:space="preserve"> D: Transport </w:t>
      </w:r>
      <w:proofErr w:type="spellStart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tr-TR"/>
        </w:rPr>
        <w:t xml:space="preserve"> Environment</w:t>
      </w: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 has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published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trio’s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findings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their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article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“Is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awareness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associated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consumer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interest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plug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-in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?”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researchers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recently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presented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their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study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National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Academy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Sciences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’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Transportation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Research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Board in Washington, D.C.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“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When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account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relevant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factors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our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analysis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suggests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relationship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between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awareness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plug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-in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demand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weak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non-existent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,”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says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Axsen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 “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other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words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installation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might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not be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way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encourage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growth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market.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“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This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finding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particularly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relevant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British Columbia,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which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recently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announced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will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revive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Clean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Energy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Program, a program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supports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adoption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powered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electricity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other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alternative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fuels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provincial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government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has yet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announce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how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renewal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funds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will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spent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.”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study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collected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information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from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representative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sample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1,739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new-vehicle-buying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households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Canada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536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from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British Columbia.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Respondents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were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asked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lastRenderedPageBreak/>
        <w:t>about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awareness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their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region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about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their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overall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interest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purchasing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plug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-in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as a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Chevrolet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Volt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Nissan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Leaf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data</w:t>
      </w:r>
      <w:proofErr w:type="gram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showed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British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Columbia’s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Clean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Energy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program—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which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installed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almost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500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when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survey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was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conducted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2013—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was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largely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successful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increasing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awareness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Almost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one-third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British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Columbian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respondents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had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seen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least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one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compared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only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13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cent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respondents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rest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Canada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However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awareness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didn’t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necessarily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translate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increased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plug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-in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interest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study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found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future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buyers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are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far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more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likely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attracted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plug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-in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hybrid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Chevrolet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Volt,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which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powered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both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gasoline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electricity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“Since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cars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such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Chevy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Volt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don’t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only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electricity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potential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buyers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aren’t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concerned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about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,”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says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Bailey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. “People can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just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recharge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home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drive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wherever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want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given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day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good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news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about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two-thirds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car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buyers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already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have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some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type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access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at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home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.”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>Purchase</w:t>
      </w:r>
      <w:proofErr w:type="spellEnd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>rebates</w:t>
      </w:r>
      <w:proofErr w:type="spellEnd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>also</w:t>
      </w:r>
      <w:proofErr w:type="spellEnd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>spark</w:t>
      </w:r>
      <w:proofErr w:type="spellEnd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>consumer</w:t>
      </w:r>
      <w:proofErr w:type="spellEnd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tr-TR"/>
        </w:rPr>
        <w:t>interest</w:t>
      </w:r>
      <w:proofErr w:type="spellEnd"/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“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Given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we’ve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seen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here, it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seems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wise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for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governments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to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focus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their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money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incentives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other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public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,”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says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Axsen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 “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know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purchase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rebates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spark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consumer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interest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we’ve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shown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that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home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charging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important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combination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with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implementation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a Zero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Emissions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mandate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like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California’s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these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measures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could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biggest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boosters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electric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vehicle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sales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.”</w:t>
      </w:r>
    </w:p>
    <w:p w:rsidR="00016620" w:rsidRPr="00016620" w:rsidRDefault="00016620" w:rsidP="00016620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</w:pP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Grants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provided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by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the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Social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Sciences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Humanities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Research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Council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Canada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and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Natural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Resources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Canada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funded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this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research</w:t>
      </w:r>
      <w:proofErr w:type="spellEnd"/>
      <w:r w:rsidRPr="00016620">
        <w:rPr>
          <w:rFonts w:ascii="Cambria" w:eastAsia="Times New Roman" w:hAnsi="Cambria" w:cs="Times New Roman"/>
          <w:color w:val="000000"/>
          <w:sz w:val="24"/>
          <w:szCs w:val="24"/>
          <w:lang w:eastAsia="tr-TR"/>
        </w:rPr>
        <w:t>.</w:t>
      </w:r>
    </w:p>
    <w:p w:rsidR="0003550D" w:rsidRDefault="00016620">
      <w:hyperlink r:id="rId5" w:history="1">
        <w:r w:rsidRPr="00D24105">
          <w:rPr>
            <w:rStyle w:val="Hyperlink"/>
          </w:rPr>
          <w:t>https://www.sfu.ca/sfunews/stories/2015/electric-vehicles-success-not-tied-to-public-chargers.html</w:t>
        </w:r>
      </w:hyperlink>
    </w:p>
    <w:p w:rsidR="00016620" w:rsidRDefault="00016620"/>
    <w:sectPr w:rsidR="0001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78"/>
    <w:rsid w:val="00016620"/>
    <w:rsid w:val="0003550D"/>
    <w:rsid w:val="00133BF6"/>
    <w:rsid w:val="00D45D78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319A5-7CBC-402E-9E92-BE86B590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chicklets">
    <w:name w:val="chicklets"/>
    <w:basedOn w:val="DefaultParagraphFont"/>
    <w:rsid w:val="00016620"/>
  </w:style>
  <w:style w:type="character" w:customStyle="1" w:styleId="apple-converted-space">
    <w:name w:val="apple-converted-space"/>
    <w:basedOn w:val="DefaultParagraphFont"/>
    <w:rsid w:val="00016620"/>
  </w:style>
  <w:style w:type="character" w:styleId="Hyperlink">
    <w:name w:val="Hyperlink"/>
    <w:basedOn w:val="DefaultParagraphFont"/>
    <w:uiPriority w:val="99"/>
    <w:unhideWhenUsed/>
    <w:rsid w:val="000166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6417">
          <w:marLeft w:val="0"/>
          <w:marRight w:val="0"/>
          <w:marTop w:val="0"/>
          <w:marBottom w:val="2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6442">
          <w:marLeft w:val="0"/>
          <w:marRight w:val="300"/>
          <w:marTop w:val="0"/>
          <w:marBottom w:val="0"/>
          <w:divBdr>
            <w:top w:val="single" w:sz="6" w:space="4" w:color="DDDDDD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825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fu.ca/sfunews/stories/2015/electric-vehicles-success-not-tied-to-public-chargers.html" TargetMode="External"/><Relationship Id="rId4" Type="http://schemas.openxmlformats.org/officeDocument/2006/relationships/hyperlink" Target="http://www.rem.sfu.ca/people/faculty/jaxs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3</cp:revision>
  <dcterms:created xsi:type="dcterms:W3CDTF">2015-04-19T17:57:00Z</dcterms:created>
  <dcterms:modified xsi:type="dcterms:W3CDTF">2015-04-19T17:58:00Z</dcterms:modified>
</cp:coreProperties>
</file>