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2DE8" w14:textId="03AF3604" w:rsidR="00B47BB4" w:rsidRPr="00FA3099" w:rsidRDefault="0054420F" w:rsidP="003F054A">
      <w:pPr>
        <w:pStyle w:val="Titr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ous-titre"/>
        <w:rPr>
          <w:lang w:val="en-US"/>
        </w:rPr>
      </w:pPr>
      <w:r w:rsidRPr="00FA3099">
        <w:rPr>
          <w:lang w:val="en-US"/>
        </w:rPr>
        <w:t>Ruling organisms</w:t>
      </w:r>
    </w:p>
    <w:p w14:paraId="2BAD2B9A" w14:textId="68A72661"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w:t>
      </w:r>
      <w:proofErr w:type="gramStart"/>
      <w:r w:rsidRPr="00FA3099">
        <w:rPr>
          <w:rFonts w:ascii="Trebuchet MS" w:hAnsi="Trebuchet MS"/>
          <w:lang w:val="en-US"/>
        </w:rPr>
        <w:t>used,</w:t>
      </w:r>
      <w:proofErr w:type="gramEnd"/>
      <w:r w:rsidRPr="00FA3099">
        <w:rPr>
          <w:rFonts w:ascii="Trebuchet MS" w:hAnsi="Trebuchet MS"/>
          <w:lang w:val="en-US"/>
        </w:rPr>
        <w:t xml:space="preserve"> </w:t>
      </w:r>
      <w:r w:rsidR="00600430">
        <w:rPr>
          <w:rFonts w:ascii="Trebuchet MS" w:hAnsi="Trebuchet MS"/>
          <w:lang w:val="en-US"/>
        </w:rPr>
        <w:t xml:space="preserve">however, </w:t>
      </w:r>
      <w:r w:rsidRPr="00FA3099">
        <w:rPr>
          <w:rFonts w:ascii="Trebuchet MS" w:hAnsi="Trebuchet MS"/>
          <w:lang w:val="en-US"/>
        </w:rPr>
        <w:t xml:space="preserve">most of the future methods and rules are intrinsically established by the research and </w:t>
      </w:r>
      <w:r w:rsidR="00E25A45">
        <w:rPr>
          <w:rFonts w:ascii="Trebuchet MS" w:hAnsi="Trebuchet MS"/>
          <w:lang w:val="en-US"/>
        </w:rPr>
        <w:t>companies that build the new EVs</w:t>
      </w:r>
      <w:r w:rsidRPr="00FA3099">
        <w:rPr>
          <w:rFonts w:ascii="Trebuchet MS" w:hAnsi="Trebuchet MS"/>
          <w:lang w:val="en-US"/>
        </w:rPr>
        <w:t>.</w:t>
      </w:r>
    </w:p>
    <w:p w14:paraId="2D6E8F72" w14:textId="021940F8" w:rsidR="009B7435" w:rsidRPr="00FA3099" w:rsidRDefault="00A27039" w:rsidP="00A627E7">
      <w:pPr>
        <w:spacing w:after="120"/>
        <w:jc w:val="both"/>
        <w:rPr>
          <w:rFonts w:ascii="Trebuchet MS" w:hAnsi="Trebuchet MS"/>
          <w:u w:val="single"/>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 xml:space="preserve">ted rules and started to create </w:t>
      </w:r>
      <w:r w:rsidR="00420517">
        <w:rPr>
          <w:rFonts w:ascii="Trebuchet MS" w:hAnsi="Trebuchet MS"/>
          <w:lang w:val="en-US"/>
        </w:rPr>
        <w:t>new ones</w:t>
      </w:r>
      <w:r w:rsidRPr="00FA3099">
        <w:rPr>
          <w:rFonts w:ascii="Trebuchet MS" w:hAnsi="Trebuchet MS"/>
          <w:lang w:val="en-US"/>
        </w:rPr>
        <w:t xml:space="preserve"> </w:t>
      </w:r>
      <w:r w:rsidR="00420517">
        <w:rPr>
          <w:rFonts w:ascii="Trebuchet MS" w:hAnsi="Trebuchet MS"/>
          <w:lang w:val="en-US"/>
        </w:rPr>
        <w:t>for</w:t>
      </w:r>
      <w:r w:rsidRPr="00FA3099">
        <w:rPr>
          <w:rFonts w:ascii="Trebuchet MS" w:hAnsi="Trebuchet MS"/>
          <w:lang w:val="en-US"/>
        </w:rPr>
        <w:t xml:space="preserve"> the EV charging stations:</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 xml:space="preserve">Centre National du Transport </w:t>
      </w:r>
      <w:proofErr w:type="spellStart"/>
      <w:r w:rsidR="00D201E7" w:rsidRPr="009E1EF4">
        <w:rPr>
          <w:rFonts w:ascii="Trebuchet MS" w:hAnsi="Trebuchet MS"/>
          <w:lang w:val="en-US"/>
        </w:rPr>
        <w:t>Avancé</w:t>
      </w:r>
      <w:proofErr w:type="spellEnd"/>
      <w:r w:rsidR="00D201E7" w:rsidRPr="009E1EF4">
        <w:rPr>
          <w:rFonts w:ascii="Trebuchet MS" w:hAnsi="Trebuchet MS"/>
          <w:lang w:val="en-US"/>
        </w:rPr>
        <w:t xml:space="preserve">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proofErr w:type="spellStart"/>
      <w:r w:rsidR="00174C0A">
        <w:fldChar w:fldCharType="begin"/>
      </w:r>
      <w:r w:rsidR="00174C0A" w:rsidRPr="00420517">
        <w:rPr>
          <w:lang w:val="en-US"/>
        </w:rPr>
        <w:instrText xml:space="preserve"> HYPERLINK \l "_Annexe_1:_Example" </w:instrText>
      </w:r>
      <w:r w:rsidR="00174C0A">
        <w:fldChar w:fldCharType="separate"/>
      </w:r>
      <w:r w:rsidR="008D1476" w:rsidRPr="009E1EF4">
        <w:rPr>
          <w:rStyle w:val="Lienhypertexte"/>
          <w:rFonts w:ascii="Trebuchet MS" w:hAnsi="Trebuchet MS"/>
          <w:lang w:val="en-US"/>
        </w:rPr>
        <w:t>Annexe</w:t>
      </w:r>
      <w:proofErr w:type="spellEnd"/>
      <w:r w:rsidR="008D1476" w:rsidRPr="009E1EF4">
        <w:rPr>
          <w:rStyle w:val="Lienhypertexte"/>
          <w:rFonts w:ascii="Trebuchet MS" w:hAnsi="Trebuchet MS"/>
          <w:lang w:val="en-US"/>
        </w:rPr>
        <w:t xml:space="preserve"> 1</w:t>
      </w:r>
      <w:r w:rsidR="00174C0A">
        <w:rPr>
          <w:rStyle w:val="Lienhypertexte"/>
          <w:rFonts w:ascii="Trebuchet MS" w:hAnsi="Trebuchet MS"/>
          <w:lang w:val="en-US"/>
        </w:rPr>
        <w:fldChar w:fldCharType="end"/>
      </w:r>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 xml:space="preserve">International </w:t>
      </w:r>
      <w:proofErr w:type="spellStart"/>
      <w:r w:rsidR="00D201E7" w:rsidRPr="00FA3099">
        <w:rPr>
          <w:rFonts w:ascii="Trebuchet MS" w:hAnsi="Trebuchet MS"/>
          <w:lang w:val="en-US"/>
        </w:rPr>
        <w:t>Electrotechnical</w:t>
      </w:r>
      <w:proofErr w:type="spellEnd"/>
      <w:r w:rsidR="00D201E7" w:rsidRPr="00FA3099">
        <w:rPr>
          <w:rFonts w:ascii="Trebuchet MS" w:hAnsi="Trebuchet MS"/>
          <w:lang w:val="en-US"/>
        </w:rPr>
        <w:t xml:space="preserve"> Commission</w:t>
      </w:r>
      <w:r w:rsidR="009E1EF4">
        <w:rPr>
          <w:rFonts w:ascii="Trebuchet MS" w:hAnsi="Trebuchet MS"/>
          <w:lang w:val="en-US"/>
        </w:rPr>
        <w:t xml:space="preserve">; </w:t>
      </w:r>
      <w:r w:rsidR="009B7435" w:rsidRPr="00FA3099">
        <w:rPr>
          <w:rFonts w:ascii="Trebuchet MS" w:hAnsi="Trebuchet MS"/>
          <w:lang w:val="en-US"/>
        </w:rPr>
        <w:t xml:space="preserve">European Environment </w:t>
      </w:r>
      <w:proofErr w:type="spellStart"/>
      <w:r w:rsidR="009B7435" w:rsidRPr="00FA3099">
        <w:rPr>
          <w:rFonts w:ascii="Trebuchet MS" w:hAnsi="Trebuchet MS"/>
          <w:lang w:val="en-US"/>
        </w:rPr>
        <w:t>Grenelle</w:t>
      </w:r>
      <w:proofErr w:type="spellEnd"/>
      <w:r w:rsidR="009B7435" w:rsidRPr="00FA3099">
        <w:rPr>
          <w:rFonts w:ascii="Trebuchet MS" w:hAnsi="Trebuchet MS"/>
          <w:lang w:val="en-US"/>
        </w:rPr>
        <w:t xml:space="preserve"> in the EU</w:t>
      </w:r>
      <w:r w:rsidR="00420517">
        <w:rPr>
          <w:rFonts w:ascii="Trebuchet MS" w:hAnsi="Trebuchet MS"/>
          <w:lang w:val="en-US"/>
        </w:rPr>
        <w:t>.</w:t>
      </w:r>
    </w:p>
    <w:p w14:paraId="0581D81B" w14:textId="6F35E300" w:rsidR="009B7435" w:rsidRDefault="00A27039" w:rsidP="00A627E7">
      <w:pPr>
        <w:spacing w:after="120"/>
        <w:jc w:val="both"/>
        <w:rPr>
          <w:rFonts w:ascii="Trebuchet MS" w:hAnsi="Trebuchet MS"/>
          <w:lang w:val="en-US"/>
        </w:rPr>
      </w:pPr>
      <w:r w:rsidRPr="00FA3099">
        <w:rPr>
          <w:rFonts w:ascii="Trebuchet MS" w:hAnsi="Trebuchet MS"/>
          <w:lang w:val="en-US"/>
        </w:rPr>
        <w:t xml:space="preserve">Companies and Societies are imposing standards </w:t>
      </w:r>
      <w:r w:rsidR="00600430">
        <w:rPr>
          <w:rFonts w:ascii="Trebuchet MS" w:hAnsi="Trebuchet MS"/>
          <w:lang w:val="en-US"/>
        </w:rPr>
        <w:t>and rules by having the monopoly</w:t>
      </w:r>
      <w:r w:rsidRPr="00FA3099">
        <w:rPr>
          <w:rFonts w:ascii="Trebuchet MS" w:hAnsi="Trebuchet MS"/>
          <w:lang w:val="en-US"/>
        </w:rPr>
        <w:t xml:space="preserve"> on the </w:t>
      </w:r>
      <w:r w:rsidR="00420517">
        <w:rPr>
          <w:rFonts w:ascii="Trebuchet MS" w:hAnsi="Trebuchet MS"/>
          <w:lang w:val="en-US"/>
        </w:rPr>
        <w:t>leading-</w:t>
      </w:r>
      <w:r w:rsidRPr="00FA3099">
        <w:rPr>
          <w:rFonts w:ascii="Trebuchet MS" w:hAnsi="Trebuchet MS"/>
          <w:lang w:val="en-US"/>
        </w:rPr>
        <w:t>edge</w:t>
      </w:r>
      <w:r w:rsidR="00420517">
        <w:rPr>
          <w:rFonts w:ascii="Trebuchet MS" w:hAnsi="Trebuchet MS"/>
          <w:lang w:val="en-US"/>
        </w:rPr>
        <w:t xml:space="preserve"> t</w:t>
      </w:r>
      <w:r w:rsidRPr="00FA3099">
        <w:rPr>
          <w:rFonts w:ascii="Trebuchet MS" w:hAnsi="Trebuchet MS"/>
          <w:lang w:val="en-US"/>
        </w:rPr>
        <w:t>echnology:</w:t>
      </w:r>
      <w:r w:rsidR="009E1EF4">
        <w:rPr>
          <w:rFonts w:ascii="Trebuchet MS" w:hAnsi="Trebuchet MS"/>
          <w:lang w:val="en-US"/>
        </w:rPr>
        <w:t xml:space="preserve"> </w:t>
      </w:r>
      <w:r w:rsidR="00420517">
        <w:rPr>
          <w:rFonts w:ascii="Trebuchet MS" w:hAnsi="Trebuchet MS"/>
          <w:lang w:val="en-US"/>
        </w:rPr>
        <w:t>Combo alliance in Europe,</w:t>
      </w:r>
      <w:r w:rsidR="009E1EF4">
        <w:rPr>
          <w:rFonts w:ascii="Trebuchet MS" w:hAnsi="Trebuchet MS"/>
          <w:lang w:val="en-US"/>
        </w:rPr>
        <w:t xml:space="preserve"> </w:t>
      </w: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r w:rsidR="009E1EF4">
        <w:rPr>
          <w:rFonts w:ascii="Trebuchet MS" w:hAnsi="Trebuchet MS"/>
          <w:lang w:val="en-US"/>
        </w:rPr>
        <w:t>;</w:t>
      </w:r>
      <w:r w:rsidR="00420517" w:rsidRPr="00FA3099">
        <w:rPr>
          <w:rFonts w:ascii="Trebuchet MS" w:hAnsi="Trebuchet MS"/>
          <w:lang w:val="en-US"/>
        </w:rPr>
        <w:t xml:space="preserve"> </w:t>
      </w:r>
      <w:proofErr w:type="spellStart"/>
      <w:r w:rsidR="00420517">
        <w:rPr>
          <w:rFonts w:ascii="Trebuchet MS" w:hAnsi="Trebuchet MS"/>
          <w:lang w:val="en-US"/>
        </w:rPr>
        <w:t>C</w:t>
      </w:r>
      <w:r w:rsidR="009B7435" w:rsidRPr="00FA3099">
        <w:rPr>
          <w:rFonts w:ascii="Trebuchet MS" w:hAnsi="Trebuchet MS"/>
          <w:lang w:val="en-US"/>
        </w:rPr>
        <w:t>HAdeMO</w:t>
      </w:r>
      <w:proofErr w:type="spellEnd"/>
      <w:r w:rsidR="009B7435" w:rsidRPr="00FA3099">
        <w:rPr>
          <w:rFonts w:ascii="Trebuchet MS" w:hAnsi="Trebuchet MS"/>
          <w:lang w:val="en-US"/>
        </w:rPr>
        <w:t xml:space="preserve"> </w:t>
      </w:r>
      <w:r w:rsidR="003F054A">
        <w:rPr>
          <w:rFonts w:ascii="Trebuchet MS" w:hAnsi="Trebuchet MS"/>
          <w:lang w:val="en-US"/>
        </w:rPr>
        <w:t>in Japan</w:t>
      </w:r>
      <w:r w:rsidR="00420517">
        <w:rPr>
          <w:rFonts w:ascii="Trebuchet MS" w:hAnsi="Trebuchet MS"/>
          <w:lang w:val="en-US"/>
        </w:rPr>
        <w:t xml:space="preserve"> </w:t>
      </w:r>
      <w:r w:rsidR="009B7435" w:rsidRPr="00FA3099">
        <w:rPr>
          <w:rFonts w:ascii="Trebuchet MS" w:hAnsi="Trebuchet MS"/>
          <w:lang w:val="en-US"/>
        </w:rPr>
        <w:t>(Tokyo Electric Power Company, Nissan, Mitsubishi and Fuji Heavy Industries)</w:t>
      </w:r>
      <w:r w:rsidR="00420517">
        <w:rPr>
          <w:rFonts w:ascii="Trebuchet MS" w:hAnsi="Trebuchet MS"/>
          <w:lang w:val="en-US"/>
        </w:rPr>
        <w:t>.</w:t>
      </w:r>
    </w:p>
    <w:p w14:paraId="3A533C3C" w14:textId="77777777" w:rsidR="00174C0A" w:rsidRPr="00FA3099" w:rsidRDefault="00174C0A" w:rsidP="00A627E7">
      <w:pPr>
        <w:spacing w:after="120"/>
        <w:jc w:val="both"/>
        <w:rPr>
          <w:rFonts w:ascii="Trebuchet MS" w:hAnsi="Trebuchet MS"/>
          <w:lang w:val="en-US"/>
        </w:rPr>
      </w:pPr>
    </w:p>
    <w:p w14:paraId="1979F5D1" w14:textId="0FC9A453" w:rsidR="0035783D" w:rsidRPr="0035783D" w:rsidRDefault="0035783D" w:rsidP="0035783D">
      <w:pPr>
        <w:pStyle w:val="Sous-titre"/>
        <w:rPr>
          <w:lang w:val="en-US"/>
        </w:rPr>
      </w:pPr>
      <w:r>
        <w:rPr>
          <w:lang w:val="en-US"/>
        </w:rPr>
        <w:t xml:space="preserve">Table: </w:t>
      </w:r>
      <w:r w:rsidR="00A627E7">
        <w:rPr>
          <w:lang w:val="en-US"/>
        </w:rPr>
        <w:t>Existing requirements</w:t>
      </w:r>
      <w:r>
        <w:rPr>
          <w:lang w:val="en-US"/>
        </w:rPr>
        <w:t xml:space="preserve">&amp; </w:t>
      </w:r>
      <w:r w:rsidRPr="0035783D">
        <w:rPr>
          <w:lang w:val="en-US"/>
        </w:rPr>
        <w:t>standards for the charging stations</w:t>
      </w:r>
    </w:p>
    <w:tbl>
      <w:tblPr>
        <w:tblStyle w:val="Grilleclaire-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2AB268F5" w:rsidR="00B651AF" w:rsidRPr="001F7486" w:rsidRDefault="0042051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r>
              <w:rPr>
                <w:rFonts w:ascii="Trebuchet MS" w:hAnsi="Trebuchet MS"/>
                <w:color w:val="FFFFFF" w:themeColor="background1"/>
                <w:sz w:val="24"/>
                <w:lang w:val="en-US"/>
              </w:rPr>
              <w:t>Regulated Factors</w:t>
            </w:r>
          </w:p>
        </w:tc>
      </w:tr>
      <w:tr w:rsidR="001254D0" w:rsidRPr="00292B32"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Lienhypertexte"/>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w:t>
            </w:r>
            <w:proofErr w:type="spellStart"/>
            <w:r>
              <w:rPr>
                <w:rFonts w:ascii="Trebuchet MS" w:hAnsi="Trebuchet MS"/>
                <w:lang w:val="en-US"/>
              </w:rPr>
              <w:t>energization</w:t>
            </w:r>
            <w:proofErr w:type="spellEnd"/>
            <w:r>
              <w:rPr>
                <w:rFonts w:ascii="Trebuchet MS" w:hAnsi="Trebuchet MS"/>
                <w:lang w:val="en-US"/>
              </w:rPr>
              <w:t>, …</w:t>
            </w:r>
            <w:r w:rsidR="004F7AE3">
              <w:rPr>
                <w:rFonts w:ascii="Trebuchet MS" w:hAnsi="Trebuchet MS"/>
                <w:lang w:val="en-US"/>
              </w:rPr>
              <w:t>), Control and protection, etc</w:t>
            </w:r>
            <w:r w:rsidR="00B651AF">
              <w:rPr>
                <w:rFonts w:ascii="Trebuchet MS" w:hAnsi="Trebuchet MS"/>
                <w:lang w:val="en-US"/>
              </w:rPr>
              <w:t>.</w:t>
            </w:r>
          </w:p>
        </w:tc>
      </w:tr>
      <w:tr w:rsidR="001254D0" w:rsidRPr="00292B32"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Lienhypertexte"/>
                  <w:color w:val="auto"/>
                  <w:lang w:val="en-US"/>
                </w:rPr>
                <w:t>Reference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w:t>
            </w:r>
            <w:proofErr w:type="spellStart"/>
            <w:r w:rsidR="00A627E7">
              <w:rPr>
                <w:rFonts w:ascii="Trebuchet MS" w:hAnsi="Trebuchet MS"/>
                <w:lang w:val="en-US"/>
              </w:rPr>
              <w:t>CHAdeMO’s</w:t>
            </w:r>
            <w:proofErr w:type="spellEnd"/>
            <w:r w:rsidR="00A627E7">
              <w:rPr>
                <w:rFonts w:ascii="Trebuchet MS" w:hAnsi="Trebuchet MS"/>
                <w:lang w:val="en-US"/>
              </w:rPr>
              <w:t>).</w:t>
            </w:r>
          </w:p>
        </w:tc>
      </w:tr>
      <w:tr w:rsidR="001254D0" w:rsidRPr="00292B32"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Voltage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292B32"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 xml:space="preserve">Agents, Grid connection and charging installations, metering, communication and control, EV charging modes, coordination between EVCs and EMC (see </w:t>
            </w:r>
            <w:r w:rsidR="00292B32">
              <w:fldChar w:fldCharType="begin"/>
            </w:r>
            <w:r w:rsidR="00292B32" w:rsidRPr="00292B32">
              <w:rPr>
                <w:lang w:val="en-US"/>
              </w:rPr>
              <w:instrText xml:space="preserve"> HYPERLINK \l "_References" </w:instrText>
            </w:r>
            <w:r w:rsidR="00292B32">
              <w:fldChar w:fldCharType="separate"/>
            </w:r>
            <w:r w:rsidRPr="00332D27">
              <w:rPr>
                <w:rStyle w:val="Lienhypertexte"/>
                <w:rFonts w:ascii="Trebuchet MS" w:hAnsi="Trebuchet MS"/>
                <w:lang w:val="en-US"/>
              </w:rPr>
              <w:t>Reference 3</w:t>
            </w:r>
            <w:r w:rsidR="00292B32">
              <w:rPr>
                <w:rStyle w:val="Lienhypertexte"/>
                <w:rFonts w:ascii="Trebuchet MS" w:hAnsi="Trebuchet MS"/>
                <w:lang w:val="en-US"/>
              </w:rPr>
              <w:fldChar w:fldCharType="end"/>
            </w:r>
            <w:r w:rsidRPr="00332D27">
              <w:rPr>
                <w:rStyle w:val="Lienhypertexte"/>
                <w:rFonts w:ascii="Trebuchet MS" w:hAnsi="Trebuchet MS"/>
                <w:lang w:val="en-US"/>
              </w:rPr>
              <w:t xml:space="preserve"> </w:t>
            </w:r>
            <w:r w:rsidRPr="00332D27">
              <w:rPr>
                <w:rStyle w:val="Lienhypertexte"/>
                <w:rFonts w:ascii="Trebuchet MS" w:hAnsi="Trebuchet MS"/>
                <w:color w:val="auto"/>
                <w:u w:val="none"/>
                <w:lang w:val="en-US"/>
              </w:rPr>
              <w:t>)</w:t>
            </w:r>
          </w:p>
        </w:tc>
      </w:tr>
    </w:tbl>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54394E50" w:rsidR="00D201E7" w:rsidRPr="00F70EDB" w:rsidRDefault="00D201E7" w:rsidP="003F054A">
      <w:pPr>
        <w:jc w:val="both"/>
        <w:rPr>
          <w:rFonts w:ascii="Trebuchet MS" w:hAnsi="Trebuchet MS"/>
          <w:u w:val="single"/>
          <w:lang w:val="en-US"/>
        </w:rPr>
      </w:pPr>
      <w:r w:rsidRPr="00F70EDB">
        <w:rPr>
          <w:rFonts w:ascii="Trebuchet MS" w:hAnsi="Trebuchet MS"/>
          <w:lang w:val="en-US"/>
        </w:rPr>
        <w:t xml:space="preserve">Among </w:t>
      </w:r>
      <w:r w:rsidR="0035783D">
        <w:rPr>
          <w:rFonts w:ascii="Trebuchet MS" w:hAnsi="Trebuchet MS"/>
          <w:lang w:val="en-US"/>
        </w:rPr>
        <w:t>all</w:t>
      </w:r>
      <w:r w:rsidRPr="00F70EDB">
        <w:rPr>
          <w:rFonts w:ascii="Trebuchet MS" w:hAnsi="Trebuchet MS"/>
          <w:lang w:val="en-US"/>
        </w:rPr>
        <w:t xml:space="preserve"> actions</w:t>
      </w:r>
      <w:r w:rsidR="0035783D">
        <w:rPr>
          <w:rFonts w:ascii="Trebuchet MS" w:hAnsi="Trebuchet MS"/>
          <w:lang w:val="en-US"/>
        </w:rPr>
        <w:t xml:space="preserve"> aiming at managing the development of the charging stations network, </w:t>
      </w:r>
      <w:r w:rsidRPr="00F70EDB">
        <w:rPr>
          <w:rFonts w:ascii="Trebuchet MS" w:hAnsi="Trebuchet MS"/>
          <w:lang w:val="en-US"/>
        </w:rPr>
        <w:t xml:space="preserve">the call for international </w:t>
      </w:r>
      <w:r w:rsidR="0035783D">
        <w:rPr>
          <w:rFonts w:ascii="Trebuchet MS" w:hAnsi="Trebuchet MS"/>
          <w:lang w:val="en-US"/>
        </w:rPr>
        <w:t xml:space="preserve">- </w:t>
      </w:r>
      <w:r w:rsidRPr="00F70EDB">
        <w:rPr>
          <w:rFonts w:ascii="Trebuchet MS" w:hAnsi="Trebuchet MS"/>
          <w:lang w:val="en-US"/>
        </w:rPr>
        <w:t>o</w:t>
      </w:r>
      <w:r w:rsidR="00FA3099" w:rsidRPr="00F70EDB">
        <w:rPr>
          <w:rFonts w:ascii="Trebuchet MS" w:hAnsi="Trebuchet MS"/>
          <w:lang w:val="en-US"/>
        </w:rPr>
        <w:t>r at least European</w:t>
      </w:r>
      <w:r w:rsidR="0035783D">
        <w:rPr>
          <w:rFonts w:ascii="Trebuchet MS" w:hAnsi="Trebuchet MS"/>
          <w:lang w:val="en-US"/>
        </w:rPr>
        <w:t xml:space="preserve"> -</w:t>
      </w:r>
      <w:r w:rsidR="00FA3099" w:rsidRPr="00F70EDB">
        <w:rPr>
          <w:rFonts w:ascii="Trebuchet MS" w:hAnsi="Trebuchet MS"/>
          <w:lang w:val="en-US"/>
        </w:rPr>
        <w:t xml:space="preserve"> standardiza</w:t>
      </w:r>
      <w:r w:rsidRPr="00F70EDB">
        <w:rPr>
          <w:rFonts w:ascii="Trebuchet MS" w:hAnsi="Trebuchet MS"/>
          <w:lang w:val="en-US"/>
        </w:rPr>
        <w:t>tion of charging i</w:t>
      </w:r>
      <w:r w:rsidR="0035783D">
        <w:rPr>
          <w:rFonts w:ascii="Trebuchet MS" w:hAnsi="Trebuchet MS"/>
          <w:lang w:val="en-US"/>
        </w:rPr>
        <w:t>nfrastructures and technologies</w:t>
      </w:r>
      <w:r w:rsidRPr="00F70EDB">
        <w:rPr>
          <w:rFonts w:ascii="Trebuchet MS" w:hAnsi="Trebuchet MS"/>
          <w:lang w:val="en-US"/>
        </w:rPr>
        <w:t xml:space="preserve"> with open communication standards</w:t>
      </w:r>
      <w:r w:rsidR="0035783D">
        <w:rPr>
          <w:rFonts w:ascii="Trebuchet MS" w:hAnsi="Trebuchet MS"/>
          <w:lang w:val="en-US"/>
        </w:rPr>
        <w:t xml:space="preserve"> (including smart grids) </w:t>
      </w:r>
      <w:r w:rsidR="0035783D" w:rsidRPr="00F70EDB">
        <w:rPr>
          <w:rFonts w:ascii="Trebuchet MS" w:hAnsi="Trebuchet MS"/>
          <w:lang w:val="en-US"/>
        </w:rPr>
        <w:t>should be highlighted</w:t>
      </w:r>
      <w:r w:rsidRPr="00F70EDB">
        <w:rPr>
          <w:rFonts w:ascii="Trebuchet MS" w:hAnsi="Trebuchet MS"/>
          <w:lang w:val="en-US"/>
        </w:rPr>
        <w:t>.</w:t>
      </w:r>
    </w:p>
    <w:p w14:paraId="0FECBDDE" w14:textId="61F9515C" w:rsidR="00D201E7" w:rsidRPr="00F70EDB" w:rsidRDefault="00E94502" w:rsidP="003F054A">
      <w:pPr>
        <w:jc w:val="both"/>
        <w:rPr>
          <w:rFonts w:ascii="Trebuchet MS" w:hAnsi="Trebuchet MS"/>
          <w:lang w:val="en-US"/>
        </w:rPr>
      </w:pPr>
      <w:r w:rsidRPr="00F70EDB">
        <w:rPr>
          <w:rFonts w:ascii="Trebuchet MS" w:hAnsi="Trebuchet MS"/>
          <w:noProof/>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5="http://schemas.microsoft.com/office/word/2012/wordml" xmlns:mv="urn:schemas-microsoft-com:mac:vml" xmlns:mo="http://schemas.microsoft.com/office/mac/office/2008/main">
            <w:pict>
              <v:shapetype w14:anchorId="2342B0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">
                <v:imagedata r:id="rId9" o:title=""/>
              </v:shape>
            </w:pict>
          </mc:Fallback>
        </mc:AlternateContent>
      </w:r>
      <w:r w:rsidR="00D201E7" w:rsidRPr="00F70EDB">
        <w:rPr>
          <w:rFonts w:ascii="Trebuchet MS" w:hAnsi="Trebuchet MS"/>
          <w:lang w:val="en-US"/>
        </w:rPr>
        <w:t xml:space="preserve">The currently </w:t>
      </w:r>
      <w:r w:rsidR="00783169">
        <w:rPr>
          <w:rFonts w:ascii="Trebuchet MS" w:hAnsi="Trebuchet MS"/>
          <w:lang w:val="en-US"/>
        </w:rPr>
        <w:t>received</w:t>
      </w:r>
      <w:r w:rsidR="00D201E7" w:rsidRPr="00F70EDB">
        <w:rPr>
          <w:rFonts w:ascii="Trebuchet MS" w:hAnsi="Trebuchet MS"/>
          <w:lang w:val="en-US"/>
        </w:rPr>
        <w:t xml:space="preserve"> purchase premiums compared to internal combustion engines are widely being discussed and a multitude of different policy schemes to foster EV adoption is </w:t>
      </w:r>
      <w:r w:rsidR="00D45C56">
        <w:rPr>
          <w:rFonts w:ascii="Trebuchet MS" w:hAnsi="Trebuchet MS"/>
          <w:lang w:val="en-US"/>
        </w:rPr>
        <w:t xml:space="preserve">being </w:t>
      </w:r>
      <w:r w:rsidR="00D201E7" w:rsidRPr="00F70EDB">
        <w:rPr>
          <w:rFonts w:ascii="Trebuchet MS" w:hAnsi="Trebuchet MS"/>
          <w:lang w:val="en-US"/>
        </w:rPr>
        <w:t>evaluated.</w:t>
      </w:r>
      <w:r w:rsidR="008D1476" w:rsidRPr="00F70EDB">
        <w:rPr>
          <w:rFonts w:ascii="Trebuchet MS" w:hAnsi="Trebuchet MS"/>
          <w:lang w:val="en-US"/>
        </w:rPr>
        <w:t xml:space="preserve"> </w:t>
      </w:r>
    </w:p>
    <w:p w14:paraId="083CA3AD" w14:textId="1F5C8A10" w:rsidR="00D201E7" w:rsidRPr="00F70EDB" w:rsidRDefault="00D45C56" w:rsidP="003F054A">
      <w:pPr>
        <w:jc w:val="both"/>
        <w:rPr>
          <w:rFonts w:ascii="Trebuchet MS" w:hAnsi="Trebuchet MS"/>
          <w:lang w:val="en-US"/>
        </w:rPr>
      </w:pPr>
      <w:r>
        <w:rPr>
          <w:rFonts w:ascii="Trebuchet MS" w:hAnsi="Trebuchet MS"/>
          <w:lang w:val="en-US"/>
        </w:rPr>
        <w:t>I</w:t>
      </w:r>
      <w:r w:rsidR="00D201E7" w:rsidRPr="00F70EDB">
        <w:rPr>
          <w:rFonts w:ascii="Trebuchet MS" w:hAnsi="Trebuchet MS"/>
          <w:lang w:val="en-US"/>
        </w:rPr>
        <w:t>n addition to technological developments and policy measures, regulatory issues related to investment and deployment of the required infrastructure need to be formulated and adequately solved</w:t>
      </w:r>
      <w:r w:rsidR="0035783D">
        <w:rPr>
          <w:rFonts w:ascii="Trebuchet MS" w:hAnsi="Trebuchet MS"/>
          <w:lang w:val="en-US"/>
        </w:rPr>
        <w:t xml:space="preserve"> </w:t>
      </w:r>
      <w:r w:rsidR="0035783D" w:rsidRPr="00F70EDB">
        <w:rPr>
          <w:rFonts w:ascii="Trebuchet MS" w:hAnsi="Trebuchet MS"/>
          <w:lang w:val="en-US"/>
        </w:rPr>
        <w:t>(</w:t>
      </w:r>
      <w:proofErr w:type="spellStart"/>
      <w:r w:rsidR="00174C0A">
        <w:fldChar w:fldCharType="begin"/>
      </w:r>
      <w:r w:rsidR="00174C0A" w:rsidRPr="00420517">
        <w:rPr>
          <w:lang w:val="en-US"/>
        </w:rPr>
        <w:instrText xml:space="preserve"> HYPERLINK \l "_Annexe_2:_Research" </w:instrText>
      </w:r>
      <w:r w:rsidR="00174C0A">
        <w:fldChar w:fldCharType="separate"/>
      </w:r>
      <w:r w:rsidR="0035783D" w:rsidRPr="00F70EDB">
        <w:rPr>
          <w:rStyle w:val="Lienhypertexte"/>
          <w:rFonts w:ascii="Trebuchet MS" w:hAnsi="Trebuchet MS"/>
          <w:lang w:val="en-US"/>
        </w:rPr>
        <w:t>Annexe</w:t>
      </w:r>
      <w:proofErr w:type="spellEnd"/>
      <w:r w:rsidR="0035783D" w:rsidRPr="00F70EDB">
        <w:rPr>
          <w:rStyle w:val="Lienhypertexte"/>
          <w:rFonts w:ascii="Trebuchet MS" w:hAnsi="Trebuchet MS"/>
          <w:lang w:val="en-US"/>
        </w:rPr>
        <w:t xml:space="preserve"> 2</w:t>
      </w:r>
      <w:r w:rsidR="00174C0A">
        <w:rPr>
          <w:rStyle w:val="Lienhypertexte"/>
          <w:rFonts w:ascii="Trebuchet MS" w:hAnsi="Trebuchet MS"/>
          <w:lang w:val="en-US"/>
        </w:rPr>
        <w:fldChar w:fldCharType="end"/>
      </w:r>
      <w:r w:rsidR="0035783D" w:rsidRPr="00F70EDB">
        <w:rPr>
          <w:rFonts w:ascii="Trebuchet MS" w:hAnsi="Trebuchet MS"/>
          <w:u w:val="single"/>
          <w:lang w:val="en-US"/>
        </w:rPr>
        <w:t xml:space="preserve"> &amp;</w:t>
      </w:r>
      <w:hyperlink w:anchor="_Annexe_2’:_Exemple" w:history="1">
        <w:r w:rsidR="0035783D" w:rsidRPr="00F70EDB">
          <w:rPr>
            <w:rStyle w:val="Lienhypertexte"/>
            <w:rFonts w:ascii="Trebuchet MS" w:hAnsi="Trebuchet MS"/>
            <w:lang w:val="en-US"/>
          </w:rPr>
          <w:t xml:space="preserve"> 2’</w:t>
        </w:r>
      </w:hyperlink>
      <w:r w:rsidR="0035783D" w:rsidRPr="00F70EDB">
        <w:rPr>
          <w:rFonts w:ascii="Trebuchet MS" w:hAnsi="Trebuchet MS"/>
          <w:lang w:val="en-US"/>
        </w:rPr>
        <w:t>)</w:t>
      </w:r>
      <w:r w:rsidR="00D201E7" w:rsidRPr="00F70EDB">
        <w:rPr>
          <w:rFonts w:ascii="Trebuchet MS" w:hAnsi="Trebuchet MS"/>
          <w:lang w:val="en-US"/>
        </w:rPr>
        <w:t>.</w:t>
      </w:r>
      <w:bookmarkStart w:id="0" w:name="_GoBack"/>
      <w:bookmarkEnd w:id="0"/>
    </w:p>
    <w:p w14:paraId="0C9DBF49" w14:textId="4CAACFCB" w:rsidR="00D201E7" w:rsidRPr="00F70EDB" w:rsidRDefault="00783169" w:rsidP="003F054A">
      <w:pPr>
        <w:jc w:val="both"/>
        <w:rPr>
          <w:rFonts w:ascii="Trebuchet MS" w:hAnsi="Trebuchet MS"/>
          <w:lang w:val="en-US"/>
        </w:rPr>
      </w:pPr>
      <w:r>
        <w:rPr>
          <w:rFonts w:ascii="Trebuchet MS" w:hAnsi="Trebuchet MS"/>
          <w:lang w:val="en-US"/>
        </w:rPr>
        <w:t>Furthermore, there</w:t>
      </w:r>
      <w:r w:rsidR="00D201E7" w:rsidRPr="00F70EDB">
        <w:rPr>
          <w:rFonts w:ascii="Trebuchet MS" w:hAnsi="Trebuchet MS"/>
          <w:lang w:val="en-US"/>
        </w:rPr>
        <w:t xml:space="preserve"> is a need for discussing how and which agents should be authorized to provide EV charging and pricing of those services, as well as how EV storage capability could be appropriately marketed to provide vehicle-to-grid (V2G) services.</w:t>
      </w:r>
      <w:r w:rsidR="00D45C56">
        <w:rPr>
          <w:rFonts w:ascii="Trebuchet MS" w:hAnsi="Trebuchet MS"/>
          <w:lang w:val="en-US"/>
        </w:rPr>
        <w:t xml:space="preserve"> </w:t>
      </w:r>
      <w:r w:rsidR="009B7435" w:rsidRPr="00F70EDB">
        <w:rPr>
          <w:rFonts w:ascii="Trebuchet MS" w:hAnsi="Trebuchet MS"/>
          <w:lang w:val="en-US"/>
        </w:rPr>
        <w:t xml:space="preserve">Therefore, still many questions remain to be answered </w:t>
      </w:r>
      <w:r>
        <w:rPr>
          <w:rFonts w:ascii="Trebuchet MS" w:hAnsi="Trebuchet MS"/>
          <w:lang w:val="en-US"/>
        </w:rPr>
        <w:t>to create</w:t>
      </w:r>
      <w:r w:rsidR="009B7435" w:rsidRPr="00F70EDB">
        <w:rPr>
          <w:rFonts w:ascii="Trebuchet MS" w:hAnsi="Trebuchet MS"/>
          <w:lang w:val="en-US"/>
        </w:rPr>
        <w:t xml:space="preserve"> a consistent regulatory framework considering rules and players in existing electricity markets.</w:t>
      </w:r>
    </w:p>
    <w:p w14:paraId="1AC0081F" w14:textId="7D25AD2C" w:rsidR="009B7435" w:rsidRPr="00F70EDB" w:rsidRDefault="009B7435" w:rsidP="003F054A">
      <w:pPr>
        <w:jc w:val="both"/>
        <w:rPr>
          <w:rFonts w:ascii="Trebuchet MS" w:hAnsi="Trebuchet MS"/>
          <w:lang w:val="en-US"/>
        </w:rPr>
      </w:pPr>
      <w:r w:rsidRPr="00F70EDB">
        <w:rPr>
          <w:rFonts w:ascii="Trebuchet MS" w:hAnsi="Trebuchet MS"/>
          <w:lang w:val="en-US"/>
        </w:rPr>
        <w:t>As an example of these issues, in California, the Public Utilities Commission has opened a rule making process, in which a number of issues are proposed for consultation with stakeholders. It is</w:t>
      </w:r>
      <w:r w:rsidR="0035783D">
        <w:rPr>
          <w:rFonts w:ascii="Trebuchet MS" w:hAnsi="Trebuchet MS"/>
          <w:lang w:val="en-US"/>
        </w:rPr>
        <w:t xml:space="preserve"> yet to be determined</w:t>
      </w:r>
      <w:r w:rsidR="00174C0A">
        <w:rPr>
          <w:rFonts w:ascii="Trebuchet MS" w:hAnsi="Trebuchet MS"/>
          <w:lang w:val="en-US"/>
        </w:rPr>
        <w:t xml:space="preserve">, in this specific case, </w:t>
      </w:r>
      <w:r w:rsidRPr="00F70EDB">
        <w:rPr>
          <w:rFonts w:ascii="Trebuchet MS" w:hAnsi="Trebuchet MS"/>
          <w:lang w:val="en-US"/>
        </w:rPr>
        <w:t>how to imple</w:t>
      </w:r>
      <w:r w:rsidR="00783169">
        <w:rPr>
          <w:rFonts w:ascii="Trebuchet MS" w:hAnsi="Trebuchet MS"/>
          <w:lang w:val="en-US"/>
        </w:rPr>
        <w:t xml:space="preserve">ment obligatory variable </w:t>
      </w:r>
      <w:r w:rsidR="00174C0A">
        <w:rPr>
          <w:rFonts w:ascii="Trebuchet MS" w:hAnsi="Trebuchet MS"/>
          <w:lang w:val="en-US"/>
        </w:rPr>
        <w:t>tariffs</w:t>
      </w:r>
      <w:r w:rsidR="0035783D">
        <w:rPr>
          <w:rFonts w:ascii="Trebuchet MS" w:hAnsi="Trebuchet MS"/>
          <w:lang w:val="en-US"/>
        </w:rPr>
        <w:t xml:space="preserve">, </w:t>
      </w:r>
      <w:r w:rsidRPr="00F70EDB">
        <w:rPr>
          <w:rFonts w:ascii="Trebuchet MS" w:hAnsi="Trebuchet MS"/>
          <w:lang w:val="en-US"/>
        </w:rPr>
        <w:t xml:space="preserve">legal status of electricity resellers,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w:t>
      </w:r>
      <w:r w:rsidR="00E25A45">
        <w:rPr>
          <w:rFonts w:ascii="Trebuchet MS" w:hAnsi="Trebuchet MS"/>
          <w:lang w:val="en-US"/>
        </w:rPr>
        <w:t xml:space="preserve">the </w:t>
      </w:r>
      <w:r w:rsidRPr="00F70EDB">
        <w:rPr>
          <w:rFonts w:ascii="Trebuchet MS" w:hAnsi="Trebuchet MS"/>
          <w:lang w:val="en-US"/>
        </w:rPr>
        <w:t xml:space="preserve">allocation and recovery of investment in infrastructure in a fair non-discriminatory framework. Furthermore, there exists an intense discussion about critical </w:t>
      </w:r>
      <w:r w:rsidR="00174C0A">
        <w:rPr>
          <w:rFonts w:ascii="Trebuchet MS" w:hAnsi="Trebuchet MS"/>
          <w:lang w:val="en-US"/>
        </w:rPr>
        <w:t>measuring</w:t>
      </w:r>
      <w:r w:rsidRPr="00F70EDB">
        <w:rPr>
          <w:rFonts w:ascii="Trebuchet MS" w:hAnsi="Trebuchet MS"/>
          <w:lang w:val="en-US"/>
        </w:rPr>
        <w:t xml:space="preserve"> policies in terms of </w:t>
      </w:r>
      <w:r w:rsidR="00CB5780">
        <w:rPr>
          <w:rFonts w:ascii="Trebuchet MS" w:hAnsi="Trebuchet MS"/>
          <w:lang w:val="en-US"/>
        </w:rPr>
        <w:t>measuring</w:t>
      </w:r>
      <w:r w:rsidRPr="00F70EDB">
        <w:rPr>
          <w:rFonts w:ascii="Trebuchet MS" w:hAnsi="Trebuchet MS"/>
          <w:lang w:val="en-US"/>
        </w:rPr>
        <w:t xml:space="preserve"> arrangements (single, sub-and separate </w:t>
      </w:r>
      <w:r w:rsidR="00CB5780">
        <w:rPr>
          <w:rFonts w:ascii="Trebuchet MS" w:hAnsi="Trebuchet MS"/>
          <w:lang w:val="en-US"/>
        </w:rPr>
        <w:t>measuring</w:t>
      </w:r>
      <w:r w:rsidRPr="00F70EDB">
        <w:rPr>
          <w:rFonts w:ascii="Trebuchet MS" w:hAnsi="Trebuchet MS"/>
          <w:lang w:val="en-US"/>
        </w:rPr>
        <w:t>)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r w:rsidRPr="000674DC">
        <w:rPr>
          <w:rFonts w:ascii="Trebuchet MS" w:hAnsi="Trebuchet MS"/>
          <w:lang w:val="en-US"/>
        </w:rPr>
        <w:br w:type="page"/>
      </w:r>
    </w:p>
    <w:p w14:paraId="45258273" w14:textId="77777777" w:rsidR="00A1142B" w:rsidRPr="00046903" w:rsidRDefault="004B1F1E" w:rsidP="003F054A">
      <w:pPr>
        <w:pStyle w:val="Titre1"/>
        <w:jc w:val="both"/>
        <w:rPr>
          <w:lang w:val="en-US"/>
        </w:rPr>
      </w:pPr>
      <w:bookmarkStart w:id="1" w:name="_Annexe_1:_Example"/>
      <w:bookmarkEnd w:id="1"/>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14:paraId="0D071ECB"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Lgende"/>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lastRenderedPageBreak/>
        <w:t>following</w:t>
      </w:r>
      <w:proofErr w:type="gramEnd"/>
      <w:r w:rsidRPr="006B065E">
        <w:rPr>
          <w:rFonts w:ascii="Trebuchet MS" w:hAnsi="Trebuchet MS" w:cs="Arial"/>
          <w:color w:val="252525"/>
          <w:shd w:val="clear" w:color="auto" w:fill="FFFFFF"/>
          <w:lang w:val="en-US"/>
        </w:rPr>
        <w:t xml:space="preserve"> standards:</w:t>
      </w:r>
    </w:p>
    <w:p w14:paraId="27A6D369"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14:paraId="4609230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14:paraId="6792CDF7"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14:paraId="0F5C28D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Titre1"/>
        <w:rPr>
          <w:lang w:val="en-US"/>
        </w:rPr>
      </w:pPr>
      <w:bookmarkStart w:id="2" w:name="_Annexe_2:_Research"/>
      <w:bookmarkEnd w:id="2"/>
      <w:proofErr w:type="spellStart"/>
      <w:r>
        <w:rPr>
          <w:lang w:val="en-US"/>
        </w:rPr>
        <w:lastRenderedPageBreak/>
        <w:t>Annexe</w:t>
      </w:r>
      <w:proofErr w:type="spellEnd"/>
      <w:r>
        <w:rPr>
          <w:lang w:val="en-US"/>
        </w:rPr>
        <w:t xml:space="preserv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Lienhypertexte"/>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Titre1"/>
        <w:rPr>
          <w:lang w:val="en-US"/>
        </w:rPr>
      </w:pPr>
      <w:bookmarkStart w:id="3" w:name="_Annexe_2’:_Exemple"/>
      <w:bookmarkEnd w:id="3"/>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Titre1"/>
        <w:rPr>
          <w:shd w:val="clear" w:color="auto" w:fill="FFFFFF"/>
          <w:lang w:val="en-US"/>
        </w:rPr>
      </w:pPr>
      <w:bookmarkStart w:id="4" w:name="_References"/>
      <w:bookmarkEnd w:id="4"/>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1 :</w:t>
      </w:r>
      <w:proofErr w:type="gramEnd"/>
    </w:p>
    <w:p w14:paraId="0657107F" w14:textId="77777777" w:rsidR="001B1F58" w:rsidRPr="001B1F58" w:rsidRDefault="00292B32" w:rsidP="001B1F58">
      <w:pPr>
        <w:ind w:right="-142"/>
        <w:jc w:val="both"/>
        <w:rPr>
          <w:rFonts w:ascii="Trebuchet MS" w:hAnsi="Trebuchet MS"/>
          <w:color w:val="0563C1" w:themeColor="hyperlink"/>
          <w:u w:val="single"/>
          <w:lang w:val="en-US"/>
        </w:rPr>
      </w:pPr>
      <w:hyperlink r:id="rId14" w:history="1">
        <w:r w:rsidR="001B1F58" w:rsidRPr="001B1F58">
          <w:rPr>
            <w:rStyle w:val="Lienhypertexte"/>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2 :</w:t>
      </w:r>
      <w:proofErr w:type="gramEnd"/>
    </w:p>
    <w:p w14:paraId="5BA1A2D4" w14:textId="77777777" w:rsidR="001B1F58" w:rsidRPr="00FA3099" w:rsidRDefault="00292B32" w:rsidP="001B1F58">
      <w:pPr>
        <w:jc w:val="both"/>
        <w:rPr>
          <w:rFonts w:ascii="Trebuchet MS" w:hAnsi="Trebuchet MS"/>
          <w:u w:val="single"/>
          <w:lang w:val="en-US"/>
        </w:rPr>
      </w:pPr>
      <w:hyperlink r:id="rId15" w:history="1">
        <w:r w:rsidR="001B1F58" w:rsidRPr="00FA3099">
          <w:rPr>
            <w:rStyle w:val="Lienhypertexte"/>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ous-titr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Titre1Car"/>
          <w:lang w:val="en-US"/>
        </w:rPr>
      </w:pPr>
      <w:r w:rsidRPr="00EA0738">
        <w:rPr>
          <w:rStyle w:val="Titre1Car"/>
          <w:lang w:val="en-US"/>
        </w:rPr>
        <w:t>Sources</w:t>
      </w:r>
    </w:p>
    <w:p w14:paraId="3908AD4C" w14:textId="77777777" w:rsidR="00E94502" w:rsidRPr="00EA0738" w:rsidRDefault="00292B32" w:rsidP="00E94502">
      <w:pPr>
        <w:jc w:val="both"/>
        <w:rPr>
          <w:rFonts w:ascii="Trebuchet MS" w:hAnsi="Trebuchet MS"/>
          <w:lang w:val="en-US"/>
        </w:rPr>
      </w:pPr>
      <w:hyperlink r:id="rId16" w:history="1">
        <w:r w:rsidR="00E94502" w:rsidRPr="00EA0738">
          <w:rPr>
            <w:rStyle w:val="Lienhypertexte"/>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292B32" w:rsidP="00E94502">
      <w:pPr>
        <w:jc w:val="both"/>
        <w:rPr>
          <w:rStyle w:val="Lienhypertexte"/>
          <w:rFonts w:ascii="Trebuchet MS" w:hAnsi="Trebuchet MS"/>
          <w:lang w:val="en-US"/>
        </w:rPr>
      </w:pPr>
      <w:hyperlink r:id="rId17" w:history="1">
        <w:r w:rsidR="00E94502" w:rsidRPr="00EA0738">
          <w:rPr>
            <w:rStyle w:val="Lienhypertexte"/>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292B32" w:rsidP="00E94502">
      <w:pPr>
        <w:jc w:val="both"/>
        <w:rPr>
          <w:rFonts w:ascii="Trebuchet MS" w:hAnsi="Trebuchet MS"/>
          <w:lang w:val="en-US"/>
        </w:rPr>
      </w:pPr>
      <w:hyperlink r:id="rId18" w:history="1">
        <w:r w:rsidR="00E94502" w:rsidRPr="00EA0738">
          <w:rPr>
            <w:rStyle w:val="Lienhypertexte"/>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292B32" w:rsidP="00E94502">
      <w:pPr>
        <w:jc w:val="both"/>
        <w:rPr>
          <w:rFonts w:ascii="Trebuchet MS" w:hAnsi="Trebuchet MS"/>
          <w:lang w:val="en-US"/>
        </w:rPr>
      </w:pPr>
      <w:hyperlink r:id="rId19" w:history="1">
        <w:r w:rsidR="00E94502" w:rsidRPr="00EA0738">
          <w:rPr>
            <w:rStyle w:val="Lienhypertexte"/>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74C0A"/>
    <w:rsid w:val="001B1F58"/>
    <w:rsid w:val="001E1805"/>
    <w:rsid w:val="001F7486"/>
    <w:rsid w:val="00206877"/>
    <w:rsid w:val="00242688"/>
    <w:rsid w:val="00251560"/>
    <w:rsid w:val="002833F5"/>
    <w:rsid w:val="00292B32"/>
    <w:rsid w:val="002A4CA7"/>
    <w:rsid w:val="00332D27"/>
    <w:rsid w:val="0035783D"/>
    <w:rsid w:val="003F054A"/>
    <w:rsid w:val="003F2B0D"/>
    <w:rsid w:val="00420517"/>
    <w:rsid w:val="004348F9"/>
    <w:rsid w:val="0044070B"/>
    <w:rsid w:val="004B1F1E"/>
    <w:rsid w:val="004F7AE3"/>
    <w:rsid w:val="0054420F"/>
    <w:rsid w:val="00552A1E"/>
    <w:rsid w:val="005B6849"/>
    <w:rsid w:val="00600430"/>
    <w:rsid w:val="006446EB"/>
    <w:rsid w:val="006A6C82"/>
    <w:rsid w:val="006B065E"/>
    <w:rsid w:val="0075477A"/>
    <w:rsid w:val="00783169"/>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CB5780"/>
    <w:rsid w:val="00D201E7"/>
    <w:rsid w:val="00D37BF0"/>
    <w:rsid w:val="00D45C56"/>
    <w:rsid w:val="00D51B7C"/>
    <w:rsid w:val="00E25A45"/>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acea.be/publications/article/overview-of-incentives-for-buying-electric-vehic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http://www.acea.be/search/de7db054743d8d51591526e8c57a5d02/" TargetMode="External"/><Relationship Id="rId2" Type="http://schemas.openxmlformats.org/officeDocument/2006/relationships/numbering" Target="numbering.xml"/><Relationship Id="rId16" Type="http://schemas.openxmlformats.org/officeDocument/2006/relationships/hyperlink" Target="https://www.rvo.nl/sites/default/files/2014/04/Electromobility%20in%20the%20Netherlands%20Highlights%2020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hydroquebec.com/transportation-electrification/pdf/technical-installation-guide.pdf" TargetMode="External"/><Relationship Id="rId10" Type="http://schemas.openxmlformats.org/officeDocument/2006/relationships/image" Target="media/image1.png"/><Relationship Id="rId19" Type="http://schemas.openxmlformats.org/officeDocument/2006/relationships/hyperlink" Target="http://en.wikipedia.org/wiki/Government_incentives_for_plug-in_electric_vehicle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calstart.org/Libraries/E-Truck_Task_Force_Documents/Article_625_Natl_Electric_Code.sflb"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86E74-7FFA-44B3-B854-DAA2494C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2228</Words>
  <Characters>12258</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Jacquelin</cp:lastModifiedBy>
  <cp:revision>3</cp:revision>
  <dcterms:created xsi:type="dcterms:W3CDTF">2015-06-08T16:49:00Z</dcterms:created>
  <dcterms:modified xsi:type="dcterms:W3CDTF">2015-06-10T03:05:00Z</dcterms:modified>
</cp:coreProperties>
</file>