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475" w:rsidRDefault="00B12BC9" w:rsidP="004F668C">
      <w:pPr>
        <w:pStyle w:val="Titre"/>
        <w:jc w:val="both"/>
        <w:rPr>
          <w:lang w:val="en-US"/>
        </w:rPr>
      </w:pPr>
      <w:r>
        <w:rPr>
          <w:lang w:val="en-US"/>
        </w:rPr>
        <w:t>Impact of Government action</w:t>
      </w:r>
    </w:p>
    <w:p w:rsidR="001A75E4" w:rsidRDefault="001A75E4" w:rsidP="004F668C">
      <w:pPr>
        <w:jc w:val="both"/>
        <w:rPr>
          <w:lang w:val="en-US"/>
        </w:rPr>
      </w:pPr>
    </w:p>
    <w:p w:rsidR="001A75E4" w:rsidRDefault="001A75E4" w:rsidP="004F668C">
      <w:pPr>
        <w:pStyle w:val="Sous-titre"/>
        <w:jc w:val="both"/>
        <w:rPr>
          <w:lang w:val="en-US"/>
        </w:rPr>
      </w:pPr>
      <w:r>
        <w:rPr>
          <w:lang w:val="en-US"/>
        </w:rPr>
        <w:t>Countries objectives</w:t>
      </w:r>
    </w:p>
    <w:p w:rsidR="004F668C" w:rsidRPr="004F668C" w:rsidRDefault="004F668C" w:rsidP="004F668C">
      <w:pPr>
        <w:jc w:val="both"/>
        <w:rPr>
          <w:lang w:val="en-US"/>
        </w:rPr>
      </w:pPr>
      <w:r>
        <w:rPr>
          <w:lang w:val="en-US"/>
        </w:rPr>
        <w:t>Ever since the Kyoto protocol in 1997, countries have set objectives about reducing their emissions and pollution.</w:t>
      </w:r>
    </w:p>
    <w:p w:rsidR="001A75E4" w:rsidRDefault="001A75E4" w:rsidP="004F668C">
      <w:pPr>
        <w:jc w:val="both"/>
        <w:rPr>
          <w:lang w:val="en-US"/>
        </w:rPr>
      </w:pPr>
      <w:r>
        <w:rPr>
          <w:noProof/>
        </w:rPr>
        <w:drawing>
          <wp:inline distT="0" distB="0" distL="0" distR="0" wp14:anchorId="6CCF2DFF" wp14:editId="632481AD">
            <wp:extent cx="5653884" cy="3136605"/>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
                      <a:extLst>
                        <a:ext uri="{28A0092B-C50C-407E-A947-70E740481C1C}">
                          <a14:useLocalDpi xmlns:a14="http://schemas.microsoft.com/office/drawing/2010/main" val="0"/>
                        </a:ext>
                      </a:extLst>
                    </a:blip>
                    <a:srcRect l="1644" t="15585" b="13870"/>
                    <a:stretch/>
                  </pic:blipFill>
                  <pic:spPr bwMode="auto">
                    <a:xfrm>
                      <a:off x="0" y="0"/>
                      <a:ext cx="5666022" cy="3143339"/>
                    </a:xfrm>
                    <a:prstGeom prst="rect">
                      <a:avLst/>
                    </a:prstGeom>
                    <a:ln>
                      <a:noFill/>
                    </a:ln>
                    <a:extLst>
                      <a:ext uri="{53640926-AAD7-44D8-BBD7-CCE9431645EC}">
                        <a14:shadowObscured xmlns:a14="http://schemas.microsoft.com/office/drawing/2010/main"/>
                      </a:ext>
                    </a:extLst>
                  </pic:spPr>
                </pic:pic>
              </a:graphicData>
            </a:graphic>
          </wp:inline>
        </w:drawing>
      </w:r>
    </w:p>
    <w:p w:rsidR="004F668C" w:rsidRPr="001A75E4" w:rsidRDefault="004F668C" w:rsidP="004F668C">
      <w:pPr>
        <w:jc w:val="both"/>
        <w:rPr>
          <w:lang w:val="en-US"/>
        </w:rPr>
      </w:pPr>
      <w:r>
        <w:rPr>
          <w:lang w:val="en-US"/>
        </w:rPr>
        <w:t>Apart from the development of renewable energies, the need for a new fleet of sustainable vehicles has appeared to be essential to attain these objectives. In order to help such a development, many countries have d</w:t>
      </w:r>
      <w:r w:rsidR="002A227D">
        <w:rPr>
          <w:lang w:val="en-US"/>
        </w:rPr>
        <w:t>ecided to take measures in favo</w:t>
      </w:r>
      <w:r>
        <w:rPr>
          <w:lang w:val="en-US"/>
        </w:rPr>
        <w:t>r of the EV market, including not only the vehicles themselves, but also the charging stations that support the network. We will more specifically consider the example of the European community of countries.</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Countries measures to help the EV Market</w:t>
      </w:r>
    </w:p>
    <w:p w:rsidR="001A75E4" w:rsidRPr="00755988" w:rsidRDefault="001A75E4" w:rsidP="004F668C">
      <w:pPr>
        <w:jc w:val="both"/>
        <w:rPr>
          <w:rStyle w:val="Emphaseintense"/>
        </w:rPr>
      </w:pPr>
      <w:proofErr w:type="gramStart"/>
      <w:r w:rsidRPr="00755988">
        <w:rPr>
          <w:rStyle w:val="Emphaseintense"/>
        </w:rPr>
        <w:t>Subsidies</w:t>
      </w:r>
      <w:proofErr w:type="gramEnd"/>
    </w:p>
    <w:p w:rsidR="004F668C" w:rsidRDefault="004F668C" w:rsidP="004F668C">
      <w:pPr>
        <w:jc w:val="both"/>
        <w:rPr>
          <w:lang w:val="en-US"/>
        </w:rPr>
      </w:pPr>
      <w:r>
        <w:rPr>
          <w:noProof/>
        </w:rPr>
        <w:drawing>
          <wp:inline distT="0" distB="0" distL="0" distR="0" wp14:anchorId="0A8FB539" wp14:editId="46280A59">
            <wp:extent cx="5502166" cy="3479085"/>
            <wp:effectExtent l="0" t="0" r="381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5">
                      <a:extLst>
                        <a:ext uri="{28A0092B-C50C-407E-A947-70E740481C1C}">
                          <a14:useLocalDpi xmlns:a14="http://schemas.microsoft.com/office/drawing/2010/main" val="0"/>
                        </a:ext>
                      </a:extLst>
                    </a:blip>
                    <a:srcRect t="5495" r="1635" b="11355"/>
                    <a:stretch/>
                  </pic:blipFill>
                  <pic:spPr bwMode="auto">
                    <a:xfrm>
                      <a:off x="0" y="0"/>
                      <a:ext cx="5502166" cy="3479085"/>
                    </a:xfrm>
                    <a:prstGeom prst="rect">
                      <a:avLst/>
                    </a:prstGeom>
                    <a:ln>
                      <a:noFill/>
                    </a:ln>
                    <a:extLst>
                      <a:ext uri="{53640926-AAD7-44D8-BBD7-CCE9431645EC}">
                        <a14:shadowObscured xmlns:a14="http://schemas.microsoft.com/office/drawing/2010/main"/>
                      </a:ext>
                    </a:extLst>
                  </pic:spPr>
                </pic:pic>
              </a:graphicData>
            </a:graphic>
          </wp:inline>
        </w:drawing>
      </w:r>
    </w:p>
    <w:p w:rsidR="004F668C" w:rsidRDefault="004F668C" w:rsidP="004F668C">
      <w:pPr>
        <w:jc w:val="both"/>
        <w:rPr>
          <w:lang w:val="en-US"/>
        </w:rPr>
      </w:pPr>
      <w:r>
        <w:rPr>
          <w:lang w:val="en-US"/>
        </w:rPr>
        <w:t xml:space="preserve">Subsidies are one of the best weapon countries have to favor a specific market. In this case, they provide a certain amount of money when the car is bought, in order to make the EV market financially more appealing. Even though China, Japan and the USA are in very good position, many European countries also arrive in </w:t>
      </w:r>
      <w:r w:rsidR="002A227D">
        <w:rPr>
          <w:lang w:val="en-US"/>
        </w:rPr>
        <w:t>the top leading countries</w:t>
      </w:r>
      <w:r>
        <w:rPr>
          <w:lang w:val="en-US"/>
        </w:rPr>
        <w:t xml:space="preserve"> when it comes to subsidies per car.</w:t>
      </w:r>
    </w:p>
    <w:p w:rsidR="004F668C" w:rsidRDefault="004F668C" w:rsidP="004F668C">
      <w:pPr>
        <w:jc w:val="both"/>
        <w:rPr>
          <w:lang w:val="en-US"/>
        </w:rPr>
      </w:pPr>
      <w:r>
        <w:rPr>
          <w:lang w:val="en-US"/>
        </w:rPr>
        <w:t xml:space="preserve">But all actions in a country are not governmental. Cities also try their best to improve the development of the EV market, in a regional scale. For example, the city </w:t>
      </w:r>
      <w:r w:rsidR="002A227D">
        <w:rPr>
          <w:lang w:val="en-US"/>
        </w:rPr>
        <w:t>o</w:t>
      </w:r>
      <w:r>
        <w:rPr>
          <w:lang w:val="en-US"/>
        </w:rPr>
        <w:t xml:space="preserve">f Paris has created the </w:t>
      </w:r>
      <w:proofErr w:type="spellStart"/>
      <w:r>
        <w:rPr>
          <w:lang w:val="en-US"/>
        </w:rPr>
        <w:t>Autolib</w:t>
      </w:r>
      <w:proofErr w:type="spellEnd"/>
      <w:r>
        <w:rPr>
          <w:lang w:val="en-US"/>
        </w:rPr>
        <w:t xml:space="preserve"> program, in which people can use EVs that belong to the city, in the same way than bikes. </w:t>
      </w:r>
      <w:r w:rsidR="00461FF4">
        <w:rPr>
          <w:lang w:val="en-US"/>
        </w:rPr>
        <w:t xml:space="preserve">Whether you have a card or not, you can pay a very small amount of money to a station, get a car, and put it back in one of the city’s many stations. </w:t>
      </w:r>
      <w:r w:rsidR="00755988">
        <w:rPr>
          <w:lang w:val="en-US"/>
        </w:rPr>
        <w:t>O</w:t>
      </w:r>
      <w:r w:rsidR="00461FF4">
        <w:rPr>
          <w:lang w:val="en-US"/>
        </w:rPr>
        <w:t>ther actions are done in many cities. They provide not only subsidies, but also programs such as EV car sharing services. Also, many actions favoring EV users letting them use priority lanes, use parking</w:t>
      </w:r>
      <w:r w:rsidR="002A227D">
        <w:rPr>
          <w:lang w:val="en-US"/>
        </w:rPr>
        <w:t xml:space="preserve"> lots</w:t>
      </w:r>
      <w:proofErr w:type="gramStart"/>
      <w:r w:rsidR="002A227D">
        <w:rPr>
          <w:lang w:val="en-US"/>
        </w:rPr>
        <w:t>,…</w:t>
      </w:r>
      <w:proofErr w:type="gramEnd"/>
    </w:p>
    <w:p w:rsidR="001A75E4" w:rsidRDefault="001A75E4" w:rsidP="004F668C">
      <w:pPr>
        <w:jc w:val="both"/>
        <w:rPr>
          <w:lang w:val="en-US"/>
        </w:rPr>
      </w:pPr>
      <w:r>
        <w:rPr>
          <w:noProof/>
        </w:rPr>
        <w:lastRenderedPageBreak/>
        <w:drawing>
          <wp:inline distT="0" distB="0" distL="0" distR="0" wp14:anchorId="0921CC7B" wp14:editId="70AE3D7B">
            <wp:extent cx="5486400" cy="39253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rotWithShape="1">
                    <a:blip r:embed="rId6">
                      <a:extLst>
                        <a:ext uri="{28A0092B-C50C-407E-A947-70E740481C1C}">
                          <a14:useLocalDpi xmlns:a14="http://schemas.microsoft.com/office/drawing/2010/main" val="0"/>
                        </a:ext>
                      </a:extLst>
                    </a:blip>
                    <a:srcRect t="5462" b="-549"/>
                    <a:stretch/>
                  </pic:blipFill>
                  <pic:spPr bwMode="auto">
                    <a:xfrm>
                      <a:off x="0" y="0"/>
                      <a:ext cx="5495449" cy="3931795"/>
                    </a:xfrm>
                    <a:prstGeom prst="rect">
                      <a:avLst/>
                    </a:prstGeom>
                    <a:ln>
                      <a:noFill/>
                    </a:ln>
                    <a:extLst>
                      <a:ext uri="{53640926-AAD7-44D8-BBD7-CCE9431645EC}">
                        <a14:shadowObscured xmlns:a14="http://schemas.microsoft.com/office/drawing/2010/main"/>
                      </a:ext>
                    </a:extLst>
                  </pic:spPr>
                </pic:pic>
              </a:graphicData>
            </a:graphic>
          </wp:inline>
        </w:drawing>
      </w:r>
    </w:p>
    <w:p w:rsidR="001A75E4" w:rsidRPr="002A227D" w:rsidRDefault="001A75E4" w:rsidP="00755988">
      <w:pPr>
        <w:pStyle w:val="Sous-titre"/>
        <w:rPr>
          <w:rStyle w:val="Emphaseintense"/>
          <w:lang w:val="en-US"/>
        </w:rPr>
      </w:pPr>
      <w:r w:rsidRPr="002A227D">
        <w:rPr>
          <w:rStyle w:val="Emphaseintense"/>
          <w:lang w:val="en-US"/>
        </w:rPr>
        <w:t>Charging stations network</w:t>
      </w:r>
    </w:p>
    <w:p w:rsidR="00C13BBD" w:rsidRDefault="00461FF4" w:rsidP="000D74C1">
      <w:pPr>
        <w:jc w:val="both"/>
        <w:rPr>
          <w:lang w:val="en-US"/>
        </w:rPr>
      </w:pPr>
      <w:r>
        <w:rPr>
          <w:lang w:val="en-US"/>
        </w:rPr>
        <w:t>Another kind of action i</w:t>
      </w:r>
      <w:r w:rsidR="00C13BBD">
        <w:rPr>
          <w:lang w:val="en-US"/>
        </w:rPr>
        <w:t>s</w:t>
      </w:r>
      <w:r>
        <w:rPr>
          <w:lang w:val="en-US"/>
        </w:rPr>
        <w:t xml:space="preserve"> the development of the charging stations network, essential to support the EVs’ fleet in a country.</w:t>
      </w:r>
    </w:p>
    <w:p w:rsidR="002E47EC" w:rsidRDefault="002E47EC" w:rsidP="000D74C1">
      <w:pPr>
        <w:jc w:val="both"/>
        <w:rPr>
          <w:lang w:val="en-US"/>
        </w:rPr>
      </w:pPr>
      <w:r w:rsidRPr="002E47EC">
        <w:rPr>
          <w:lang w:val="en-US"/>
        </w:rPr>
        <w:t xml:space="preserve">Many </w:t>
      </w:r>
      <w:r>
        <w:rPr>
          <w:lang w:val="en-US"/>
        </w:rPr>
        <w:t>countries have implemented policies regarding the development of charging stations’ network. These policies include financial incentives and subsidies (e.g. 50 million for France), determination of showcase regions, support of R&amp;D, tax incentives to support the creatio</w:t>
      </w:r>
      <w:r w:rsidR="001129C8">
        <w:rPr>
          <w:lang w:val="en-US"/>
        </w:rPr>
        <w:t xml:space="preserve">n of a charging infrastructure, </w:t>
      </w:r>
      <w:r w:rsidR="002A227D">
        <w:rPr>
          <w:lang w:val="en-US"/>
        </w:rPr>
        <w:t>public advertisement and shows</w:t>
      </w:r>
      <w:proofErr w:type="gramStart"/>
      <w:r w:rsidR="002A227D">
        <w:rPr>
          <w:lang w:val="en-US"/>
        </w:rPr>
        <w:t>,</w:t>
      </w:r>
      <w:r w:rsidR="001129C8">
        <w:rPr>
          <w:lang w:val="en-US"/>
        </w:rPr>
        <w:t>…</w:t>
      </w:r>
      <w:proofErr w:type="gramEnd"/>
    </w:p>
    <w:p w:rsidR="001A75E4" w:rsidRDefault="002E47EC" w:rsidP="001129C8">
      <w:pPr>
        <w:jc w:val="center"/>
        <w:rPr>
          <w:lang w:val="en-US"/>
        </w:rPr>
      </w:pPr>
      <w:r>
        <w:rPr>
          <w:noProof/>
        </w:rPr>
        <w:drawing>
          <wp:inline distT="0" distB="0" distL="0" distR="0" wp14:anchorId="228CAE52" wp14:editId="0A0834EB">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129C8" w:rsidRDefault="001129C8" w:rsidP="001129C8">
      <w:pPr>
        <w:rPr>
          <w:lang w:val="en-US"/>
        </w:rPr>
      </w:pPr>
      <w:r>
        <w:rPr>
          <w:lang w:val="en-US"/>
        </w:rPr>
        <w:lastRenderedPageBreak/>
        <w:t xml:space="preserve">The graph above shows us that the most efficient actions are the tax incentives (Netherlands), use of showcase regions (Germany), and of course subsidies (UK, France, </w:t>
      </w:r>
      <w:proofErr w:type="gramStart"/>
      <w:r>
        <w:rPr>
          <w:lang w:val="en-US"/>
        </w:rPr>
        <w:t>Germany</w:t>
      </w:r>
      <w:proofErr w:type="gramEnd"/>
      <w:r>
        <w:rPr>
          <w:lang w:val="en-US"/>
        </w:rPr>
        <w:t>).</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Results</w:t>
      </w:r>
    </w:p>
    <w:p w:rsidR="00C13BBD" w:rsidRPr="00C13BBD" w:rsidRDefault="00C13BBD" w:rsidP="00C13BBD">
      <w:pPr>
        <w:rPr>
          <w:lang w:val="en-US"/>
        </w:rPr>
      </w:pPr>
      <w:r>
        <w:rPr>
          <w:lang w:val="en-US"/>
        </w:rPr>
        <w:t>The impact on the sales of charging stations is pretty ob</w:t>
      </w:r>
      <w:r w:rsidR="00782CD1">
        <w:rPr>
          <w:lang w:val="en-US"/>
        </w:rPr>
        <w:t>v</w:t>
      </w:r>
      <w:r>
        <w:rPr>
          <w:lang w:val="en-US"/>
        </w:rPr>
        <w:t>ious, and, apart from Africa, the increase in the implementations of charging stations is pretty huge.</w:t>
      </w:r>
    </w:p>
    <w:p w:rsidR="00C13BBD" w:rsidRDefault="00C13BBD" w:rsidP="00C13BBD">
      <w:pPr>
        <w:rPr>
          <w:lang w:val="en-US"/>
        </w:rPr>
      </w:pPr>
      <w:r>
        <w:rPr>
          <w:noProof/>
        </w:rPr>
        <w:drawing>
          <wp:inline distT="0" distB="0" distL="0" distR="0">
            <wp:extent cx="5760720" cy="32181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18180"/>
                    </a:xfrm>
                    <a:prstGeom prst="rect">
                      <a:avLst/>
                    </a:prstGeom>
                  </pic:spPr>
                </pic:pic>
              </a:graphicData>
            </a:graphic>
          </wp:inline>
        </w:drawing>
      </w:r>
    </w:p>
    <w:p w:rsidR="00C13BBD" w:rsidRDefault="00C13BBD" w:rsidP="00C13BBD">
      <w:pPr>
        <w:rPr>
          <w:lang w:val="en-US"/>
        </w:rPr>
      </w:pPr>
      <w:r>
        <w:rPr>
          <w:lang w:val="en-US"/>
        </w:rPr>
        <w:t>And the combined effect of EV promotion from countries/cities, and the development of the charging stations network</w:t>
      </w:r>
      <w:r w:rsidR="002A227D">
        <w:rPr>
          <w:lang w:val="en-US"/>
        </w:rPr>
        <w:t>,</w:t>
      </w:r>
      <w:bookmarkStart w:id="0" w:name="_GoBack"/>
      <w:bookmarkEnd w:id="0"/>
      <w:r>
        <w:rPr>
          <w:lang w:val="en-US"/>
        </w:rPr>
        <w:t xml:space="preserve"> is a similar increase in the sales of EV.</w:t>
      </w:r>
    </w:p>
    <w:p w:rsidR="001A75E4" w:rsidRDefault="00C13BBD" w:rsidP="00C13BBD">
      <w:pPr>
        <w:jc w:val="center"/>
        <w:rPr>
          <w:lang w:val="en-US"/>
        </w:rPr>
      </w:pPr>
      <w:r>
        <w:rPr>
          <w:noProof/>
        </w:rPr>
        <w:drawing>
          <wp:inline distT="0" distB="0" distL="0" distR="0" wp14:anchorId="58F41920" wp14:editId="2774C841">
            <wp:extent cx="4571429" cy="336190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9">
                      <a:extLst>
                        <a:ext uri="{28A0092B-C50C-407E-A947-70E740481C1C}">
                          <a14:useLocalDpi xmlns:a14="http://schemas.microsoft.com/office/drawing/2010/main" val="0"/>
                        </a:ext>
                      </a:extLst>
                    </a:blip>
                    <a:stretch>
                      <a:fillRect/>
                    </a:stretch>
                  </pic:blipFill>
                  <pic:spPr>
                    <a:xfrm>
                      <a:off x="0" y="0"/>
                      <a:ext cx="4571429" cy="3361905"/>
                    </a:xfrm>
                    <a:prstGeom prst="rect">
                      <a:avLst/>
                    </a:prstGeom>
                  </pic:spPr>
                </pic:pic>
              </a:graphicData>
            </a:graphic>
          </wp:inline>
        </w:drawing>
      </w:r>
    </w:p>
    <w:sectPr w:rsidR="001A7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4"/>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D74C1"/>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29C8"/>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5E4"/>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7D"/>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47EC"/>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1FF4"/>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668C"/>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6D3"/>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5988"/>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2CD1"/>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BC9"/>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3BBD"/>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42E3A-1DF8-4BFC-8AE4-7C0B6449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Charging Points installed in 2013</a:t>
            </a:r>
          </a:p>
        </c:rich>
      </c:tx>
      <c:overlay val="0"/>
    </c:title>
    <c:autoTitleDeleted val="0"/>
    <c:plotArea>
      <c:layout/>
      <c:barChart>
        <c:barDir val="col"/>
        <c:grouping val="stacked"/>
        <c:varyColors val="0"/>
        <c:ser>
          <c:idx val="0"/>
          <c:order val="0"/>
          <c:tx>
            <c:strRef>
              <c:f>Feuil1!$C$3</c:f>
              <c:strCache>
                <c:ptCount val="1"/>
                <c:pt idx="0">
                  <c:v>Slow Charger</c:v>
                </c:pt>
              </c:strCache>
            </c:strRef>
          </c:tx>
          <c:spPr>
            <a:solidFill>
              <a:srgbClr val="00B050"/>
            </a:solidFill>
          </c:spPr>
          <c:invertIfNegative val="0"/>
          <c:cat>
            <c:strRef>
              <c:f>Feuil1!$B$4:$B$9</c:f>
              <c:strCache>
                <c:ptCount val="6"/>
                <c:pt idx="0">
                  <c:v>NED</c:v>
                </c:pt>
                <c:pt idx="1">
                  <c:v>UK</c:v>
                </c:pt>
                <c:pt idx="2">
                  <c:v>GER</c:v>
                </c:pt>
                <c:pt idx="3">
                  <c:v>FRA</c:v>
                </c:pt>
                <c:pt idx="4">
                  <c:v>PT</c:v>
                </c:pt>
                <c:pt idx="5">
                  <c:v>ESP</c:v>
                </c:pt>
              </c:strCache>
            </c:strRef>
          </c:cat>
          <c:val>
            <c:numRef>
              <c:f>Feuil1!$C$4:$C$9</c:f>
              <c:numCache>
                <c:formatCode>General</c:formatCode>
                <c:ptCount val="6"/>
                <c:pt idx="0">
                  <c:v>6000</c:v>
                </c:pt>
                <c:pt idx="1">
                  <c:v>3000</c:v>
                </c:pt>
                <c:pt idx="2">
                  <c:v>2800</c:v>
                </c:pt>
                <c:pt idx="3">
                  <c:v>1700</c:v>
                </c:pt>
                <c:pt idx="4">
                  <c:v>1000</c:v>
                </c:pt>
                <c:pt idx="5">
                  <c:v>800</c:v>
                </c:pt>
              </c:numCache>
            </c:numRef>
          </c:val>
        </c:ser>
        <c:ser>
          <c:idx val="1"/>
          <c:order val="1"/>
          <c:tx>
            <c:strRef>
              <c:f>Feuil1!$D$3</c:f>
              <c:strCache>
                <c:ptCount val="1"/>
                <c:pt idx="0">
                  <c:v>Fast Charger</c:v>
                </c:pt>
              </c:strCache>
            </c:strRef>
          </c:tx>
          <c:invertIfNegative val="0"/>
          <c:cat>
            <c:strRef>
              <c:f>Feuil1!$B$4:$B$9</c:f>
              <c:strCache>
                <c:ptCount val="6"/>
                <c:pt idx="0">
                  <c:v>NED</c:v>
                </c:pt>
                <c:pt idx="1">
                  <c:v>UK</c:v>
                </c:pt>
                <c:pt idx="2">
                  <c:v>GER</c:v>
                </c:pt>
                <c:pt idx="3">
                  <c:v>FRA</c:v>
                </c:pt>
                <c:pt idx="4">
                  <c:v>PT</c:v>
                </c:pt>
                <c:pt idx="5">
                  <c:v>ESP</c:v>
                </c:pt>
              </c:strCache>
            </c:strRef>
          </c:cat>
          <c:val>
            <c:numRef>
              <c:f>Feuil1!$D$4:$D$9</c:f>
              <c:numCache>
                <c:formatCode>General</c:formatCode>
                <c:ptCount val="6"/>
                <c:pt idx="0">
                  <c:v>120</c:v>
                </c:pt>
                <c:pt idx="1">
                  <c:v>150</c:v>
                </c:pt>
                <c:pt idx="2">
                  <c:v>50</c:v>
                </c:pt>
                <c:pt idx="3">
                  <c:v>100</c:v>
                </c:pt>
                <c:pt idx="4">
                  <c:v>70</c:v>
                </c:pt>
                <c:pt idx="5">
                  <c:v>20</c:v>
                </c:pt>
              </c:numCache>
            </c:numRef>
          </c:val>
        </c:ser>
        <c:dLbls>
          <c:showLegendKey val="0"/>
          <c:showVal val="0"/>
          <c:showCatName val="0"/>
          <c:showSerName val="0"/>
          <c:showPercent val="0"/>
          <c:showBubbleSize val="0"/>
        </c:dLbls>
        <c:gapWidth val="150"/>
        <c:overlap val="100"/>
        <c:axId val="-1251263696"/>
        <c:axId val="-1251264784"/>
      </c:barChart>
      <c:catAx>
        <c:axId val="-1251263696"/>
        <c:scaling>
          <c:orientation val="minMax"/>
        </c:scaling>
        <c:delete val="0"/>
        <c:axPos val="b"/>
        <c:numFmt formatCode="General" sourceLinked="0"/>
        <c:majorTickMark val="out"/>
        <c:minorTickMark val="none"/>
        <c:tickLblPos val="nextTo"/>
        <c:crossAx val="-1251264784"/>
        <c:crosses val="autoZero"/>
        <c:auto val="1"/>
        <c:lblAlgn val="ctr"/>
        <c:lblOffset val="100"/>
        <c:noMultiLvlLbl val="0"/>
      </c:catAx>
      <c:valAx>
        <c:axId val="-1251264784"/>
        <c:scaling>
          <c:orientation val="minMax"/>
        </c:scaling>
        <c:delete val="0"/>
        <c:axPos val="l"/>
        <c:majorGridlines/>
        <c:numFmt formatCode="General" sourceLinked="1"/>
        <c:majorTickMark val="out"/>
        <c:minorTickMark val="none"/>
        <c:tickLblPos val="nextTo"/>
        <c:crossAx val="-12512636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Vincent</cp:lastModifiedBy>
  <cp:revision>9</cp:revision>
  <dcterms:created xsi:type="dcterms:W3CDTF">2015-05-28T13:34:00Z</dcterms:created>
  <dcterms:modified xsi:type="dcterms:W3CDTF">2015-06-04T06:57:00Z</dcterms:modified>
</cp:coreProperties>
</file>