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B4" w:rsidRPr="00FA3099" w:rsidRDefault="00B47BB4" w:rsidP="003F054A">
      <w:pPr>
        <w:pStyle w:val="Titre"/>
        <w:rPr>
          <w:lang w:val="en-US"/>
        </w:rPr>
      </w:pPr>
      <w:r w:rsidRPr="00FA3099">
        <w:rPr>
          <w:lang w:val="en-US"/>
        </w:rPr>
        <w:t>Regulations and Subsidies</w:t>
      </w:r>
    </w:p>
    <w:p w:rsidR="00B47BB4" w:rsidRPr="00FA3099" w:rsidRDefault="00B47BB4" w:rsidP="003F054A">
      <w:pPr>
        <w:jc w:val="both"/>
        <w:rPr>
          <w:rFonts w:ascii="Trebuchet MS" w:hAnsi="Trebuchet MS"/>
          <w:lang w:val="en-US"/>
        </w:rPr>
      </w:pPr>
    </w:p>
    <w:p w:rsidR="00D201E7" w:rsidRPr="00FA3099" w:rsidRDefault="00D201E7" w:rsidP="003F054A">
      <w:pPr>
        <w:pStyle w:val="Sous-titre"/>
        <w:rPr>
          <w:lang w:val="en-US"/>
        </w:rPr>
      </w:pPr>
      <w:r w:rsidRPr="00FA3099">
        <w:rPr>
          <w:lang w:val="en-US"/>
        </w:rPr>
        <w:t>Ruling organisms</w:t>
      </w:r>
    </w:p>
    <w:p w:rsidR="00A27039" w:rsidRPr="00FA3099" w:rsidRDefault="00A27039" w:rsidP="003F054A">
      <w:pPr>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companies that build the new EVs </w:t>
      </w:r>
      <w:proofErr w:type="gramStart"/>
      <w:r w:rsidRPr="00FA3099">
        <w:rPr>
          <w:rFonts w:ascii="Trebuchet MS" w:hAnsi="Trebuchet MS"/>
          <w:lang w:val="en-US"/>
        </w:rPr>
        <w:t>park</w:t>
      </w:r>
      <w:proofErr w:type="gramEnd"/>
      <w:r w:rsidRPr="00FA3099">
        <w:rPr>
          <w:rFonts w:ascii="Trebuchet MS" w:hAnsi="Trebuchet MS"/>
          <w:lang w:val="en-US"/>
        </w:rPr>
        <w:t>.</w:t>
      </w:r>
    </w:p>
    <w:p w:rsidR="00A27039" w:rsidRPr="00FA3099" w:rsidRDefault="00A27039" w:rsidP="003F054A">
      <w:pPr>
        <w:jc w:val="both"/>
        <w:rPr>
          <w:rFonts w:ascii="Trebuchet MS" w:hAnsi="Trebuchet MS"/>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ted rules and started to create some on the EV charging stations matter:</w:t>
      </w:r>
    </w:p>
    <w:p w:rsidR="00D201E7" w:rsidRPr="00FA3099" w:rsidRDefault="00D201E7" w:rsidP="003F054A">
      <w:pPr>
        <w:pStyle w:val="Paragraphedeliste"/>
        <w:numPr>
          <w:ilvl w:val="0"/>
          <w:numId w:val="4"/>
        </w:numPr>
        <w:jc w:val="both"/>
        <w:rPr>
          <w:rFonts w:ascii="Trebuchet MS" w:hAnsi="Trebuchet MS"/>
          <w:u w:val="single"/>
          <w:lang w:val="en-US"/>
        </w:rPr>
      </w:pPr>
      <w:r w:rsidRPr="00FA3099">
        <w:rPr>
          <w:rFonts w:ascii="Trebuchet MS" w:hAnsi="Trebuchet MS"/>
          <w:lang w:val="en-US"/>
        </w:rPr>
        <w:t>National Electrical Code in the US</w:t>
      </w:r>
    </w:p>
    <w:p w:rsidR="00D201E7" w:rsidRPr="00FA3099" w:rsidRDefault="00D201E7" w:rsidP="003F054A">
      <w:pPr>
        <w:pStyle w:val="Paragraphedeliste"/>
        <w:numPr>
          <w:ilvl w:val="0"/>
          <w:numId w:val="4"/>
        </w:numPr>
        <w:jc w:val="both"/>
        <w:rPr>
          <w:rFonts w:ascii="Trebuchet MS" w:hAnsi="Trebuchet MS"/>
          <w:u w:val="single"/>
        </w:rPr>
      </w:pPr>
      <w:r w:rsidRPr="00FA3099">
        <w:rPr>
          <w:rFonts w:ascii="Trebuchet MS" w:hAnsi="Trebuchet MS"/>
        </w:rPr>
        <w:t>Centre National du Transport Avancé (CNTA)</w:t>
      </w:r>
      <w:r w:rsidR="009B7435" w:rsidRPr="00FA3099">
        <w:rPr>
          <w:rFonts w:ascii="Trebuchet MS" w:hAnsi="Trebuchet MS"/>
        </w:rPr>
        <w:t xml:space="preserve"> in Canada</w:t>
      </w:r>
      <w:r w:rsidR="008D1476">
        <w:rPr>
          <w:rFonts w:ascii="Trebuchet MS" w:hAnsi="Trebuchet MS"/>
        </w:rPr>
        <w:t xml:space="preserve"> (</w:t>
      </w:r>
      <w:r w:rsidR="008D1476" w:rsidRPr="008D1476">
        <w:rPr>
          <w:rFonts w:ascii="Trebuchet MS" w:hAnsi="Trebuchet MS"/>
          <w:u w:val="single"/>
        </w:rPr>
        <w:t>Annexe 1</w:t>
      </w:r>
      <w:r w:rsidR="008D1476">
        <w:rPr>
          <w:rFonts w:ascii="Trebuchet MS" w:hAnsi="Trebuchet MS"/>
        </w:rPr>
        <w:t>)</w:t>
      </w:r>
    </w:p>
    <w:p w:rsidR="00D201E7" w:rsidRPr="00FA3099" w:rsidRDefault="00D201E7" w:rsidP="003F054A">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International </w:t>
      </w:r>
      <w:proofErr w:type="spellStart"/>
      <w:r w:rsidRPr="00FA3099">
        <w:rPr>
          <w:rFonts w:ascii="Trebuchet MS" w:hAnsi="Trebuchet MS"/>
          <w:lang w:val="en-US"/>
        </w:rPr>
        <w:t>Electrotechnical</w:t>
      </w:r>
      <w:proofErr w:type="spellEnd"/>
      <w:r w:rsidRPr="00FA3099">
        <w:rPr>
          <w:rFonts w:ascii="Trebuchet MS" w:hAnsi="Trebuchet MS"/>
          <w:lang w:val="en-US"/>
        </w:rPr>
        <w:t xml:space="preserve"> Commission</w:t>
      </w:r>
    </w:p>
    <w:p w:rsidR="009B7435" w:rsidRPr="00FA3099" w:rsidRDefault="009B7435" w:rsidP="003F054A">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European Environment </w:t>
      </w:r>
      <w:proofErr w:type="spellStart"/>
      <w:r w:rsidRPr="00FA3099">
        <w:rPr>
          <w:rFonts w:ascii="Trebuchet MS" w:hAnsi="Trebuchet MS"/>
          <w:lang w:val="en-US"/>
        </w:rPr>
        <w:t>Grenelle</w:t>
      </w:r>
      <w:proofErr w:type="spellEnd"/>
      <w:r w:rsidRPr="00FA3099">
        <w:rPr>
          <w:rFonts w:ascii="Trebuchet MS" w:hAnsi="Trebuchet MS"/>
          <w:lang w:val="en-US"/>
        </w:rPr>
        <w:t xml:space="preserve"> in the EU</w:t>
      </w:r>
    </w:p>
    <w:p w:rsidR="00A27039" w:rsidRPr="00FA3099" w:rsidRDefault="00A27039" w:rsidP="003F054A">
      <w:pPr>
        <w:jc w:val="both"/>
        <w:rPr>
          <w:rFonts w:ascii="Trebuchet MS" w:hAnsi="Trebuchet MS"/>
          <w:lang w:val="en-US"/>
        </w:rPr>
      </w:pPr>
      <w:r w:rsidRPr="00FA3099">
        <w:rPr>
          <w:rFonts w:ascii="Trebuchet MS" w:hAnsi="Trebuchet MS"/>
          <w:lang w:val="en-US"/>
        </w:rPr>
        <w:t>Companies and Societies are imposing standards and rules by having the monopole on the edge technology:</w:t>
      </w:r>
    </w:p>
    <w:p w:rsidR="009B7435" w:rsidRPr="00FA3099" w:rsidRDefault="009B7435" w:rsidP="003F054A">
      <w:pPr>
        <w:pStyle w:val="Paragraphedeliste"/>
        <w:numPr>
          <w:ilvl w:val="0"/>
          <w:numId w:val="4"/>
        </w:numPr>
        <w:jc w:val="both"/>
        <w:rPr>
          <w:rFonts w:ascii="Trebuchet MS" w:hAnsi="Trebuchet MS"/>
          <w:u w:val="single"/>
          <w:lang w:val="en-US"/>
        </w:rPr>
      </w:pPr>
      <w:r w:rsidRPr="00FA3099">
        <w:rPr>
          <w:rFonts w:ascii="Trebuchet MS" w:hAnsi="Trebuchet MS"/>
          <w:lang w:val="en-US"/>
        </w:rPr>
        <w:t>Society for Automobile Engineers, SAE International</w:t>
      </w:r>
    </w:p>
    <w:p w:rsidR="00A27039" w:rsidRPr="00FA3099" w:rsidRDefault="00A27039" w:rsidP="003F054A">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p>
    <w:p w:rsidR="009B7435" w:rsidRPr="00FA3099" w:rsidRDefault="009B7435" w:rsidP="003F054A">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CHAdeMO</w:t>
      </w:r>
      <w:proofErr w:type="spellEnd"/>
      <w:r w:rsidRPr="00FA3099">
        <w:rPr>
          <w:rFonts w:ascii="Trebuchet MS" w:hAnsi="Trebuchet MS"/>
          <w:lang w:val="en-US"/>
        </w:rPr>
        <w:t xml:space="preserve"> </w:t>
      </w:r>
      <w:r w:rsidR="003F054A">
        <w:rPr>
          <w:rFonts w:ascii="Trebuchet MS" w:hAnsi="Trebuchet MS"/>
          <w:lang w:val="en-US"/>
        </w:rPr>
        <w:t>in Japan</w:t>
      </w:r>
      <w:r w:rsidRPr="00FA3099">
        <w:rPr>
          <w:rFonts w:ascii="Trebuchet MS" w:hAnsi="Trebuchet MS"/>
          <w:lang w:val="en-US"/>
        </w:rPr>
        <w:t>(Tokyo Electric Power Company, Nissan, Mitsubishi and Fuji Heavy Industries)</w:t>
      </w:r>
    </w:p>
    <w:p w:rsidR="00B47BB4" w:rsidRPr="00FA3099" w:rsidRDefault="00B47BB4" w:rsidP="003F054A">
      <w:pPr>
        <w:pStyle w:val="Sous-titre"/>
        <w:rPr>
          <w:lang w:val="en-US"/>
        </w:rPr>
      </w:pPr>
      <w:r w:rsidRPr="00FA3099">
        <w:rPr>
          <w:lang w:val="en-US"/>
        </w:rPr>
        <w:t>Existing regulations</w:t>
      </w:r>
    </w:p>
    <w:p w:rsidR="009B7435" w:rsidRPr="003F054A" w:rsidRDefault="009B7435" w:rsidP="003F054A">
      <w:pPr>
        <w:pStyle w:val="Paragraphedeliste"/>
        <w:numPr>
          <w:ilvl w:val="0"/>
          <w:numId w:val="3"/>
        </w:numPr>
        <w:jc w:val="both"/>
        <w:rPr>
          <w:rFonts w:ascii="Trebuchet MS" w:hAnsi="Trebuchet MS"/>
          <w:b/>
          <w:u w:val="single"/>
          <w:lang w:val="en-US"/>
        </w:rPr>
      </w:pPr>
      <w:r w:rsidRPr="00FA3099">
        <w:rPr>
          <w:rFonts w:ascii="Trebuchet MS" w:hAnsi="Trebuchet MS"/>
          <w:b/>
          <w:lang w:val="en-US"/>
        </w:rPr>
        <w:t>Safety standards</w:t>
      </w:r>
    </w:p>
    <w:p w:rsidR="00E94502" w:rsidRDefault="001B1F58" w:rsidP="001B1F58">
      <w:pPr>
        <w:rPr>
          <w:lang w:val="en-US"/>
        </w:rPr>
      </w:pPr>
      <w:proofErr w:type="spellStart"/>
      <w:r>
        <w:rPr>
          <w:lang w:val="en-US"/>
        </w:rPr>
        <w:t>Ex</w:t>
      </w:r>
      <w:r w:rsidR="00E94502">
        <w:rPr>
          <w:lang w:val="en-US"/>
        </w:rPr>
        <w:t>e</w:t>
      </w:r>
      <w:r>
        <w:rPr>
          <w:lang w:val="en-US"/>
        </w:rPr>
        <w:t>mple</w:t>
      </w:r>
      <w:proofErr w:type="spellEnd"/>
      <w:r>
        <w:rPr>
          <w:lang w:val="en-US"/>
        </w:rPr>
        <w:t>:</w:t>
      </w:r>
      <w:r w:rsidR="00E94502">
        <w:rPr>
          <w:lang w:val="en-US"/>
        </w:rPr>
        <w:t xml:space="preserve"> </w:t>
      </w:r>
      <w:r w:rsidR="003F054A">
        <w:rPr>
          <w:lang w:val="en-US"/>
        </w:rPr>
        <w:t>Article 625, Electric Vehicles Charging Systems</w:t>
      </w:r>
      <w:r>
        <w:rPr>
          <w:lang w:val="en-US"/>
        </w:rPr>
        <w:t xml:space="preserve"> of the US National Elec</w:t>
      </w:r>
      <w:r w:rsidR="00E94502">
        <w:rPr>
          <w:lang w:val="en-US"/>
        </w:rPr>
        <w:t>t</w:t>
      </w:r>
      <w:r>
        <w:rPr>
          <w:lang w:val="en-US"/>
        </w:rPr>
        <w:t xml:space="preserve">ric Code </w:t>
      </w:r>
    </w:p>
    <w:p w:rsidR="00A27039" w:rsidRPr="001B1F58" w:rsidRDefault="001B1F58" w:rsidP="001B1F58">
      <w:pPr>
        <w:rPr>
          <w:lang w:val="en-US"/>
        </w:rPr>
      </w:pPr>
      <w:r>
        <w:rPr>
          <w:lang w:val="en-US"/>
        </w:rPr>
        <w:t>(</w:t>
      </w:r>
      <w:r>
        <w:rPr>
          <w:u w:val="single"/>
          <w:lang w:val="en-US"/>
        </w:rPr>
        <w:t>Reference 1)</w:t>
      </w:r>
    </w:p>
    <w:p w:rsidR="00B47BB4" w:rsidRPr="00FA3099" w:rsidRDefault="00B47BB4" w:rsidP="003F054A">
      <w:pPr>
        <w:pStyle w:val="Paragraphedeliste"/>
        <w:numPr>
          <w:ilvl w:val="0"/>
          <w:numId w:val="3"/>
        </w:numPr>
        <w:jc w:val="both"/>
        <w:rPr>
          <w:rFonts w:ascii="Trebuchet MS" w:hAnsi="Trebuchet MS"/>
          <w:b/>
          <w:u w:val="single"/>
          <w:lang w:val="en-US"/>
        </w:rPr>
      </w:pPr>
      <w:r w:rsidRPr="00FA3099">
        <w:rPr>
          <w:rFonts w:ascii="Trebuchet MS" w:hAnsi="Trebuchet MS"/>
          <w:b/>
          <w:lang w:val="en-US"/>
        </w:rPr>
        <w:t>Design standards</w:t>
      </w:r>
    </w:p>
    <w:p w:rsidR="003F054A" w:rsidRDefault="00A27039" w:rsidP="003F054A">
      <w:pPr>
        <w:jc w:val="both"/>
        <w:rPr>
          <w:rFonts w:ascii="Trebuchet MS" w:hAnsi="Trebuchet MS"/>
          <w:lang w:val="en-US"/>
        </w:rPr>
      </w:pPr>
      <w:r w:rsidRPr="00FA3099">
        <w:rPr>
          <w:rFonts w:ascii="Trebuchet MS" w:hAnsi="Trebuchet MS"/>
          <w:lang w:val="en-US"/>
        </w:rPr>
        <w:t>At present, all commercially available charging stations are conductive, that is, the electricity is transmitted through conductors, as in an electrical outlet. Conductive stations are</w:t>
      </w:r>
      <w:r w:rsidR="003F054A">
        <w:rPr>
          <w:rFonts w:ascii="Trebuchet MS" w:hAnsi="Trebuchet MS"/>
          <w:lang w:val="en-US"/>
        </w:rPr>
        <w:t xml:space="preserve"> covered by SAE Standard J1772. </w:t>
      </w:r>
      <w:r w:rsidRPr="00FA3099">
        <w:rPr>
          <w:rFonts w:ascii="Trebuchet MS" w:hAnsi="Trebuchet MS"/>
          <w:lang w:val="en-US"/>
        </w:rPr>
        <w:t xml:space="preserve">The voluntary standards of SAE International are often adopted by automakers. All recent EVs, such as the Chevrolet Volt, the Mitsubishi </w:t>
      </w:r>
      <w:proofErr w:type="spellStart"/>
      <w:r w:rsidRPr="00FA3099">
        <w:rPr>
          <w:rFonts w:ascii="Trebuchet MS" w:hAnsi="Trebuchet MS"/>
          <w:lang w:val="en-US"/>
        </w:rPr>
        <w:t>i-MiEV</w:t>
      </w:r>
      <w:proofErr w:type="spellEnd"/>
      <w:r w:rsidRPr="00FA3099">
        <w:rPr>
          <w:rFonts w:ascii="Trebuchet MS" w:hAnsi="Trebuchet MS"/>
          <w:lang w:val="en-US"/>
        </w:rPr>
        <w:t xml:space="preserve"> and the Nissan LEAF, are equipped with J1772 sockets. </w:t>
      </w:r>
    </w:p>
    <w:p w:rsidR="00A27039" w:rsidRPr="00FA3099" w:rsidRDefault="00A27039" w:rsidP="003F054A">
      <w:pPr>
        <w:jc w:val="both"/>
        <w:rPr>
          <w:rFonts w:ascii="Trebuchet MS" w:hAnsi="Trebuchet MS"/>
          <w:lang w:val="en-US"/>
        </w:rPr>
      </w:pPr>
      <w:r w:rsidRPr="00FA3099">
        <w:rPr>
          <w:rFonts w:ascii="Trebuchet MS" w:hAnsi="Trebuchet MS"/>
          <w:lang w:val="en-US"/>
        </w:rPr>
        <w:t>Another standard for conductiv</w:t>
      </w:r>
      <w:r w:rsidR="003F054A">
        <w:rPr>
          <w:rFonts w:ascii="Trebuchet MS" w:hAnsi="Trebuchet MS"/>
          <w:lang w:val="en-US"/>
        </w:rPr>
        <w:t xml:space="preserve">e charging stations is </w:t>
      </w:r>
      <w:proofErr w:type="spellStart"/>
      <w:r w:rsidR="003F054A">
        <w:rPr>
          <w:rFonts w:ascii="Trebuchet MS" w:hAnsi="Trebuchet MS"/>
          <w:lang w:val="en-US"/>
        </w:rPr>
        <w:t>CHAdeMO</w:t>
      </w:r>
      <w:proofErr w:type="spellEnd"/>
      <w:r w:rsidR="003F054A">
        <w:rPr>
          <w:rFonts w:ascii="Trebuchet MS" w:hAnsi="Trebuchet MS"/>
          <w:lang w:val="en-US"/>
        </w:rPr>
        <w:t>,</w:t>
      </w:r>
      <w:r w:rsidRPr="00FA3099">
        <w:rPr>
          <w:rFonts w:ascii="Trebuchet MS" w:hAnsi="Trebuchet MS"/>
          <w:lang w:val="en-US"/>
        </w:rPr>
        <w:t xml:space="preserve"> which covers only DC fast charge stations. Although there are other types of charging stations, this Guide only deals with stations built to one of these two standards</w:t>
      </w:r>
    </w:p>
    <w:p w:rsidR="001B1F58" w:rsidRPr="001B1F58" w:rsidRDefault="001B1F58" w:rsidP="001B1F58">
      <w:pPr>
        <w:rPr>
          <w:u w:val="single"/>
          <w:lang w:val="en-US"/>
        </w:rPr>
      </w:pPr>
      <w:r w:rsidRPr="001B1F58">
        <w:rPr>
          <w:rFonts w:ascii="Trebuchet MS" w:hAnsi="Trebuchet MS"/>
          <w:lang w:val="en-US"/>
        </w:rPr>
        <w:t>(</w:t>
      </w:r>
      <w:r>
        <w:rPr>
          <w:u w:val="single"/>
          <w:lang w:val="en-US"/>
        </w:rPr>
        <w:t>Reference 2)</w:t>
      </w:r>
    </w:p>
    <w:p w:rsidR="00EA273A" w:rsidRPr="00FA3099" w:rsidRDefault="00EA273A" w:rsidP="003F054A">
      <w:pPr>
        <w:pStyle w:val="Paragraphedeliste"/>
        <w:numPr>
          <w:ilvl w:val="0"/>
          <w:numId w:val="3"/>
        </w:numPr>
        <w:jc w:val="both"/>
        <w:rPr>
          <w:rFonts w:ascii="Trebuchet MS" w:hAnsi="Trebuchet MS"/>
          <w:lang w:val="en-US"/>
        </w:rPr>
      </w:pPr>
      <w:r w:rsidRPr="00FA3099">
        <w:rPr>
          <w:rFonts w:ascii="Trebuchet MS" w:hAnsi="Trebuchet MS"/>
          <w:b/>
          <w:lang w:val="en-US"/>
        </w:rPr>
        <w:t>Framework</w:t>
      </w:r>
      <w:r w:rsidRPr="00FA3099">
        <w:rPr>
          <w:rFonts w:ascii="Trebuchet MS" w:hAnsi="Trebuchet MS"/>
          <w:lang w:val="en-US"/>
        </w:rPr>
        <w:t xml:space="preserve"> (Agents, Grid connection and charging installations, metering, communication and control, EV charging modes, coo</w:t>
      </w:r>
      <w:r w:rsidR="009B7435" w:rsidRPr="00FA3099">
        <w:rPr>
          <w:rFonts w:ascii="Trebuchet MS" w:hAnsi="Trebuchet MS"/>
          <w:lang w:val="en-US"/>
        </w:rPr>
        <w:t>rdination between EVCs and EMC)</w:t>
      </w:r>
    </w:p>
    <w:p w:rsidR="00A27039" w:rsidRPr="00FA3099" w:rsidRDefault="00A27039" w:rsidP="003F054A">
      <w:pPr>
        <w:jc w:val="both"/>
        <w:rPr>
          <w:rFonts w:ascii="Trebuchet MS" w:hAnsi="Trebuchet MS"/>
          <w:lang w:val="en-US"/>
        </w:rPr>
      </w:pPr>
      <w:r w:rsidRPr="00FA3099">
        <w:rPr>
          <w:rFonts w:ascii="Trebuchet MS" w:hAnsi="Trebuchet MS"/>
          <w:lang w:val="en-US"/>
        </w:rPr>
        <w:t>Existing agents:</w:t>
      </w:r>
    </w:p>
    <w:p w:rsidR="00A27039" w:rsidRPr="00FA3099" w:rsidRDefault="00A27039" w:rsidP="003F054A">
      <w:pPr>
        <w:pStyle w:val="Paragraphedeliste"/>
        <w:numPr>
          <w:ilvl w:val="0"/>
          <w:numId w:val="1"/>
        </w:numPr>
        <w:jc w:val="both"/>
        <w:rPr>
          <w:rFonts w:ascii="Trebuchet MS" w:hAnsi="Trebuchet MS"/>
          <w:lang w:val="en-US"/>
        </w:rPr>
      </w:pPr>
      <w:r w:rsidRPr="00FA3099">
        <w:rPr>
          <w:rFonts w:ascii="Trebuchet MS" w:hAnsi="Trebuchet MS"/>
          <w:lang w:val="en-US"/>
        </w:rPr>
        <w:lastRenderedPageBreak/>
        <w:t>Distribution system operator (DSO): owner and operator of the distribution good (generally a monopoly)</w:t>
      </w:r>
    </w:p>
    <w:p w:rsidR="00A27039" w:rsidRPr="00FA3099" w:rsidRDefault="00A27039" w:rsidP="003F054A">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rsidR="00A27039" w:rsidRPr="00FA3099" w:rsidRDefault="00A27039" w:rsidP="003F054A">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rsidR="00A27039" w:rsidRPr="00FA3099" w:rsidRDefault="00A27039" w:rsidP="003F054A">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rsidR="00A27039" w:rsidRPr="001B1F58" w:rsidRDefault="001B1F58" w:rsidP="001B1F58">
      <w:pPr>
        <w:rPr>
          <w:u w:val="single"/>
          <w:lang w:val="en-US"/>
        </w:rPr>
      </w:pPr>
      <w:r>
        <w:rPr>
          <w:rFonts w:ascii="Trebuchet MS" w:hAnsi="Trebuchet MS"/>
          <w:lang w:val="en-US"/>
        </w:rPr>
        <w:t>(</w:t>
      </w:r>
      <w:r>
        <w:rPr>
          <w:u w:val="single"/>
          <w:lang w:val="en-US"/>
        </w:rPr>
        <w:t>Reference 3)</w:t>
      </w:r>
    </w:p>
    <w:p w:rsidR="00D201E7" w:rsidRDefault="00D201E7" w:rsidP="003F054A">
      <w:pPr>
        <w:pStyle w:val="Paragraphedeliste"/>
        <w:numPr>
          <w:ilvl w:val="0"/>
          <w:numId w:val="3"/>
        </w:numPr>
        <w:jc w:val="both"/>
        <w:rPr>
          <w:rFonts w:ascii="Trebuchet MS" w:hAnsi="Trebuchet MS"/>
          <w:b/>
          <w:lang w:val="en-US"/>
        </w:rPr>
      </w:pPr>
      <w:r w:rsidRPr="00FA3099">
        <w:rPr>
          <w:rFonts w:ascii="Trebuchet MS" w:hAnsi="Trebuchet MS"/>
          <w:b/>
          <w:lang w:val="en-US"/>
        </w:rPr>
        <w:t>Rating of the supply voltage</w:t>
      </w:r>
    </w:p>
    <w:p w:rsidR="00FA3099" w:rsidRPr="00FA3099" w:rsidRDefault="00FA3099" w:rsidP="003F054A">
      <w:pPr>
        <w:jc w:val="both"/>
        <w:rPr>
          <w:rFonts w:ascii="Trebuchet MS" w:hAnsi="Trebuchet MS"/>
          <w:lang w:val="en-US"/>
        </w:rPr>
      </w:pPr>
      <w:r>
        <w:rPr>
          <w:rFonts w:ascii="Trebuchet MS" w:hAnsi="Trebuchet MS"/>
          <w:lang w:val="en-US"/>
        </w:rPr>
        <w:t>Should of course match the existing power outlets, but also be able to be implemented in new systems and grids</w:t>
      </w:r>
    </w:p>
    <w:p w:rsidR="00FA3099" w:rsidRDefault="00FA3099" w:rsidP="003F054A">
      <w:pPr>
        <w:pStyle w:val="Paragraphedeliste"/>
        <w:numPr>
          <w:ilvl w:val="0"/>
          <w:numId w:val="3"/>
        </w:numPr>
        <w:jc w:val="both"/>
        <w:rPr>
          <w:rFonts w:ascii="Trebuchet MS" w:hAnsi="Trebuchet MS"/>
          <w:b/>
          <w:lang w:val="en-US"/>
        </w:rPr>
      </w:pPr>
      <w:r>
        <w:rPr>
          <w:rFonts w:ascii="Trebuchet MS" w:hAnsi="Trebuchet MS"/>
          <w:b/>
          <w:lang w:val="en-US"/>
        </w:rPr>
        <w:t>Charging levels/Modes</w:t>
      </w:r>
    </w:p>
    <w:p w:rsidR="00FA3099" w:rsidRPr="00FA3099" w:rsidRDefault="00FA3099" w:rsidP="003F054A">
      <w:pPr>
        <w:jc w:val="both"/>
        <w:rPr>
          <w:rFonts w:ascii="Trebuchet MS" w:hAnsi="Trebuchet MS"/>
          <w:lang w:val="en-US"/>
        </w:rPr>
      </w:pPr>
      <w:r w:rsidRPr="00FA3099">
        <w:rPr>
          <w:rFonts w:ascii="Trebuchet MS" w:hAnsi="Trebuchet MS"/>
          <w:lang w:val="en-US"/>
        </w:rPr>
        <w:t>Describe</w:t>
      </w:r>
      <w:r>
        <w:rPr>
          <w:rFonts w:ascii="Trebuchet MS" w:hAnsi="Trebuchet MS"/>
          <w:lang w:val="en-US"/>
        </w:rPr>
        <w:t>d in previous parts of the document</w:t>
      </w:r>
    </w:p>
    <w:p w:rsidR="00D201E7" w:rsidRPr="00FA3099" w:rsidRDefault="00D201E7" w:rsidP="003F054A">
      <w:pPr>
        <w:pStyle w:val="Paragraphedeliste"/>
        <w:numPr>
          <w:ilvl w:val="0"/>
          <w:numId w:val="3"/>
        </w:numPr>
        <w:jc w:val="both"/>
        <w:rPr>
          <w:rFonts w:ascii="Trebuchet MS" w:hAnsi="Trebuchet MS"/>
          <w:b/>
          <w:lang w:val="en-US"/>
        </w:rPr>
      </w:pPr>
      <w:r w:rsidRPr="00FA3099">
        <w:rPr>
          <w:rFonts w:ascii="Trebuchet MS" w:hAnsi="Trebuchet MS"/>
          <w:b/>
          <w:lang w:val="en-US"/>
        </w:rPr>
        <w:t>General system requirement and interface</w:t>
      </w:r>
    </w:p>
    <w:p w:rsidR="00D201E7" w:rsidRDefault="00D201E7" w:rsidP="003F054A">
      <w:pPr>
        <w:pStyle w:val="Paragraphedeliste"/>
        <w:numPr>
          <w:ilvl w:val="0"/>
          <w:numId w:val="3"/>
        </w:numPr>
        <w:jc w:val="both"/>
        <w:rPr>
          <w:rFonts w:ascii="Trebuchet MS" w:hAnsi="Trebuchet MS"/>
          <w:b/>
          <w:lang w:val="en-US"/>
        </w:rPr>
      </w:pPr>
      <w:r w:rsidRPr="00FA3099">
        <w:rPr>
          <w:rFonts w:ascii="Trebuchet MS" w:hAnsi="Trebuchet MS"/>
          <w:b/>
          <w:lang w:val="en-US"/>
        </w:rPr>
        <w:t>Connection between the power supply and the EV.</w:t>
      </w:r>
    </w:p>
    <w:p w:rsidR="00FA3099" w:rsidRPr="00FA3099" w:rsidRDefault="00FA3099" w:rsidP="003F054A">
      <w:pPr>
        <w:jc w:val="both"/>
        <w:rPr>
          <w:rFonts w:ascii="Trebuchet MS" w:hAnsi="Trebuchet MS"/>
          <w:lang w:val="en-US"/>
        </w:rPr>
      </w:pPr>
      <w:proofErr w:type="gramStart"/>
      <w:r>
        <w:rPr>
          <w:rFonts w:ascii="Trebuchet MS" w:hAnsi="Trebuchet MS"/>
          <w:lang w:val="en-US"/>
        </w:rPr>
        <w:t>Should at least match the existing characteristics of already developed</w:t>
      </w:r>
      <w:r w:rsidRPr="00FA3099">
        <w:rPr>
          <w:rFonts w:ascii="Trebuchet MS" w:hAnsi="Trebuchet MS"/>
          <w:lang w:val="en-US"/>
        </w:rPr>
        <w:t xml:space="preserve"> </w:t>
      </w:r>
      <w:r>
        <w:rPr>
          <w:rFonts w:ascii="Trebuchet MS" w:hAnsi="Trebuchet MS"/>
          <w:lang w:val="en-US"/>
        </w:rPr>
        <w:t>EVs.</w:t>
      </w:r>
      <w:proofErr w:type="gramEnd"/>
    </w:p>
    <w:p w:rsidR="00D201E7" w:rsidRPr="00FA3099" w:rsidRDefault="00D201E7" w:rsidP="003F054A">
      <w:pPr>
        <w:pStyle w:val="Paragraphedeliste"/>
        <w:numPr>
          <w:ilvl w:val="0"/>
          <w:numId w:val="3"/>
        </w:numPr>
        <w:jc w:val="both"/>
        <w:rPr>
          <w:rFonts w:ascii="Trebuchet MS" w:hAnsi="Trebuchet MS"/>
          <w:b/>
          <w:lang w:val="en-US"/>
        </w:rPr>
      </w:pPr>
      <w:r w:rsidRPr="00FA3099">
        <w:rPr>
          <w:rFonts w:ascii="Trebuchet MS" w:hAnsi="Trebuchet MS"/>
          <w:b/>
          <w:lang w:val="en-US"/>
        </w:rPr>
        <w:t>Specific inlet, connector, plug and socket-outlet requirements</w:t>
      </w:r>
    </w:p>
    <w:p w:rsidR="009B7435" w:rsidRPr="00FA3099" w:rsidRDefault="009B7435" w:rsidP="003F054A">
      <w:pPr>
        <w:jc w:val="both"/>
        <w:rPr>
          <w:rFonts w:ascii="Trebuchet MS" w:hAnsi="Trebuchet MS"/>
          <w:u w:val="single"/>
          <w:lang w:val="en-US"/>
        </w:rPr>
      </w:pPr>
    </w:p>
    <w:p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t>Regulations needed</w:t>
      </w:r>
      <w:r w:rsidR="00D201E7" w:rsidRPr="00FA3099">
        <w:rPr>
          <w:rFonts w:ascii="Trebuchet MS" w:hAnsi="Trebuchet MS"/>
          <w:u w:val="single"/>
          <w:lang w:val="en-US"/>
        </w:rPr>
        <w:t xml:space="preserve"> &amp; current discussions</w:t>
      </w:r>
    </w:p>
    <w:p w:rsidR="00D201E7" w:rsidRPr="00FA3099" w:rsidRDefault="00D201E7" w:rsidP="003F054A">
      <w:pPr>
        <w:jc w:val="both"/>
        <w:rPr>
          <w:rFonts w:ascii="Trebuchet MS" w:hAnsi="Trebuchet MS"/>
          <w:u w:val="single"/>
          <w:lang w:val="en-US"/>
        </w:rPr>
      </w:pPr>
    </w:p>
    <w:p w:rsidR="00D201E7" w:rsidRPr="00FA3099" w:rsidRDefault="00D201E7" w:rsidP="003F054A">
      <w:pPr>
        <w:jc w:val="both"/>
        <w:rPr>
          <w:rFonts w:ascii="Trebuchet MS" w:hAnsi="Trebuchet MS"/>
          <w:u w:val="single"/>
          <w:lang w:val="en-US"/>
        </w:rPr>
      </w:pPr>
      <w:r w:rsidRPr="00FA3099">
        <w:rPr>
          <w:rFonts w:ascii="Trebuchet MS" w:hAnsi="Trebuchet MS"/>
          <w:lang w:val="en-US"/>
        </w:rPr>
        <w:t>Among those actions the call for international o</w:t>
      </w:r>
      <w:r w:rsidR="00FA3099">
        <w:rPr>
          <w:rFonts w:ascii="Trebuchet MS" w:hAnsi="Trebuchet MS"/>
          <w:lang w:val="en-US"/>
        </w:rPr>
        <w:t xml:space="preserve">r at least European </w:t>
      </w:r>
      <w:r w:rsidR="00FA3099" w:rsidRPr="00046903">
        <w:rPr>
          <w:rFonts w:ascii="Trebuchet MS" w:hAnsi="Trebuchet MS"/>
          <w:b/>
          <w:lang w:val="en-US"/>
        </w:rPr>
        <w:t>standardiza</w:t>
      </w:r>
      <w:r w:rsidRPr="00046903">
        <w:rPr>
          <w:rFonts w:ascii="Trebuchet MS" w:hAnsi="Trebuchet MS"/>
          <w:b/>
          <w:lang w:val="en-US"/>
        </w:rPr>
        <w:t>tion of charging infrastructures and technologies</w:t>
      </w:r>
      <w:r w:rsidRPr="00FA3099">
        <w:rPr>
          <w:rFonts w:ascii="Trebuchet MS" w:hAnsi="Trebuchet MS"/>
          <w:lang w:val="en-US"/>
        </w:rPr>
        <w:t xml:space="preserve">, including smart grids, with open communication standards, should be </w:t>
      </w:r>
      <w:r w:rsidRPr="00046903">
        <w:rPr>
          <w:rFonts w:ascii="Trebuchet MS" w:hAnsi="Trebuchet MS"/>
          <w:b/>
          <w:lang w:val="en-US"/>
        </w:rPr>
        <w:t>highlighted</w:t>
      </w:r>
      <w:r w:rsidRPr="00FA3099">
        <w:rPr>
          <w:rFonts w:ascii="Trebuchet MS" w:hAnsi="Trebuchet MS"/>
          <w:lang w:val="en-US"/>
        </w:rPr>
        <w:t>.</w:t>
      </w:r>
    </w:p>
    <w:p w:rsidR="00D201E7" w:rsidRPr="00FA3099" w:rsidRDefault="00E94502" w:rsidP="003F054A">
      <w:pPr>
        <w:jc w:val="both"/>
        <w:rPr>
          <w:rFonts w:ascii="Trebuchet MS" w:hAnsi="Trebuchet MS"/>
          <w:lang w:val="en-US"/>
        </w:rPr>
      </w:pPr>
      <w:r>
        <w:rPr>
          <w:rFonts w:ascii="Trebuchet MS" w:hAnsi="Trebuchet MS"/>
          <w:noProof/>
        </w:rPr>
        <mc:AlternateContent>
          <mc:Choice Requires="wpi">
            <w:drawing>
              <wp:anchor distT="0" distB="0" distL="114300" distR="114300" simplePos="0" relativeHeight="251659264" behindDoc="0" locked="0" layoutInCell="1" allowOverlap="1">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">
                <v:imagedata r:id="rId8" o:title=""/>
              </v:shape>
            </w:pict>
          </mc:Fallback>
        </mc:AlternateContent>
      </w:r>
      <w:r w:rsidR="00D201E7" w:rsidRPr="00FA3099">
        <w:rPr>
          <w:rFonts w:ascii="Trebuchet MS" w:hAnsi="Trebuchet MS"/>
          <w:lang w:val="en-US"/>
        </w:rPr>
        <w:t xml:space="preserve">The currently perceived purchase premiums compared to internal combustion engines are widely being discussed and a </w:t>
      </w:r>
      <w:r w:rsidR="00D201E7" w:rsidRPr="00046903">
        <w:rPr>
          <w:rFonts w:ascii="Trebuchet MS" w:hAnsi="Trebuchet MS"/>
          <w:b/>
          <w:lang w:val="en-US"/>
        </w:rPr>
        <w:t>multitude of different policy schemes</w:t>
      </w:r>
      <w:r w:rsidR="00D201E7" w:rsidRPr="00FA3099">
        <w:rPr>
          <w:rFonts w:ascii="Trebuchet MS" w:hAnsi="Trebuchet MS"/>
          <w:lang w:val="en-US"/>
        </w:rPr>
        <w:t xml:space="preserve"> to foster EV adoption is evaluated.</w:t>
      </w:r>
      <w:r w:rsidR="008D1476">
        <w:rPr>
          <w:rFonts w:ascii="Trebuchet MS" w:hAnsi="Trebuchet MS"/>
          <w:lang w:val="en-US"/>
        </w:rPr>
        <w:t xml:space="preserve"> </w:t>
      </w:r>
      <w:r w:rsidR="008D1476">
        <w:rPr>
          <w:rFonts w:ascii="Trebuchet MS" w:hAnsi="Trebuchet MS"/>
        </w:rPr>
        <w:t>(</w:t>
      </w:r>
      <w:r w:rsidR="008D1476">
        <w:rPr>
          <w:rFonts w:ascii="Trebuchet MS" w:hAnsi="Trebuchet MS"/>
          <w:u w:val="single"/>
        </w:rPr>
        <w:t>Annexe 2 &amp; 2’</w:t>
      </w:r>
      <w:bookmarkStart w:id="0" w:name="_GoBack"/>
      <w:bookmarkEnd w:id="0"/>
      <w:r w:rsidR="008D1476">
        <w:rPr>
          <w:rFonts w:ascii="Trebuchet MS" w:hAnsi="Trebuchet MS"/>
        </w:rPr>
        <w:t>)</w:t>
      </w:r>
    </w:p>
    <w:p w:rsidR="00D201E7" w:rsidRPr="00FA3099" w:rsidRDefault="00D201E7" w:rsidP="003F054A">
      <w:pPr>
        <w:jc w:val="both"/>
        <w:rPr>
          <w:rFonts w:ascii="Trebuchet MS" w:hAnsi="Trebuchet MS"/>
          <w:lang w:val="en-US"/>
        </w:rPr>
      </w:pPr>
      <w:r w:rsidRPr="00FA3099">
        <w:rPr>
          <w:rFonts w:ascii="Trebuchet MS" w:hAnsi="Trebuchet MS"/>
          <w:lang w:val="en-US"/>
        </w:rPr>
        <w:t xml:space="preserve">In addition to technological developments and policy measures, </w:t>
      </w:r>
      <w:r w:rsidRPr="00046903">
        <w:rPr>
          <w:rFonts w:ascii="Trebuchet MS" w:hAnsi="Trebuchet MS"/>
          <w:b/>
          <w:lang w:val="en-US"/>
        </w:rPr>
        <w:t>regulatory issues</w:t>
      </w:r>
      <w:r w:rsidRPr="00FA3099">
        <w:rPr>
          <w:rFonts w:ascii="Trebuchet MS" w:hAnsi="Trebuchet MS"/>
          <w:lang w:val="en-US"/>
        </w:rPr>
        <w:t xml:space="preserve"> related to investment and deployment of the required infrastructure </w:t>
      </w:r>
      <w:r w:rsidRPr="00046903">
        <w:rPr>
          <w:rFonts w:ascii="Trebuchet MS" w:hAnsi="Trebuchet MS"/>
          <w:b/>
          <w:lang w:val="en-US"/>
        </w:rPr>
        <w:t>need to be formulated</w:t>
      </w:r>
      <w:r w:rsidRPr="00FA3099">
        <w:rPr>
          <w:rFonts w:ascii="Trebuchet MS" w:hAnsi="Trebuchet MS"/>
          <w:lang w:val="en-US"/>
        </w:rPr>
        <w:t xml:space="preserve"> and adequately solved.</w:t>
      </w:r>
    </w:p>
    <w:p w:rsidR="00D201E7" w:rsidRPr="00FA3099" w:rsidRDefault="00D201E7" w:rsidP="003F054A">
      <w:pPr>
        <w:jc w:val="both"/>
        <w:rPr>
          <w:rFonts w:ascii="Trebuchet MS" w:hAnsi="Trebuchet MS"/>
          <w:lang w:val="en-US"/>
        </w:rPr>
      </w:pPr>
      <w:r w:rsidRPr="00FA3099">
        <w:rPr>
          <w:rFonts w:ascii="Trebuchet MS" w:hAnsi="Trebuchet MS"/>
          <w:lang w:val="en-US"/>
        </w:rPr>
        <w:t xml:space="preserve">Coherently, there is a need for discussing </w:t>
      </w:r>
      <w:r w:rsidRPr="00046903">
        <w:rPr>
          <w:rFonts w:ascii="Trebuchet MS" w:hAnsi="Trebuchet MS"/>
          <w:b/>
          <w:lang w:val="en-US"/>
        </w:rPr>
        <w:t>how and which agents</w:t>
      </w:r>
      <w:r w:rsidRPr="00FA3099">
        <w:rPr>
          <w:rFonts w:ascii="Trebuchet MS" w:hAnsi="Trebuchet MS"/>
          <w:lang w:val="en-US"/>
        </w:rPr>
        <w:t xml:space="preserve"> should be authorized to provide EV charging and pricing of those services, as well as how EV storage capability could be appropriately marketed to provide vehicle-to-grid (V2G) services.</w:t>
      </w:r>
    </w:p>
    <w:p w:rsidR="00D201E7" w:rsidRPr="00FA3099" w:rsidRDefault="009B7435" w:rsidP="003F054A">
      <w:pPr>
        <w:jc w:val="both"/>
        <w:rPr>
          <w:rFonts w:ascii="Trebuchet MS" w:hAnsi="Trebuchet MS"/>
          <w:lang w:val="en-US"/>
        </w:rPr>
      </w:pPr>
      <w:r w:rsidRPr="00FA3099">
        <w:rPr>
          <w:rFonts w:ascii="Trebuchet MS" w:hAnsi="Trebuchet MS"/>
          <w:lang w:val="en-US"/>
        </w:rPr>
        <w:t xml:space="preserve">Therefore, still many questions remain to be answered within </w:t>
      </w:r>
      <w:r w:rsidRPr="00046903">
        <w:rPr>
          <w:rFonts w:ascii="Trebuchet MS" w:hAnsi="Trebuchet MS"/>
          <w:b/>
          <w:lang w:val="en-US"/>
        </w:rPr>
        <w:t>a consistent regulatory framework considering rules and players</w:t>
      </w:r>
      <w:r w:rsidRPr="00FA3099">
        <w:rPr>
          <w:rFonts w:ascii="Trebuchet MS" w:hAnsi="Trebuchet MS"/>
          <w:lang w:val="en-US"/>
        </w:rPr>
        <w:t xml:space="preserve"> in existing electricity markets.</w:t>
      </w:r>
    </w:p>
    <w:p w:rsidR="009B7435" w:rsidRPr="00FA3099" w:rsidRDefault="009B7435" w:rsidP="003F054A">
      <w:pPr>
        <w:jc w:val="both"/>
        <w:rPr>
          <w:rFonts w:ascii="Trebuchet MS" w:hAnsi="Trebuchet MS"/>
          <w:lang w:val="en-US"/>
        </w:rPr>
      </w:pPr>
      <w:r w:rsidRPr="00FA3099">
        <w:rPr>
          <w:rFonts w:ascii="Trebuchet MS" w:hAnsi="Trebuchet MS"/>
          <w:lang w:val="en-US"/>
        </w:rPr>
        <w:t>As an example of these issues, in California, the Public Utilities Commission has opened a rule making process, in which a number of issues are proposed for consultation with stakeholders. It is yet to be determined (</w:t>
      </w:r>
      <w:proofErr w:type="spellStart"/>
      <w:r w:rsidRPr="00FA3099">
        <w:rPr>
          <w:rFonts w:ascii="Trebuchet MS" w:hAnsi="Trebuchet MS"/>
          <w:lang w:val="en-US"/>
        </w:rPr>
        <w:t>i</w:t>
      </w:r>
      <w:proofErr w:type="spellEnd"/>
      <w:r w:rsidRPr="00FA3099">
        <w:rPr>
          <w:rFonts w:ascii="Trebuchet MS" w:hAnsi="Trebuchet MS"/>
          <w:lang w:val="en-US"/>
        </w:rPr>
        <w:t xml:space="preserve">) how to implement obligatory variable tariffs (ii) legal status of electricity resellers, (iii) incentive creation for users to adopt remote </w:t>
      </w:r>
      <w:r w:rsidRPr="00FA3099">
        <w:rPr>
          <w:rFonts w:ascii="Trebuchet MS" w:hAnsi="Trebuchet MS"/>
          <w:lang w:val="en-US"/>
        </w:rPr>
        <w:lastRenderedPageBreak/>
        <w:t>charge control of valuable 2 batteries, and (iv) allocation and recovery of investment in infrastructure in a fair non-discriminatory framework (CPUC, 2010a). Furthermore, there exists an intense discussion about critical metering policies in terms of metering arrangements (single, sub-and separate metering) and their implications on cost, installation time, and billing flexibility (</w:t>
      </w:r>
      <w:proofErr w:type="spellStart"/>
      <w:r w:rsidRPr="00FA3099">
        <w:rPr>
          <w:rFonts w:ascii="Trebuchet MS" w:hAnsi="Trebuchet MS"/>
          <w:lang w:val="en-US"/>
        </w:rPr>
        <w:t>CPUCb</w:t>
      </w:r>
      <w:proofErr w:type="spellEnd"/>
      <w:r w:rsidRPr="00FA3099">
        <w:rPr>
          <w:rFonts w:ascii="Trebuchet MS" w:hAnsi="Trebuchet MS"/>
          <w:lang w:val="en-US"/>
        </w:rPr>
        <w:t>, 2010b).</w:t>
      </w:r>
    </w:p>
    <w:p w:rsidR="00B47BB4" w:rsidRPr="000674DC" w:rsidRDefault="00B47BB4" w:rsidP="003F054A">
      <w:pPr>
        <w:jc w:val="both"/>
        <w:rPr>
          <w:rFonts w:ascii="Trebuchet MS" w:hAnsi="Trebuchet MS"/>
          <w:lang w:val="en-US"/>
        </w:rPr>
      </w:pPr>
      <w:r w:rsidRPr="000674DC">
        <w:rPr>
          <w:rFonts w:ascii="Trebuchet MS" w:hAnsi="Trebuchet MS"/>
          <w:lang w:val="en-US"/>
        </w:rPr>
        <w:br w:type="page"/>
      </w:r>
    </w:p>
    <w:p w:rsidR="00A1142B" w:rsidRPr="00046903" w:rsidRDefault="004B1F1E" w:rsidP="003F054A">
      <w:pPr>
        <w:pStyle w:val="Titre1"/>
        <w:jc w:val="both"/>
        <w:rPr>
          <w:lang w:val="en-US"/>
        </w:rPr>
      </w:pPr>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of Chapter V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rsidR="006B065E" w:rsidRDefault="006B065E" w:rsidP="003F054A">
      <w:pPr>
        <w:spacing w:after="0"/>
        <w:jc w:val="both"/>
        <w:rPr>
          <w:rFonts w:ascii="Trebuchet MS" w:hAnsi="Trebuchet MS" w:cs="Arial"/>
          <w:color w:val="252525"/>
          <w:shd w:val="clear" w:color="auto" w:fill="FFFFFF"/>
          <w:lang w:val="en-US"/>
        </w:rPr>
      </w:pPr>
      <w:r>
        <w:rPr>
          <w:noProof/>
        </w:rPr>
        <w:drawing>
          <wp:inline distT="0" distB="0" distL="0" distR="0" wp14:anchorId="46D7F55F" wp14:editId="65ED0930">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1506" cy="2899938"/>
                    </a:xfrm>
                    <a:prstGeom prst="rect">
                      <a:avLst/>
                    </a:prstGeom>
                  </pic:spPr>
                </pic:pic>
              </a:graphicData>
            </a:graphic>
          </wp:inline>
        </w:drawing>
      </w:r>
    </w:p>
    <w:p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following</w:t>
      </w:r>
      <w:proofErr w:type="gramEnd"/>
      <w:r w:rsidRPr="006B065E">
        <w:rPr>
          <w:rFonts w:ascii="Trebuchet MS" w:hAnsi="Trebuchet MS" w:cs="Arial"/>
          <w:color w:val="252525"/>
          <w:shd w:val="clear" w:color="auto" w:fill="FFFFFF"/>
          <w:lang w:val="en-US"/>
        </w:rPr>
        <w:t xml:space="preserve"> standards:</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lastRenderedPageBreak/>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rsidR="006B065E" w:rsidRPr="006B065E" w:rsidRDefault="006B065E" w:rsidP="003F054A">
      <w:pPr>
        <w:spacing w:after="0"/>
        <w:jc w:val="both"/>
        <w:rPr>
          <w:rFonts w:ascii="Trebuchet MS" w:hAnsi="Trebuchet MS" w:cs="Arial"/>
          <w:color w:val="252525"/>
          <w:shd w:val="clear" w:color="auto" w:fill="FFFFFF"/>
          <w:lang w:val="en-US"/>
        </w:rPr>
      </w:pPr>
    </w:p>
    <w:p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rsidR="00AA1B5C"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standards</w:t>
      </w:r>
      <w:proofErr w:type="gramEnd"/>
      <w:r w:rsidRPr="006B065E">
        <w:rPr>
          <w:rFonts w:ascii="Trebuchet MS" w:hAnsi="Trebuchet MS" w:cs="Arial"/>
          <w:color w:val="252525"/>
          <w:shd w:val="clear" w:color="auto" w:fill="FFFFFF"/>
          <w:lang w:val="en-US"/>
        </w:rPr>
        <w:t>, but is not mandatory</w:t>
      </w:r>
      <w:r>
        <w:rPr>
          <w:rFonts w:ascii="Trebuchet MS" w:hAnsi="Trebuchet MS" w:cs="Arial"/>
          <w:color w:val="252525"/>
          <w:shd w:val="clear" w:color="auto" w:fill="FFFFFF"/>
          <w:lang w:val="en-US"/>
        </w:rPr>
        <w:t>.</w:t>
      </w:r>
    </w:p>
    <w:p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rsidR="00E94502" w:rsidRPr="00FA3099" w:rsidRDefault="00E94502" w:rsidP="00E94502">
      <w:pPr>
        <w:pStyle w:val="Titre1"/>
        <w:rPr>
          <w:lang w:val="en-US"/>
        </w:rPr>
      </w:pPr>
      <w:proofErr w:type="spellStart"/>
      <w:r>
        <w:rPr>
          <w:lang w:val="en-US"/>
        </w:rPr>
        <w:lastRenderedPageBreak/>
        <w:t>Annexe</w:t>
      </w:r>
      <w:proofErr w:type="spellEnd"/>
      <w:r>
        <w:rPr>
          <w:lang w:val="en-US"/>
        </w:rPr>
        <w:t xml:space="preserve"> 2: </w:t>
      </w:r>
      <w:r w:rsidRPr="00FA3099">
        <w:rPr>
          <w:lang w:val="en-US"/>
        </w:rPr>
        <w:t>Research proposal</w:t>
      </w:r>
    </w:p>
    <w:p w:rsidR="00E94502" w:rsidRPr="001B1F58" w:rsidRDefault="00E94502" w:rsidP="00E94502">
      <w:pPr>
        <w:rPr>
          <w:u w:val="single"/>
          <w:lang w:val="en-US"/>
        </w:rPr>
      </w:pPr>
      <w:r>
        <w:rPr>
          <w:rFonts w:ascii="Trebuchet MS" w:hAnsi="Trebuchet MS"/>
          <w:lang w:val="en-US"/>
        </w:rPr>
        <w:t>(</w:t>
      </w:r>
      <w:r>
        <w:rPr>
          <w:u w:val="single"/>
          <w:lang w:val="en-US"/>
        </w:rPr>
        <w:t>Reference 3)</w:t>
      </w:r>
    </w:p>
    <w:p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rsidR="00E94502" w:rsidRDefault="00E94502" w:rsidP="00E94502">
      <w:pPr>
        <w:jc w:val="both"/>
        <w:rPr>
          <w:rFonts w:ascii="Trebuchet MS" w:hAnsi="Trebuchet MS"/>
          <w:lang w:val="en-US"/>
        </w:rPr>
      </w:pPr>
      <w:r>
        <w:rPr>
          <w:noProof/>
        </w:rPr>
        <w:drawing>
          <wp:inline distT="0" distB="0" distL="0" distR="0" wp14:anchorId="56E45226" wp14:editId="1030732B">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36945"/>
                    </a:xfrm>
                    <a:prstGeom prst="rect">
                      <a:avLst/>
                    </a:prstGeom>
                  </pic:spPr>
                </pic:pic>
              </a:graphicData>
            </a:graphic>
          </wp:inline>
        </w:drawing>
      </w:r>
    </w:p>
    <w:p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rsidR="00E94502" w:rsidRDefault="00E94502" w:rsidP="00E94502">
      <w:pPr>
        <w:jc w:val="both"/>
        <w:rPr>
          <w:rFonts w:ascii="Trebuchet MS" w:hAnsi="Trebuchet MS"/>
          <w:lang w:val="en-US"/>
        </w:rPr>
      </w:pPr>
    </w:p>
    <w:p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rsidR="00E94502" w:rsidRDefault="00E94502" w:rsidP="00E94502">
      <w:pPr>
        <w:jc w:val="both"/>
        <w:rPr>
          <w:rFonts w:ascii="Trebuchet MS" w:hAnsi="Trebuchet MS"/>
          <w:lang w:val="en-US"/>
        </w:rPr>
      </w:pPr>
      <w:r>
        <w:rPr>
          <w:noProof/>
        </w:rPr>
        <w:drawing>
          <wp:inline distT="0" distB="0" distL="0" distR="0" wp14:anchorId="2DBEF9A9" wp14:editId="127C9559">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246473"/>
                    </a:xfrm>
                    <a:prstGeom prst="rect">
                      <a:avLst/>
                    </a:prstGeom>
                  </pic:spPr>
                </pic:pic>
              </a:graphicData>
            </a:graphic>
          </wp:inline>
        </w:drawing>
      </w:r>
    </w:p>
    <w:p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rsidR="00AA1B5C" w:rsidRPr="008D1476" w:rsidRDefault="00AA1B5C" w:rsidP="00E94502">
      <w:pPr>
        <w:pStyle w:val="Titre1"/>
        <w:rPr>
          <w:lang w:val="en-US"/>
        </w:rPr>
      </w:pPr>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rsidR="00AA1B5C" w:rsidRPr="00251560" w:rsidRDefault="00AA1B5C" w:rsidP="003F054A">
      <w:pPr>
        <w:spacing w:after="0"/>
        <w:jc w:val="both"/>
        <w:rPr>
          <w:rFonts w:ascii="Trebuchet MS" w:hAnsi="Trebuchet MS" w:cs="Arial"/>
          <w:color w:val="252525"/>
          <w:sz w:val="20"/>
          <w:szCs w:val="20"/>
          <w:shd w:val="clear" w:color="auto" w:fill="FFFFFF"/>
          <w:lang w:val="en-US"/>
        </w:rPr>
      </w:pPr>
    </w:p>
    <w:p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rsidR="00AA1B5C" w:rsidRPr="000674DC" w:rsidRDefault="00AA1B5C" w:rsidP="003F054A">
      <w:pPr>
        <w:jc w:val="both"/>
        <w:rPr>
          <w:rFonts w:ascii="Trebuchet MS" w:hAnsi="Trebuchet MS"/>
          <w:lang w:val="en-US"/>
        </w:rPr>
      </w:pPr>
      <w:r>
        <w:rPr>
          <w:noProof/>
        </w:rPr>
        <w:drawing>
          <wp:inline distT="0" distB="0" distL="0" distR="0" wp14:anchorId="518661CF" wp14:editId="2B632734">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5825" cy="3562350"/>
                    </a:xfrm>
                    <a:prstGeom prst="rect">
                      <a:avLst/>
                    </a:prstGeom>
                  </pic:spPr>
                </pic:pic>
              </a:graphicData>
            </a:graphic>
          </wp:inline>
        </w:drawing>
      </w:r>
    </w:p>
    <w:p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rsidR="00AA1B5C" w:rsidRDefault="001B1F58" w:rsidP="001B1F58">
      <w:pPr>
        <w:pStyle w:val="Titre1"/>
        <w:rPr>
          <w:shd w:val="clear" w:color="auto" w:fill="FFFFFF"/>
          <w:lang w:val="en-US"/>
        </w:rPr>
      </w:pPr>
      <w:r>
        <w:rPr>
          <w:shd w:val="clear" w:color="auto" w:fill="FFFFFF"/>
          <w:lang w:val="en-US"/>
        </w:rPr>
        <w:lastRenderedPageBreak/>
        <w:t>References</w:t>
      </w:r>
    </w:p>
    <w:p w:rsidR="001B1F58" w:rsidRDefault="001B1F58" w:rsidP="001B1F58">
      <w:pPr>
        <w:rPr>
          <w:lang w:val="en-US"/>
        </w:rPr>
      </w:pPr>
    </w:p>
    <w:p w:rsidR="001B1F58" w:rsidRPr="001B1F58" w:rsidRDefault="001B1F58" w:rsidP="001B1F58">
      <w:pPr>
        <w:rPr>
          <w:u w:val="single"/>
          <w:lang w:val="en-US"/>
        </w:rPr>
      </w:pPr>
      <w:r w:rsidRPr="001B1F58">
        <w:rPr>
          <w:u w:val="single"/>
          <w:lang w:val="en-US"/>
        </w:rPr>
        <w:t xml:space="preserve">Reference </w:t>
      </w:r>
      <w:proofErr w:type="gramStart"/>
      <w:r w:rsidRPr="001B1F58">
        <w:rPr>
          <w:u w:val="single"/>
          <w:lang w:val="en-US"/>
        </w:rPr>
        <w:t>1 :</w:t>
      </w:r>
      <w:proofErr w:type="gramEnd"/>
    </w:p>
    <w:p w:rsidR="001B1F58" w:rsidRPr="001B1F58" w:rsidRDefault="001B1F58" w:rsidP="001B1F58">
      <w:pPr>
        <w:ind w:right="-142"/>
        <w:jc w:val="both"/>
        <w:rPr>
          <w:rFonts w:ascii="Trebuchet MS" w:hAnsi="Trebuchet MS"/>
          <w:color w:val="0563C1" w:themeColor="hyperlink"/>
          <w:u w:val="single"/>
          <w:lang w:val="en-US"/>
        </w:rPr>
      </w:pPr>
      <w:hyperlink r:id="rId13" w:history="1">
        <w:r w:rsidRPr="001B1F58">
          <w:rPr>
            <w:rStyle w:val="Lienhypertexte"/>
            <w:rFonts w:ascii="Trebuchet MS" w:hAnsi="Trebuchet MS"/>
            <w:lang w:val="en-US"/>
          </w:rPr>
          <w:t>http://www.calstart.org/Libraries/E-Truck_Task_Force_Documents/Article_625_Natl_Electric_Code.sflb</w:t>
        </w:r>
      </w:hyperlink>
      <w:r w:rsidRPr="001B1F58">
        <w:rPr>
          <w:rFonts w:ascii="Trebuchet MS" w:hAnsi="Trebuchet MS"/>
          <w:u w:val="single"/>
          <w:lang w:val="en-US"/>
        </w:rPr>
        <w:t>.ashx</w:t>
      </w:r>
    </w:p>
    <w:p w:rsidR="001B1F58" w:rsidRPr="001B1F58" w:rsidRDefault="001B1F58" w:rsidP="001B1F58">
      <w:pPr>
        <w:rPr>
          <w:u w:val="single"/>
          <w:lang w:val="en-US"/>
        </w:rPr>
      </w:pPr>
      <w:r w:rsidRPr="001B1F58">
        <w:rPr>
          <w:u w:val="single"/>
          <w:lang w:val="en-US"/>
        </w:rPr>
        <w:t xml:space="preserve">Reference </w:t>
      </w:r>
      <w:proofErr w:type="gramStart"/>
      <w:r w:rsidRPr="001B1F58">
        <w:rPr>
          <w:u w:val="single"/>
          <w:lang w:val="en-US"/>
        </w:rPr>
        <w:t>2 :</w:t>
      </w:r>
      <w:proofErr w:type="gramEnd"/>
    </w:p>
    <w:p w:rsidR="001B1F58" w:rsidRPr="00FA3099" w:rsidRDefault="001B1F58" w:rsidP="001B1F58">
      <w:pPr>
        <w:jc w:val="both"/>
        <w:rPr>
          <w:rFonts w:ascii="Trebuchet MS" w:hAnsi="Trebuchet MS"/>
          <w:u w:val="single"/>
          <w:lang w:val="en-US"/>
        </w:rPr>
      </w:pPr>
      <w:hyperlink r:id="rId14" w:history="1">
        <w:r w:rsidRPr="00FA3099">
          <w:rPr>
            <w:rStyle w:val="Lienhypertexte"/>
            <w:rFonts w:ascii="Trebuchet MS" w:hAnsi="Trebuchet MS"/>
            <w:lang w:val="en-US"/>
          </w:rPr>
          <w:t>http://www.hydroquebec.com/transportation-electrification/pdf/technical-installation-guide.pdf</w:t>
        </w:r>
      </w:hyperlink>
    </w:p>
    <w:p w:rsidR="001B1F58" w:rsidRPr="001B1F58" w:rsidRDefault="001B1F58" w:rsidP="001B1F58">
      <w:pPr>
        <w:rPr>
          <w:u w:val="single"/>
          <w:lang w:val="en-US"/>
        </w:rPr>
      </w:pPr>
      <w:r w:rsidRPr="001B1F58">
        <w:rPr>
          <w:u w:val="single"/>
          <w:lang w:val="en-US"/>
        </w:rPr>
        <w:t>Reference 3:</w:t>
      </w:r>
    </w:p>
    <w:p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rsidR="001B1F58" w:rsidRPr="00CE69D8" w:rsidRDefault="001B1F58" w:rsidP="001B1F58">
      <w:pPr>
        <w:rPr>
          <w:lang w:val="en-US"/>
        </w:rPr>
      </w:pPr>
    </w:p>
    <w:p w:rsidR="00E94502" w:rsidRDefault="00E94502" w:rsidP="00E94502">
      <w:pPr>
        <w:jc w:val="both"/>
        <w:rPr>
          <w:rStyle w:val="Titre1Car"/>
        </w:rPr>
      </w:pPr>
      <w:r>
        <w:rPr>
          <w:rStyle w:val="Titre1Car"/>
        </w:rPr>
        <w:t>Sources</w:t>
      </w:r>
    </w:p>
    <w:p w:rsidR="00E94502" w:rsidRPr="002833F5" w:rsidRDefault="00E94502" w:rsidP="00E94502">
      <w:pPr>
        <w:jc w:val="both"/>
        <w:rPr>
          <w:rFonts w:ascii="Trebuchet MS" w:hAnsi="Trebuchet MS"/>
        </w:rPr>
      </w:pPr>
      <w:hyperlink r:id="rId15" w:history="1">
        <w:r w:rsidRPr="002833F5">
          <w:rPr>
            <w:rStyle w:val="Lienhypertexte"/>
            <w:rFonts w:ascii="Trebuchet MS" w:hAnsi="Trebuchet MS"/>
          </w:rPr>
          <w:t>https://www.rvo.nl/sites/default/files/2014/04/Electromobility%20in%20the%20Netherlands%20Highlights%202013.pdf</w:t>
        </w:r>
      </w:hyperlink>
    </w:p>
    <w:p w:rsidR="00E94502" w:rsidRPr="002833F5" w:rsidRDefault="00E94502" w:rsidP="00E94502">
      <w:pPr>
        <w:jc w:val="both"/>
        <w:rPr>
          <w:rFonts w:ascii="Trebuchet MS" w:hAnsi="Trebuchet MS"/>
        </w:rPr>
      </w:pPr>
    </w:p>
    <w:p w:rsidR="00E94502" w:rsidRDefault="00E94502" w:rsidP="00E94502">
      <w:pPr>
        <w:jc w:val="both"/>
        <w:rPr>
          <w:rStyle w:val="Lienhypertexte"/>
          <w:rFonts w:ascii="Trebuchet MS" w:hAnsi="Trebuchet MS"/>
        </w:rPr>
      </w:pPr>
      <w:hyperlink r:id="rId16" w:history="1">
        <w:r w:rsidRPr="00046903">
          <w:rPr>
            <w:rStyle w:val="Lienhypertexte"/>
            <w:rFonts w:ascii="Trebuchet MS" w:hAnsi="Trebuchet MS"/>
          </w:rPr>
          <w:t>http://www.acea.be/search/de7db054743d8d51591526e8c57a5d02/</w:t>
        </w:r>
      </w:hyperlink>
    </w:p>
    <w:p w:rsidR="00E94502" w:rsidRPr="00046903" w:rsidRDefault="00E94502" w:rsidP="00E94502">
      <w:pPr>
        <w:jc w:val="both"/>
        <w:rPr>
          <w:rFonts w:ascii="Trebuchet MS" w:hAnsi="Trebuchet MS"/>
        </w:rPr>
      </w:pPr>
    </w:p>
    <w:p w:rsidR="00E94502" w:rsidRPr="00046903" w:rsidRDefault="00E94502" w:rsidP="00E94502">
      <w:pPr>
        <w:jc w:val="both"/>
        <w:rPr>
          <w:rFonts w:ascii="Trebuchet MS" w:hAnsi="Trebuchet MS"/>
        </w:rPr>
      </w:pPr>
      <w:hyperlink r:id="rId17" w:history="1">
        <w:r w:rsidRPr="00046903">
          <w:rPr>
            <w:rStyle w:val="Lienhypertexte"/>
            <w:rFonts w:ascii="Trebuchet MS" w:hAnsi="Trebuchet MS"/>
          </w:rPr>
          <w:t>http://www.acea.be/publications/article/overview-of-incentives-for-buying-electric-vehicles</w:t>
        </w:r>
      </w:hyperlink>
    </w:p>
    <w:p w:rsidR="00E94502" w:rsidRPr="00046903" w:rsidRDefault="00E94502" w:rsidP="00E94502">
      <w:pPr>
        <w:jc w:val="both"/>
        <w:rPr>
          <w:rFonts w:ascii="Trebuchet MS" w:hAnsi="Trebuchet MS"/>
        </w:rPr>
      </w:pPr>
    </w:p>
    <w:p w:rsidR="00E94502" w:rsidRPr="00046903" w:rsidRDefault="00E94502" w:rsidP="00E94502">
      <w:pPr>
        <w:jc w:val="both"/>
        <w:rPr>
          <w:rFonts w:ascii="Trebuchet MS" w:hAnsi="Trebuchet MS"/>
        </w:rPr>
      </w:pPr>
      <w:hyperlink r:id="rId18" w:history="1">
        <w:r w:rsidRPr="00046903">
          <w:rPr>
            <w:rStyle w:val="Lienhypertexte"/>
            <w:rFonts w:ascii="Trebuchet MS" w:hAnsi="Trebuchet MS"/>
          </w:rPr>
          <w:t>http://en.wikipedia.org/wiki/Government_incentives_for_plug-in_electric_vehicles</w:t>
        </w:r>
      </w:hyperlink>
    </w:p>
    <w:p w:rsidR="001B1F58" w:rsidRPr="00E94502" w:rsidRDefault="001B1F58" w:rsidP="001B1F58"/>
    <w:sectPr w:rsidR="001B1F58" w:rsidRPr="00E945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161D4F"/>
    <w:rsid w:val="001B1F58"/>
    <w:rsid w:val="001E1805"/>
    <w:rsid w:val="00206877"/>
    <w:rsid w:val="00242688"/>
    <w:rsid w:val="00251560"/>
    <w:rsid w:val="002833F5"/>
    <w:rsid w:val="003F054A"/>
    <w:rsid w:val="0044070B"/>
    <w:rsid w:val="004B1F1E"/>
    <w:rsid w:val="00552A1E"/>
    <w:rsid w:val="005B6849"/>
    <w:rsid w:val="006B065E"/>
    <w:rsid w:val="0075477A"/>
    <w:rsid w:val="008D1476"/>
    <w:rsid w:val="00976D6E"/>
    <w:rsid w:val="009B7435"/>
    <w:rsid w:val="00A1142B"/>
    <w:rsid w:val="00A27039"/>
    <w:rsid w:val="00AA1B5C"/>
    <w:rsid w:val="00B47BB4"/>
    <w:rsid w:val="00CA16C8"/>
    <w:rsid w:val="00D201E7"/>
    <w:rsid w:val="00D37BF0"/>
    <w:rsid w:val="00E94502"/>
    <w:rsid w:val="00EA273A"/>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alstart.org/Libraries/E-Truck_Task_Force_Documents/Article_625_Natl_Electric_Code.sflb" TargetMode="External"/><Relationship Id="rId18" Type="http://schemas.openxmlformats.org/officeDocument/2006/relationships/hyperlink" Target="http://en.wikipedia.org/wiki/Government_incentives_for_plug-in_electric_vehicles" TargetMode="Externa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yperlink" Target="http://www.acea.be/publications/article/overview-of-incentives-for-buying-electric-vehicles" TargetMode="External"/><Relationship Id="rId2" Type="http://schemas.openxmlformats.org/officeDocument/2006/relationships/numbering" Target="numbering.xml"/><Relationship Id="rId16" Type="http://schemas.openxmlformats.org/officeDocument/2006/relationships/hyperlink" Target="http://www.acea.be/search/de7db054743d8d51591526e8c57a5d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rvo.nl/sites/default/files/2014/04/Electromobility%20in%20the%20Netherlands%20Highlights%202013.pdf" TargetMode="External"/><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hydroquebec.com/transportation-electrification/pdf/technical-installation-guide.pdf"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7F531-B702-4443-BE4C-30BAC572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2253</Words>
  <Characters>12392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10</cp:revision>
  <dcterms:created xsi:type="dcterms:W3CDTF">2015-04-12T13:11:00Z</dcterms:created>
  <dcterms:modified xsi:type="dcterms:W3CDTF">2015-05-27T06:15:00Z</dcterms:modified>
</cp:coreProperties>
</file>