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28A" w14:textId="50B1D700" w:rsidR="00E52F95" w:rsidRPr="00C9236A" w:rsidRDefault="00C9236A" w:rsidP="001503E4">
      <w:pPr>
        <w:rPr>
          <w:b/>
          <w:bCs/>
          <w:lang w:val="fr-FR"/>
        </w:rPr>
      </w:pPr>
      <w:r w:rsidRPr="00C9236A">
        <w:rPr>
          <w:b/>
          <w:bCs/>
          <w:color w:val="FF0000"/>
          <w:lang w:val="fr-FR"/>
        </w:rPr>
        <w:t>Sous embargo jusqu’au 15 septembre, 9h</w:t>
      </w:r>
      <w:r>
        <w:rPr>
          <w:b/>
          <w:bCs/>
          <w:color w:val="FF0000"/>
          <w:lang w:val="fr-FR"/>
        </w:rPr>
        <w:t>00</w:t>
      </w:r>
      <w:r w:rsidR="001503E4" w:rsidRPr="00C9236A">
        <w:rPr>
          <w:b/>
          <w:bCs/>
          <w:lang w:val="fr-FR"/>
        </w:rPr>
        <w:br/>
      </w:r>
    </w:p>
    <w:p w14:paraId="356791D8" w14:textId="2E8432A3" w:rsidR="00BC72EC" w:rsidRPr="00C9236A" w:rsidRDefault="00C9236A" w:rsidP="00E52F95">
      <w:pPr>
        <w:rPr>
          <w:b/>
          <w:bCs/>
          <w:sz w:val="28"/>
          <w:szCs w:val="26"/>
          <w:lang w:val="fr-FR"/>
        </w:rPr>
      </w:pPr>
      <w:r>
        <w:rPr>
          <w:b/>
          <w:bCs/>
          <w:sz w:val="28"/>
          <w:szCs w:val="26"/>
          <w:lang w:val="fr-FR"/>
        </w:rPr>
        <w:t xml:space="preserve">Les habitants de Paris et Londres </w:t>
      </w:r>
      <w:r w:rsidR="00FA7067">
        <w:rPr>
          <w:b/>
          <w:bCs/>
          <w:sz w:val="28"/>
          <w:szCs w:val="26"/>
          <w:lang w:val="fr-FR"/>
        </w:rPr>
        <w:t>pensent que leurs villes vont rebondir après la crise sanitaire</w:t>
      </w:r>
      <w:r>
        <w:rPr>
          <w:b/>
          <w:bCs/>
          <w:sz w:val="28"/>
          <w:szCs w:val="26"/>
          <w:lang w:val="fr-FR"/>
        </w:rPr>
        <w:t xml:space="preserve">, mais </w:t>
      </w:r>
      <w:r w:rsidR="00FA7067">
        <w:rPr>
          <w:b/>
          <w:bCs/>
          <w:sz w:val="28"/>
          <w:szCs w:val="26"/>
          <w:lang w:val="fr-FR"/>
        </w:rPr>
        <w:t>aussi que qu’elles</w:t>
      </w:r>
      <w:r>
        <w:rPr>
          <w:b/>
          <w:bCs/>
          <w:sz w:val="28"/>
          <w:szCs w:val="26"/>
          <w:lang w:val="fr-FR"/>
        </w:rPr>
        <w:t xml:space="preserve"> </w:t>
      </w:r>
      <w:r w:rsidR="00FA7067">
        <w:rPr>
          <w:b/>
          <w:bCs/>
          <w:sz w:val="28"/>
          <w:szCs w:val="26"/>
          <w:lang w:val="fr-FR"/>
        </w:rPr>
        <w:t>font</w:t>
      </w:r>
      <w:r>
        <w:rPr>
          <w:b/>
          <w:bCs/>
          <w:sz w:val="28"/>
          <w:szCs w:val="26"/>
          <w:lang w:val="fr-FR"/>
        </w:rPr>
        <w:t xml:space="preserve"> face à des défis </w:t>
      </w:r>
      <w:r w:rsidR="00FA7067">
        <w:rPr>
          <w:b/>
          <w:bCs/>
          <w:sz w:val="28"/>
          <w:szCs w:val="26"/>
          <w:lang w:val="fr-FR"/>
        </w:rPr>
        <w:t>majeurs</w:t>
      </w:r>
    </w:p>
    <w:p w14:paraId="65DB129B" w14:textId="09627090" w:rsidR="00E52F95" w:rsidRPr="00C9236A" w:rsidRDefault="00E52F95" w:rsidP="00E52F95">
      <w:pPr>
        <w:rPr>
          <w:lang w:val="fr-FR"/>
        </w:rPr>
      </w:pPr>
    </w:p>
    <w:p w14:paraId="2E63D4CA" w14:textId="206E89D1" w:rsidR="003D0BF3" w:rsidRDefault="003D0BF3" w:rsidP="006C3F30">
      <w:pPr>
        <w:rPr>
          <w:lang w:val="fr-FR"/>
        </w:rPr>
      </w:pPr>
      <w:r w:rsidRPr="003D0BF3">
        <w:rPr>
          <w:lang w:val="fr-FR"/>
        </w:rPr>
        <w:t>La satisfaction des habitants d</w:t>
      </w:r>
      <w:r>
        <w:rPr>
          <w:lang w:val="fr-FR"/>
        </w:rPr>
        <w:t xml:space="preserve">e Paris comme de Londres </w:t>
      </w:r>
      <w:r w:rsidR="00F21488">
        <w:rPr>
          <w:lang w:val="fr-FR"/>
        </w:rPr>
        <w:t xml:space="preserve">vis-à-vis </w:t>
      </w:r>
      <w:r w:rsidR="00FA7067">
        <w:rPr>
          <w:lang w:val="fr-FR"/>
        </w:rPr>
        <w:t>de</w:t>
      </w:r>
      <w:r>
        <w:rPr>
          <w:lang w:val="fr-FR"/>
        </w:rPr>
        <w:t xml:space="preserve"> leur quartier </w:t>
      </w:r>
      <w:r w:rsidR="00F21488">
        <w:rPr>
          <w:lang w:val="fr-FR"/>
        </w:rPr>
        <w:t xml:space="preserve">reste </w:t>
      </w:r>
      <w:r w:rsidR="00FA7067">
        <w:rPr>
          <w:lang w:val="fr-FR"/>
        </w:rPr>
        <w:t>élevée,</w:t>
      </w:r>
      <w:r w:rsidR="00F21488">
        <w:rPr>
          <w:lang w:val="fr-FR"/>
        </w:rPr>
        <w:t xml:space="preserve"> </w:t>
      </w:r>
      <w:r>
        <w:rPr>
          <w:lang w:val="fr-FR"/>
        </w:rPr>
        <w:t>malgré les confinements qui les ont forcés à passer bien plus de temps chez eux</w:t>
      </w:r>
      <w:r w:rsidR="00FA7067">
        <w:rPr>
          <w:lang w:val="fr-FR"/>
        </w:rPr>
        <w:t xml:space="preserve"> au cours des derniers mois. U</w:t>
      </w:r>
      <w:r w:rsidR="00FA7067">
        <w:rPr>
          <w:lang w:val="fr-FR"/>
        </w:rPr>
        <w:t>ne étude récente auprès des habitants des deux capitales et de leur banlieue proche</w:t>
      </w:r>
      <w:r w:rsidR="00FA7067">
        <w:rPr>
          <w:lang w:val="fr-FR"/>
        </w:rPr>
        <w:t xml:space="preserve"> montre aussi qu’i</w:t>
      </w:r>
      <w:r w:rsidR="00F21488">
        <w:rPr>
          <w:lang w:val="fr-FR"/>
        </w:rPr>
        <w:t>ls sont</w:t>
      </w:r>
      <w:r>
        <w:rPr>
          <w:lang w:val="fr-FR"/>
        </w:rPr>
        <w:t xml:space="preserve"> </w:t>
      </w:r>
      <w:r w:rsidR="00FA7067">
        <w:rPr>
          <w:lang w:val="fr-FR"/>
        </w:rPr>
        <w:t>davantage</w:t>
      </w:r>
      <w:r w:rsidR="00F21488">
        <w:rPr>
          <w:lang w:val="fr-FR"/>
        </w:rPr>
        <w:t xml:space="preserve"> satisfaits des services publics locaux à leur disposition</w:t>
      </w:r>
      <w:r w:rsidR="00FA7067">
        <w:rPr>
          <w:lang w:val="fr-FR"/>
        </w:rPr>
        <w:t>.</w:t>
      </w:r>
    </w:p>
    <w:p w14:paraId="18D30A78" w14:textId="77777777" w:rsidR="003D0BF3" w:rsidRPr="003D0BF3" w:rsidRDefault="003D0BF3" w:rsidP="006C3F30">
      <w:pPr>
        <w:rPr>
          <w:lang w:val="fr-FR"/>
        </w:rPr>
      </w:pPr>
    </w:p>
    <w:p w14:paraId="7069BDBB" w14:textId="06068887" w:rsidR="000B1FAD" w:rsidRDefault="00F21488" w:rsidP="006C3F30">
      <w:pPr>
        <w:rPr>
          <w:lang w:val="fr-FR"/>
        </w:rPr>
      </w:pPr>
      <w:r w:rsidRPr="00F21488">
        <w:rPr>
          <w:lang w:val="fr-FR"/>
        </w:rPr>
        <w:t>Ce sondage, réalisé par I</w:t>
      </w:r>
      <w:r>
        <w:rPr>
          <w:lang w:val="fr-FR"/>
        </w:rPr>
        <w:t xml:space="preserve">psos pour l’Université de Paris et le </w:t>
      </w:r>
      <w:proofErr w:type="spellStart"/>
      <w:r w:rsidRPr="006D6F2E">
        <w:rPr>
          <w:i/>
          <w:iCs/>
          <w:lang w:val="fr-FR"/>
        </w:rPr>
        <w:t>King’s</w:t>
      </w:r>
      <w:proofErr w:type="spellEnd"/>
      <w:r w:rsidRPr="006D6F2E">
        <w:rPr>
          <w:i/>
          <w:iCs/>
          <w:lang w:val="fr-FR"/>
        </w:rPr>
        <w:t xml:space="preserve"> </w:t>
      </w:r>
      <w:proofErr w:type="spellStart"/>
      <w:r w:rsidRPr="006D6F2E">
        <w:rPr>
          <w:i/>
          <w:iCs/>
          <w:lang w:val="fr-FR"/>
        </w:rPr>
        <w:t>College</w:t>
      </w:r>
      <w:proofErr w:type="spellEnd"/>
      <w:r>
        <w:rPr>
          <w:lang w:val="fr-FR"/>
        </w:rPr>
        <w:t xml:space="preserve"> de Londres, va à l’encontre des nombreuses analyses portant sur le déclin à venir des grandes villes dans le monde post-</w:t>
      </w:r>
      <w:proofErr w:type="spellStart"/>
      <w:r>
        <w:rPr>
          <w:lang w:val="fr-FR"/>
        </w:rPr>
        <w:t>Covid</w:t>
      </w:r>
      <w:proofErr w:type="spellEnd"/>
      <w:r>
        <w:rPr>
          <w:lang w:val="fr-FR"/>
        </w:rPr>
        <w:t xml:space="preserve">. Ainsi, la part des habitants qui envisagent de quitter leur commune dans les années à venir n’a guère évolué, et une majorité d’entre eux juge que Paris et Londres vont rebondir </w:t>
      </w:r>
      <w:proofErr w:type="gramStart"/>
      <w:r>
        <w:rPr>
          <w:lang w:val="fr-FR"/>
        </w:rPr>
        <w:t>suite à</w:t>
      </w:r>
      <w:proofErr w:type="gramEnd"/>
      <w:r>
        <w:rPr>
          <w:lang w:val="fr-FR"/>
        </w:rPr>
        <w:t xml:space="preserve"> la pandémie. </w:t>
      </w:r>
    </w:p>
    <w:p w14:paraId="43B05C37" w14:textId="5FCE7428" w:rsidR="00E977B4" w:rsidRDefault="00E977B4" w:rsidP="006C3F30">
      <w:pPr>
        <w:rPr>
          <w:lang w:val="fr-FR"/>
        </w:rPr>
      </w:pPr>
    </w:p>
    <w:p w14:paraId="0E4B1BFE" w14:textId="2E4F6A43" w:rsidR="00E977B4" w:rsidRDefault="00E977B4" w:rsidP="006C3F30">
      <w:pPr>
        <w:rPr>
          <w:lang w:val="fr-FR"/>
        </w:rPr>
      </w:pPr>
      <w:r>
        <w:rPr>
          <w:lang w:val="fr-FR"/>
        </w:rPr>
        <w:t>L’étude montre aussi que des différences notables émergent entre l’opinion des Parisiens et des Londoniens sur certains enjeux importants :</w:t>
      </w:r>
    </w:p>
    <w:p w14:paraId="4B1F3946" w14:textId="77777777" w:rsidR="00CE4D9A" w:rsidRPr="002435EB" w:rsidRDefault="00CE4D9A" w:rsidP="006C3F30">
      <w:pPr>
        <w:rPr>
          <w:lang w:val="fr-FR"/>
        </w:rPr>
      </w:pPr>
    </w:p>
    <w:p w14:paraId="28033D4A" w14:textId="0C05881D" w:rsidR="007133F3" w:rsidRDefault="007133F3" w:rsidP="007133F3">
      <w:pPr>
        <w:pStyle w:val="Paragraphedeliste"/>
        <w:numPr>
          <w:ilvl w:val="0"/>
          <w:numId w:val="3"/>
        </w:numPr>
        <w:spacing w:after="60"/>
        <w:ind w:left="714" w:hanging="357"/>
        <w:contextualSpacing w:val="0"/>
        <w:rPr>
          <w:lang w:val="fr-FR"/>
        </w:rPr>
      </w:pPr>
      <w:r w:rsidRPr="007133F3">
        <w:rPr>
          <w:lang w:val="fr-FR"/>
        </w:rPr>
        <w:t>Les Londoniens sont nettement plus enclins que les Parisiens à penser que les personnes issues de d</w:t>
      </w:r>
      <w:r>
        <w:rPr>
          <w:lang w:val="fr-FR"/>
        </w:rPr>
        <w:t xml:space="preserve">ifférents milieux sociaux ou de différentes origines cohabitent bien ensemble dans leur quartier. De même, le rapport à l’immigration est moins tendu à Londres qu’à Paris et dans sa couronne. </w:t>
      </w:r>
    </w:p>
    <w:p w14:paraId="4B4388B1" w14:textId="77FAB287" w:rsidR="007133F3" w:rsidRDefault="007133F3" w:rsidP="007133F3">
      <w:pPr>
        <w:pStyle w:val="Paragraphedeliste"/>
        <w:numPr>
          <w:ilvl w:val="0"/>
          <w:numId w:val="3"/>
        </w:numPr>
        <w:spacing w:after="60"/>
        <w:ind w:left="714" w:hanging="357"/>
        <w:contextualSpacing w:val="0"/>
        <w:rPr>
          <w:lang w:val="fr-FR"/>
        </w:rPr>
      </w:pPr>
      <w:r>
        <w:rPr>
          <w:lang w:val="fr-FR"/>
        </w:rPr>
        <w:t xml:space="preserve">Si les deux capitales sont jugées par leurs habitants comme agréables à vivre avant tout pour les personnes aisées et les jeunes, Paris est perçue comme un meilleur endroit que la capitale britannique pour les personnes âgées ou encore pour les ménages modestes. </w:t>
      </w:r>
    </w:p>
    <w:p w14:paraId="069C2293" w14:textId="679FD043" w:rsidR="007133F3" w:rsidRDefault="007133F3" w:rsidP="007133F3">
      <w:pPr>
        <w:pStyle w:val="Paragraphedeliste"/>
        <w:numPr>
          <w:ilvl w:val="0"/>
          <w:numId w:val="3"/>
        </w:numPr>
        <w:spacing w:after="60"/>
        <w:ind w:left="714" w:hanging="357"/>
        <w:contextualSpacing w:val="0"/>
        <w:rPr>
          <w:lang w:val="fr-FR"/>
        </w:rPr>
      </w:pPr>
      <w:r>
        <w:rPr>
          <w:lang w:val="fr-FR"/>
        </w:rPr>
        <w:t xml:space="preserve">En revanche, Londres est perçue comme une ville plus propice à l’activité économique, que ce soit pour démarrer une carrière ou pour lancer une entreprise. </w:t>
      </w:r>
    </w:p>
    <w:p w14:paraId="790597D7" w14:textId="0C43F63E" w:rsidR="007133F3" w:rsidRPr="007133F3" w:rsidRDefault="007133F3" w:rsidP="007133F3">
      <w:pPr>
        <w:pStyle w:val="Paragraphedeliste"/>
        <w:numPr>
          <w:ilvl w:val="0"/>
          <w:numId w:val="3"/>
        </w:numPr>
        <w:spacing w:after="60"/>
        <w:ind w:left="714" w:hanging="357"/>
        <w:contextualSpacing w:val="0"/>
        <w:rPr>
          <w:lang w:val="fr-FR"/>
        </w:rPr>
      </w:pPr>
      <w:r>
        <w:rPr>
          <w:lang w:val="fr-FR"/>
        </w:rPr>
        <w:t xml:space="preserve">La situation du logement, et notamment de leur prix, est jugée très mauvaise dans les deux </w:t>
      </w:r>
      <w:proofErr w:type="gramStart"/>
      <w:r>
        <w:rPr>
          <w:lang w:val="fr-FR"/>
        </w:rPr>
        <w:t>villes</w:t>
      </w:r>
      <w:proofErr w:type="gramEnd"/>
      <w:r>
        <w:rPr>
          <w:lang w:val="fr-FR"/>
        </w:rPr>
        <w:t xml:space="preserve">, mais les Londoniens sont encore plus négatifs que les Parisiens sur ce point. </w:t>
      </w:r>
    </w:p>
    <w:p w14:paraId="434927CC" w14:textId="5F5C785C" w:rsidR="005433B5" w:rsidRPr="00E977B4" w:rsidRDefault="00CC3271" w:rsidP="00622EE4">
      <w:pPr>
        <w:rPr>
          <w:lang w:val="fr-FR"/>
        </w:rPr>
      </w:pPr>
      <w:r w:rsidRPr="002435EB">
        <w:rPr>
          <w:lang w:val="fr-FR"/>
        </w:rPr>
        <w:br/>
      </w:r>
      <w:r w:rsidR="00E977B4" w:rsidRPr="00E977B4">
        <w:rPr>
          <w:lang w:val="fr-FR"/>
        </w:rPr>
        <w:t>Ces éléments sont basés sur deux enquêtes menées auprès de 1000 habitants de Londres et 100</w:t>
      </w:r>
      <w:r w:rsidR="00FA7067">
        <w:rPr>
          <w:lang w:val="fr-FR"/>
        </w:rPr>
        <w:t>2</w:t>
      </w:r>
      <w:r w:rsidR="00E977B4" w:rsidRPr="00E977B4">
        <w:rPr>
          <w:lang w:val="fr-FR"/>
        </w:rPr>
        <w:t xml:space="preserve"> habitants du Grand Paris (50</w:t>
      </w:r>
      <w:r w:rsidR="00FA7067">
        <w:rPr>
          <w:lang w:val="fr-FR"/>
        </w:rPr>
        <w:t>2</w:t>
      </w:r>
      <w:r w:rsidR="00E977B4" w:rsidRPr="00E977B4">
        <w:rPr>
          <w:lang w:val="fr-FR"/>
        </w:rPr>
        <w:t xml:space="preserve"> Parisiens, 500 habitants de la petite couronne)</w:t>
      </w:r>
      <w:r w:rsidR="00622EE4" w:rsidRPr="00E977B4">
        <w:rPr>
          <w:lang w:val="fr-FR"/>
        </w:rPr>
        <w:t xml:space="preserve"> </w:t>
      </w:r>
      <w:r w:rsidR="00E977B4" w:rsidRPr="00E977B4">
        <w:rPr>
          <w:lang w:val="fr-FR"/>
        </w:rPr>
        <w:t>qu</w:t>
      </w:r>
      <w:r w:rsidR="00E977B4">
        <w:rPr>
          <w:lang w:val="fr-FR"/>
        </w:rPr>
        <w:t xml:space="preserve">i ont été interrogés en ligne par Ipsos. </w:t>
      </w:r>
      <w:r w:rsidR="00E977B4" w:rsidRPr="00E977B4">
        <w:rPr>
          <w:lang w:val="fr-FR"/>
        </w:rPr>
        <w:t xml:space="preserve">Une première vague de l’enquête avait été effectuée en </w:t>
      </w:r>
      <w:r w:rsidR="00E977B4">
        <w:rPr>
          <w:lang w:val="fr-FR"/>
        </w:rPr>
        <w:t xml:space="preserve">2019, permettant de mettre en lumière les domaines impactés par l’épidémie de </w:t>
      </w:r>
      <w:proofErr w:type="spellStart"/>
      <w:r w:rsidR="00E977B4">
        <w:rPr>
          <w:lang w:val="fr-FR"/>
        </w:rPr>
        <w:t>Covid</w:t>
      </w:r>
      <w:proofErr w:type="spellEnd"/>
      <w:r w:rsidR="00E977B4">
        <w:rPr>
          <w:lang w:val="fr-FR"/>
        </w:rPr>
        <w:t xml:space="preserve">. </w:t>
      </w:r>
    </w:p>
    <w:p w14:paraId="5BF6CFBB" w14:textId="20531111" w:rsidR="005433B5" w:rsidRPr="00E977B4" w:rsidRDefault="005433B5" w:rsidP="005433B5">
      <w:pPr>
        <w:rPr>
          <w:lang w:val="fr-FR"/>
        </w:rPr>
      </w:pPr>
    </w:p>
    <w:p w14:paraId="2DC26FF3" w14:textId="4AC83FCF" w:rsidR="00236BB4" w:rsidRPr="007133F3" w:rsidRDefault="003D4FE1" w:rsidP="005433B5">
      <w:pPr>
        <w:rPr>
          <w:b/>
          <w:bCs/>
          <w:color w:val="4472C4" w:themeColor="accent1"/>
          <w:sz w:val="24"/>
          <w:szCs w:val="24"/>
          <w:lang w:val="fr-FR"/>
        </w:rPr>
      </w:pPr>
      <w:r>
        <w:rPr>
          <w:b/>
          <w:bCs/>
          <w:color w:val="4472C4" w:themeColor="accent1"/>
          <w:sz w:val="24"/>
          <w:szCs w:val="24"/>
          <w:lang w:val="fr-FR"/>
        </w:rPr>
        <w:t>Il n’y a p</w:t>
      </w:r>
      <w:r w:rsidR="007133F3" w:rsidRPr="007133F3">
        <w:rPr>
          <w:b/>
          <w:bCs/>
          <w:color w:val="4472C4" w:themeColor="accent1"/>
          <w:sz w:val="24"/>
          <w:szCs w:val="24"/>
          <w:lang w:val="fr-FR"/>
        </w:rPr>
        <w:t>as de signe évident d</w:t>
      </w:r>
      <w:r w:rsidR="007133F3">
        <w:rPr>
          <w:b/>
          <w:bCs/>
          <w:color w:val="4472C4" w:themeColor="accent1"/>
          <w:sz w:val="24"/>
          <w:szCs w:val="24"/>
          <w:lang w:val="fr-FR"/>
        </w:rPr>
        <w:t>’un « déclin des grandes villes »</w:t>
      </w:r>
      <w:r>
        <w:rPr>
          <w:b/>
          <w:bCs/>
          <w:color w:val="4472C4" w:themeColor="accent1"/>
          <w:sz w:val="24"/>
          <w:szCs w:val="24"/>
          <w:lang w:val="fr-FR"/>
        </w:rPr>
        <w:t xml:space="preserve"> à la suite de la pandémie</w:t>
      </w:r>
    </w:p>
    <w:p w14:paraId="53E48F16" w14:textId="77777777" w:rsidR="004B1F07" w:rsidRPr="004B1F07" w:rsidRDefault="004B1F07" w:rsidP="00DA3A32">
      <w:pPr>
        <w:rPr>
          <w:sz w:val="10"/>
          <w:szCs w:val="10"/>
          <w:lang w:val="fr-FR"/>
        </w:rPr>
      </w:pPr>
    </w:p>
    <w:p w14:paraId="21BABE9F" w14:textId="6EDAA42B" w:rsidR="004B1F07" w:rsidRDefault="004B1F07" w:rsidP="00DA3A32">
      <w:pPr>
        <w:rPr>
          <w:lang w:val="fr-FR"/>
        </w:rPr>
      </w:pPr>
      <w:r>
        <w:rPr>
          <w:lang w:val="fr-FR"/>
        </w:rPr>
        <w:t>63% des Parisiens sont satisfaits de leur quartier, un chiffre en hausse de 7 points par rapport à 2019, et la satisfaction augmente aussi dans la petite couronne (57%, +6). A Londres, 63% (-1) des habitants se disent aussi satisfaits du cadre de vie dans leur quartier.</w:t>
      </w:r>
    </w:p>
    <w:p w14:paraId="739BA20B" w14:textId="77777777" w:rsidR="004B1F07" w:rsidRDefault="004B1F07" w:rsidP="00DA3A32">
      <w:pPr>
        <w:rPr>
          <w:lang w:val="fr-FR"/>
        </w:rPr>
      </w:pPr>
    </w:p>
    <w:p w14:paraId="4C60ED43" w14:textId="34565824" w:rsidR="004B1F07" w:rsidRPr="004B1F07" w:rsidRDefault="00FA7067" w:rsidP="00DA3A32">
      <w:pPr>
        <w:rPr>
          <w:lang w:val="fr-FR"/>
        </w:rPr>
      </w:pPr>
      <w:r>
        <w:rPr>
          <w:lang w:val="fr-FR"/>
        </w:rPr>
        <w:t xml:space="preserve">Par ailleurs, </w:t>
      </w:r>
      <w:r w:rsidR="004B1F07" w:rsidRPr="004B1F07">
        <w:rPr>
          <w:lang w:val="fr-FR"/>
        </w:rPr>
        <w:t xml:space="preserve">48% des Parisiens </w:t>
      </w:r>
      <w:r w:rsidR="004B1F07">
        <w:rPr>
          <w:lang w:val="fr-FR"/>
        </w:rPr>
        <w:t xml:space="preserve">se montrent satisfaits des services publics autour de chez eux, contre 24% qui en sont mécontents. La satisfaction a nettement progressé par rapport à 2019, puisqu’elle n’était que de 29% à l’époque. Néanmoins, ce niveau est légèrement inférieur à ceux enregistrés dans les communes de la petite couronne (51%) et à Londres (56%). </w:t>
      </w:r>
    </w:p>
    <w:p w14:paraId="41310135" w14:textId="77777777" w:rsidR="00DA3A32" w:rsidRPr="002435EB" w:rsidRDefault="00DA3A32" w:rsidP="005433B5">
      <w:pPr>
        <w:rPr>
          <w:lang w:val="fr-FR"/>
        </w:rPr>
      </w:pPr>
    </w:p>
    <w:p w14:paraId="5E7A85D1" w14:textId="69D81062" w:rsidR="00E53027" w:rsidRDefault="004B1F07" w:rsidP="005D27B4">
      <w:pPr>
        <w:rPr>
          <w:lang w:val="fr-FR"/>
        </w:rPr>
      </w:pPr>
      <w:r w:rsidRPr="004B1F07">
        <w:rPr>
          <w:lang w:val="fr-FR"/>
        </w:rPr>
        <w:t>Par rapport à 2019, la p</w:t>
      </w:r>
      <w:r>
        <w:rPr>
          <w:lang w:val="fr-FR"/>
        </w:rPr>
        <w:t>art des habitants de Paris et Londres qui estime qu’il est certain ou probable qu’ils quittent leur ville dans les années à venir n’a augmenté que très légèrement : +4 points à Paris (</w:t>
      </w:r>
      <w:r w:rsidR="00E53027">
        <w:rPr>
          <w:lang w:val="fr-FR"/>
        </w:rPr>
        <w:t xml:space="preserve">44%) et +8 points à Londres (44%). Dans la petite couronne parisienne, la tendance est même au recul (45%, -2). Les confinements et les nouvelles habitudes liées à la vie urbaine n’ont donc pas massivement affecté l’attractivité des deux capitales. </w:t>
      </w:r>
    </w:p>
    <w:p w14:paraId="20F98128" w14:textId="6F801B6A" w:rsidR="00E53027" w:rsidRPr="005C3559" w:rsidRDefault="00E53027" w:rsidP="005D27B4">
      <w:pPr>
        <w:rPr>
          <w:lang w:val="fr-FR"/>
        </w:rPr>
      </w:pPr>
      <w:r>
        <w:rPr>
          <w:lang w:val="fr-FR"/>
        </w:rPr>
        <w:lastRenderedPageBreak/>
        <w:t xml:space="preserve">Par ailleurs, une nette majorité pense que leur ville va rebondir après l’épidémie de </w:t>
      </w:r>
      <w:proofErr w:type="spellStart"/>
      <w:r>
        <w:rPr>
          <w:lang w:val="fr-FR"/>
        </w:rPr>
        <w:t>Covid</w:t>
      </w:r>
      <w:proofErr w:type="spellEnd"/>
      <w:r>
        <w:rPr>
          <w:lang w:val="fr-FR"/>
        </w:rPr>
        <w:t xml:space="preserve"> : c’est </w:t>
      </w:r>
      <w:r w:rsidR="005C3559">
        <w:rPr>
          <w:lang w:val="fr-FR"/>
        </w:rPr>
        <w:t xml:space="preserve">le </w:t>
      </w:r>
      <w:r w:rsidR="00FA7067">
        <w:rPr>
          <w:lang w:val="fr-FR"/>
        </w:rPr>
        <w:t>c</w:t>
      </w:r>
      <w:r w:rsidR="005C3559">
        <w:rPr>
          <w:lang w:val="fr-FR"/>
        </w:rPr>
        <w:t xml:space="preserve">as de 62% des Parisiens et de 66% des Londoniens. </w:t>
      </w:r>
      <w:r w:rsidR="005C3559" w:rsidRPr="005C3559">
        <w:rPr>
          <w:lang w:val="fr-FR"/>
        </w:rPr>
        <w:t>Dans les deux cas, le pessimisme est marginal puisqu’environ</w:t>
      </w:r>
      <w:r w:rsidR="005C3559">
        <w:rPr>
          <w:lang w:val="fr-FR"/>
        </w:rPr>
        <w:t xml:space="preserve"> un habitant sur dix estime que ce rebond ne viendra pas. </w:t>
      </w:r>
    </w:p>
    <w:p w14:paraId="18CDC009" w14:textId="77777777" w:rsidR="007A5923" w:rsidRPr="002435EB" w:rsidRDefault="007A5923" w:rsidP="005D27B4">
      <w:pPr>
        <w:rPr>
          <w:lang w:val="fr-FR"/>
        </w:rPr>
      </w:pPr>
    </w:p>
    <w:p w14:paraId="23F038FA" w14:textId="2DF51B70" w:rsidR="004B297B" w:rsidRDefault="005C3559" w:rsidP="004B5FDD">
      <w:pPr>
        <w:rPr>
          <w:b/>
          <w:bCs/>
          <w:color w:val="4472C4" w:themeColor="accent1"/>
          <w:sz w:val="24"/>
          <w:szCs w:val="24"/>
          <w:lang w:val="fr-FR"/>
        </w:rPr>
      </w:pPr>
      <w:r w:rsidRPr="005C3559">
        <w:rPr>
          <w:b/>
          <w:bCs/>
          <w:color w:val="4472C4" w:themeColor="accent1"/>
          <w:sz w:val="24"/>
          <w:szCs w:val="24"/>
          <w:lang w:val="fr-FR"/>
        </w:rPr>
        <w:t>Une cohésion sociale plus f</w:t>
      </w:r>
      <w:r>
        <w:rPr>
          <w:b/>
          <w:bCs/>
          <w:color w:val="4472C4" w:themeColor="accent1"/>
          <w:sz w:val="24"/>
          <w:szCs w:val="24"/>
          <w:lang w:val="fr-FR"/>
        </w:rPr>
        <w:t>orte à Londres qu’à Paris</w:t>
      </w:r>
    </w:p>
    <w:p w14:paraId="2F2A60D2" w14:textId="77777777" w:rsidR="002435AE" w:rsidRPr="002435AE" w:rsidRDefault="002435AE" w:rsidP="004B5FDD">
      <w:pPr>
        <w:rPr>
          <w:b/>
          <w:bCs/>
          <w:color w:val="4472C4" w:themeColor="accent1"/>
          <w:sz w:val="10"/>
          <w:szCs w:val="10"/>
          <w:lang w:val="fr-FR"/>
        </w:rPr>
      </w:pPr>
    </w:p>
    <w:p w14:paraId="6F9817B8" w14:textId="59C3D90B" w:rsidR="00282752" w:rsidRPr="002435AE" w:rsidRDefault="00282752" w:rsidP="00282752">
      <w:pPr>
        <w:rPr>
          <w:lang w:val="fr-FR"/>
        </w:rPr>
      </w:pPr>
      <w:r w:rsidRPr="002435AE">
        <w:rPr>
          <w:lang w:val="fr-FR"/>
        </w:rPr>
        <w:t xml:space="preserve">74% </w:t>
      </w:r>
      <w:r w:rsidR="002435AE" w:rsidRPr="002435AE">
        <w:rPr>
          <w:lang w:val="fr-FR"/>
        </w:rPr>
        <w:t>des habitants de Londres e</w:t>
      </w:r>
      <w:r w:rsidR="002435AE">
        <w:rPr>
          <w:lang w:val="fr-FR"/>
        </w:rPr>
        <w:t xml:space="preserve">stiment que les personnes de différentes catégories sociales ou de différentes origines coexistent bien dans leur quartier. Ce chiffre est nettement moins élevé à Paris (55%) et dans sa couronne (58%). </w:t>
      </w:r>
    </w:p>
    <w:p w14:paraId="34214689" w14:textId="7B9BC2B8" w:rsidR="00553831" w:rsidRPr="002435AE" w:rsidRDefault="00553831" w:rsidP="00282752">
      <w:pPr>
        <w:rPr>
          <w:lang w:val="fr-FR"/>
        </w:rPr>
      </w:pPr>
    </w:p>
    <w:p w14:paraId="17D0FCDB" w14:textId="6D102DE0" w:rsidR="002435AE" w:rsidRPr="002435AE" w:rsidRDefault="002435AE" w:rsidP="00553831">
      <w:pPr>
        <w:rPr>
          <w:lang w:val="fr-FR"/>
        </w:rPr>
      </w:pPr>
      <w:r w:rsidRPr="002435AE">
        <w:rPr>
          <w:lang w:val="fr-FR"/>
        </w:rPr>
        <w:t>Les Londoniens ont aussi une perception plus positive de l’impact de l’immigration sur leur ville que les Parisiens : 61% estiment ainsi que l’immigration venant d’autres pays a eu un impact positif, c</w:t>
      </w:r>
      <w:r>
        <w:rPr>
          <w:lang w:val="fr-FR"/>
        </w:rPr>
        <w:t xml:space="preserve">ontre 35% pour les Parisiens et 23% pour les habitants de la petite couronne. </w:t>
      </w:r>
    </w:p>
    <w:p w14:paraId="3CA2A183" w14:textId="77777777" w:rsidR="002435AE" w:rsidRPr="002435AE" w:rsidRDefault="002435AE" w:rsidP="00553831">
      <w:pPr>
        <w:rPr>
          <w:lang w:val="fr-FR"/>
        </w:rPr>
      </w:pPr>
    </w:p>
    <w:p w14:paraId="01A9A6B8" w14:textId="28B4B4F5" w:rsidR="00553831" w:rsidRPr="002435AE" w:rsidRDefault="002435AE" w:rsidP="00553831">
      <w:pPr>
        <w:rPr>
          <w:lang w:val="fr-FR"/>
        </w:rPr>
      </w:pPr>
      <w:r w:rsidRPr="002435AE">
        <w:rPr>
          <w:lang w:val="fr-FR"/>
        </w:rPr>
        <w:t>La tendance est similaire à</w:t>
      </w:r>
      <w:r>
        <w:rPr>
          <w:lang w:val="fr-FR"/>
        </w:rPr>
        <w:t xml:space="preserve"> propos de l’immigration interne, c’est-à-dire venant d’autres parti</w:t>
      </w:r>
      <w:r w:rsidR="00E206AB">
        <w:rPr>
          <w:lang w:val="fr-FR"/>
        </w:rPr>
        <w:t>e</w:t>
      </w:r>
      <w:r>
        <w:rPr>
          <w:lang w:val="fr-FR"/>
        </w:rPr>
        <w:t xml:space="preserve">s du pays : 58% des Londoniens estiment que son impact a été positif pour leur ville, </w:t>
      </w:r>
      <w:r w:rsidR="00E206AB">
        <w:rPr>
          <w:lang w:val="fr-FR"/>
        </w:rPr>
        <w:t>alors que seuls</w:t>
      </w:r>
      <w:r>
        <w:rPr>
          <w:lang w:val="fr-FR"/>
        </w:rPr>
        <w:t xml:space="preserve"> 40% des Parisiens</w:t>
      </w:r>
      <w:r w:rsidR="00E206AB">
        <w:rPr>
          <w:lang w:val="fr-FR"/>
        </w:rPr>
        <w:t xml:space="preserve"> partagent cette opinion</w:t>
      </w:r>
      <w:r>
        <w:rPr>
          <w:lang w:val="fr-FR"/>
        </w:rPr>
        <w:t xml:space="preserve">. </w:t>
      </w:r>
    </w:p>
    <w:p w14:paraId="0E427753" w14:textId="26E858C9" w:rsidR="004432F8" w:rsidRPr="002435AE" w:rsidRDefault="004432F8" w:rsidP="00553831">
      <w:pPr>
        <w:rPr>
          <w:lang w:val="fr-FR"/>
        </w:rPr>
      </w:pPr>
    </w:p>
    <w:p w14:paraId="15CE72D1" w14:textId="03794F3C" w:rsidR="004432F8" w:rsidRPr="002435AE" w:rsidRDefault="002435AE" w:rsidP="004432F8">
      <w:pPr>
        <w:rPr>
          <w:b/>
          <w:bCs/>
          <w:color w:val="4472C4" w:themeColor="accent1"/>
          <w:sz w:val="24"/>
          <w:szCs w:val="24"/>
          <w:lang w:val="fr-FR"/>
        </w:rPr>
      </w:pPr>
      <w:r w:rsidRPr="002435AE">
        <w:rPr>
          <w:b/>
          <w:bCs/>
          <w:color w:val="4472C4" w:themeColor="accent1"/>
          <w:sz w:val="24"/>
          <w:szCs w:val="24"/>
          <w:lang w:val="fr-FR"/>
        </w:rPr>
        <w:t>Les comportements inappropriés ou l</w:t>
      </w:r>
      <w:r>
        <w:rPr>
          <w:b/>
          <w:bCs/>
          <w:color w:val="4472C4" w:themeColor="accent1"/>
          <w:sz w:val="24"/>
          <w:szCs w:val="24"/>
          <w:lang w:val="fr-FR"/>
        </w:rPr>
        <w:t>e harcèlement envers les femmes sont bien plus répandus à Londres qu’à Paris</w:t>
      </w:r>
    </w:p>
    <w:p w14:paraId="4CDA989C" w14:textId="77777777" w:rsidR="002435AE" w:rsidRPr="002435AE" w:rsidRDefault="002435AE" w:rsidP="004432F8">
      <w:pPr>
        <w:rPr>
          <w:b/>
          <w:bCs/>
          <w:sz w:val="10"/>
          <w:szCs w:val="10"/>
          <w:lang w:val="fr-FR"/>
        </w:rPr>
      </w:pPr>
    </w:p>
    <w:p w14:paraId="63103746" w14:textId="40CFBA3E" w:rsidR="002435AE" w:rsidRPr="002435EB" w:rsidRDefault="002435AE" w:rsidP="00553831">
      <w:pPr>
        <w:rPr>
          <w:lang w:val="fr-FR"/>
        </w:rPr>
      </w:pPr>
      <w:r w:rsidRPr="002435AE">
        <w:rPr>
          <w:lang w:val="fr-FR"/>
        </w:rPr>
        <w:t>Les habitants des deux c</w:t>
      </w:r>
      <w:r>
        <w:rPr>
          <w:lang w:val="fr-FR"/>
        </w:rPr>
        <w:t xml:space="preserve">apitales se sentent largement en sécurité dans leur quartier durant la journée, mais 32% des Londoniens et 38% des Parisiens ne s’y sentent pas en sécurité durant la nuit. </w:t>
      </w:r>
      <w:r w:rsidRPr="002435EB">
        <w:rPr>
          <w:lang w:val="fr-FR"/>
        </w:rPr>
        <w:t xml:space="preserve">Les femmes sont sensiblement plus inquiètes que les hommes. </w:t>
      </w:r>
    </w:p>
    <w:p w14:paraId="17FF9DCC" w14:textId="77777777" w:rsidR="002435AE" w:rsidRPr="002435EB" w:rsidRDefault="002435AE" w:rsidP="00553831">
      <w:pPr>
        <w:rPr>
          <w:lang w:val="fr-FR"/>
        </w:rPr>
      </w:pPr>
    </w:p>
    <w:p w14:paraId="6C7EECF7" w14:textId="6FD6A186" w:rsidR="00C300A8" w:rsidRPr="002435EB" w:rsidRDefault="002435AE" w:rsidP="00553831">
      <w:pPr>
        <w:rPr>
          <w:lang w:val="fr-FR"/>
        </w:rPr>
      </w:pPr>
      <w:r w:rsidRPr="00C300A8">
        <w:rPr>
          <w:lang w:val="fr-FR"/>
        </w:rPr>
        <w:t xml:space="preserve">En </w:t>
      </w:r>
      <w:r w:rsidR="00C300A8" w:rsidRPr="00C300A8">
        <w:rPr>
          <w:lang w:val="fr-FR"/>
        </w:rPr>
        <w:t>m</w:t>
      </w:r>
      <w:r w:rsidRPr="00C300A8">
        <w:rPr>
          <w:lang w:val="fr-FR"/>
        </w:rPr>
        <w:t xml:space="preserve">oyenne, les femmes </w:t>
      </w:r>
      <w:r w:rsidR="00C300A8" w:rsidRPr="00C300A8">
        <w:rPr>
          <w:lang w:val="fr-FR"/>
        </w:rPr>
        <w:t>vivant à Londres ont été la cible de regards inappropriés 15</w:t>
      </w:r>
      <w:r w:rsidR="00E206AB">
        <w:rPr>
          <w:lang w:val="fr-FR"/>
        </w:rPr>
        <w:t>,1</w:t>
      </w:r>
      <w:r w:rsidR="00C300A8" w:rsidRPr="00C300A8">
        <w:rPr>
          <w:lang w:val="fr-FR"/>
        </w:rPr>
        <w:t xml:space="preserve"> fois depuis qu’elles y habitant, contre 10</w:t>
      </w:r>
      <w:r w:rsidR="00E206AB">
        <w:rPr>
          <w:lang w:val="fr-FR"/>
        </w:rPr>
        <w:t>,5</w:t>
      </w:r>
      <w:r w:rsidR="00C300A8" w:rsidRPr="00C300A8">
        <w:rPr>
          <w:lang w:val="fr-FR"/>
        </w:rPr>
        <w:t xml:space="preserve"> fois pour les </w:t>
      </w:r>
      <w:r w:rsidR="00C300A8">
        <w:rPr>
          <w:lang w:val="fr-FR"/>
        </w:rPr>
        <w:t>P</w:t>
      </w:r>
      <w:r w:rsidR="00C300A8" w:rsidRPr="00C300A8">
        <w:rPr>
          <w:lang w:val="fr-FR"/>
        </w:rPr>
        <w:t xml:space="preserve">arisiennes. L’écart est encore plus fort en ce qui concerne les plaisanteries ou commentaires à caractère sexuel : les </w:t>
      </w:r>
      <w:r w:rsidR="00C300A8">
        <w:rPr>
          <w:lang w:val="fr-FR"/>
        </w:rPr>
        <w:t>Lo</w:t>
      </w:r>
      <w:r w:rsidR="00C300A8" w:rsidRPr="00C300A8">
        <w:rPr>
          <w:lang w:val="fr-FR"/>
        </w:rPr>
        <w:t>nd</w:t>
      </w:r>
      <w:r w:rsidR="00C300A8">
        <w:rPr>
          <w:lang w:val="fr-FR"/>
        </w:rPr>
        <w:t>on</w:t>
      </w:r>
      <w:r w:rsidR="00C300A8" w:rsidRPr="00C300A8">
        <w:rPr>
          <w:lang w:val="fr-FR"/>
        </w:rPr>
        <w:t>iennes ont é</w:t>
      </w:r>
      <w:r w:rsidR="00C300A8">
        <w:rPr>
          <w:lang w:val="fr-FR"/>
        </w:rPr>
        <w:t>té ciblées en moyenne 13</w:t>
      </w:r>
      <w:r w:rsidR="00E206AB">
        <w:rPr>
          <w:lang w:val="fr-FR"/>
        </w:rPr>
        <w:t>,3</w:t>
      </w:r>
      <w:r w:rsidR="00C300A8">
        <w:rPr>
          <w:lang w:val="fr-FR"/>
        </w:rPr>
        <w:t xml:space="preserve"> fois, contre 5 fois pour les Parisiennes. </w:t>
      </w:r>
    </w:p>
    <w:p w14:paraId="5E21A30E" w14:textId="77777777" w:rsidR="00C300A8" w:rsidRPr="002435EB" w:rsidRDefault="00C300A8" w:rsidP="00553831">
      <w:pPr>
        <w:rPr>
          <w:lang w:val="fr-FR"/>
        </w:rPr>
      </w:pPr>
    </w:p>
    <w:p w14:paraId="3AA2E240" w14:textId="7215F7B0" w:rsidR="004432F8" w:rsidRPr="00C300A8" w:rsidRDefault="00C300A8" w:rsidP="00553831">
      <w:pPr>
        <w:rPr>
          <w:lang w:val="fr-FR"/>
        </w:rPr>
      </w:pPr>
      <w:r w:rsidRPr="00C300A8">
        <w:rPr>
          <w:lang w:val="fr-FR"/>
        </w:rPr>
        <w:t>Enfin, si les femmes parisiennes déclarent avoir été victimes d’attouchements à 1,4 reprises depuis qu’elles se sont installé</w:t>
      </w:r>
      <w:r>
        <w:rPr>
          <w:lang w:val="fr-FR"/>
        </w:rPr>
        <w:t xml:space="preserve">es dans la capitale, ce chiffre atteint 3,5 à Londres. </w:t>
      </w:r>
    </w:p>
    <w:p w14:paraId="7E601B68" w14:textId="4681636B" w:rsidR="00B452D3" w:rsidRPr="002435EB" w:rsidRDefault="00B452D3" w:rsidP="00553831">
      <w:pPr>
        <w:rPr>
          <w:lang w:val="fr-FR"/>
        </w:rPr>
      </w:pPr>
    </w:p>
    <w:p w14:paraId="57D4D5EC" w14:textId="606D556A" w:rsidR="002435EB" w:rsidRDefault="002435EB" w:rsidP="00553831">
      <w:pPr>
        <w:rPr>
          <w:b/>
          <w:bCs/>
          <w:color w:val="4472C4" w:themeColor="accent1"/>
          <w:sz w:val="24"/>
          <w:szCs w:val="24"/>
          <w:lang w:val="fr-FR"/>
        </w:rPr>
      </w:pPr>
      <w:r w:rsidRPr="002435EB">
        <w:rPr>
          <w:b/>
          <w:bCs/>
          <w:color w:val="4472C4" w:themeColor="accent1"/>
          <w:sz w:val="24"/>
          <w:szCs w:val="24"/>
          <w:lang w:val="fr-FR"/>
        </w:rPr>
        <w:t>Londres</w:t>
      </w:r>
      <w:r>
        <w:rPr>
          <w:b/>
          <w:bCs/>
          <w:color w:val="4472C4" w:themeColor="accent1"/>
          <w:sz w:val="24"/>
          <w:szCs w:val="24"/>
          <w:lang w:val="fr-FR"/>
        </w:rPr>
        <w:t xml:space="preserve"> et dans une moindre mesure Paris</w:t>
      </w:r>
      <w:r w:rsidRPr="002435EB">
        <w:rPr>
          <w:b/>
          <w:bCs/>
          <w:color w:val="4472C4" w:themeColor="accent1"/>
          <w:sz w:val="24"/>
          <w:szCs w:val="24"/>
          <w:lang w:val="fr-FR"/>
        </w:rPr>
        <w:t xml:space="preserve"> </w:t>
      </w:r>
      <w:r>
        <w:rPr>
          <w:b/>
          <w:bCs/>
          <w:color w:val="4472C4" w:themeColor="accent1"/>
          <w:sz w:val="24"/>
          <w:szCs w:val="24"/>
          <w:lang w:val="fr-FR"/>
        </w:rPr>
        <w:t>sont</w:t>
      </w:r>
      <w:r w:rsidRPr="002435EB">
        <w:rPr>
          <w:b/>
          <w:bCs/>
          <w:color w:val="4472C4" w:themeColor="accent1"/>
          <w:sz w:val="24"/>
          <w:szCs w:val="24"/>
          <w:lang w:val="fr-FR"/>
        </w:rPr>
        <w:t xml:space="preserve"> perçue</w:t>
      </w:r>
      <w:r>
        <w:rPr>
          <w:b/>
          <w:bCs/>
          <w:color w:val="4472C4" w:themeColor="accent1"/>
          <w:sz w:val="24"/>
          <w:szCs w:val="24"/>
          <w:lang w:val="fr-FR"/>
        </w:rPr>
        <w:t>s</w:t>
      </w:r>
      <w:r w:rsidRPr="002435EB">
        <w:rPr>
          <w:b/>
          <w:bCs/>
          <w:color w:val="4472C4" w:themeColor="accent1"/>
          <w:sz w:val="24"/>
          <w:szCs w:val="24"/>
          <w:lang w:val="fr-FR"/>
        </w:rPr>
        <w:t xml:space="preserve"> com</w:t>
      </w:r>
      <w:r>
        <w:rPr>
          <w:b/>
          <w:bCs/>
          <w:color w:val="4472C4" w:themeColor="accent1"/>
          <w:sz w:val="24"/>
          <w:szCs w:val="24"/>
          <w:lang w:val="fr-FR"/>
        </w:rPr>
        <w:t xml:space="preserve">me agréables pour les gens aisées et les jeunes, </w:t>
      </w:r>
      <w:r w:rsidR="003D4FE1">
        <w:rPr>
          <w:b/>
          <w:bCs/>
          <w:color w:val="4472C4" w:themeColor="accent1"/>
          <w:sz w:val="24"/>
          <w:szCs w:val="24"/>
          <w:lang w:val="fr-FR"/>
        </w:rPr>
        <w:t xml:space="preserve">mais beaucoup moins pour </w:t>
      </w:r>
      <w:r>
        <w:rPr>
          <w:b/>
          <w:bCs/>
          <w:color w:val="4472C4" w:themeColor="accent1"/>
          <w:sz w:val="24"/>
          <w:szCs w:val="24"/>
          <w:lang w:val="fr-FR"/>
        </w:rPr>
        <w:t xml:space="preserve">les familles, les personnes âgées et les </w:t>
      </w:r>
      <w:r w:rsidR="003D4FE1">
        <w:rPr>
          <w:b/>
          <w:bCs/>
          <w:color w:val="4472C4" w:themeColor="accent1"/>
          <w:sz w:val="24"/>
          <w:szCs w:val="24"/>
          <w:lang w:val="fr-FR"/>
        </w:rPr>
        <w:t>catégories populaires</w:t>
      </w:r>
    </w:p>
    <w:p w14:paraId="4C79FE95" w14:textId="77777777" w:rsidR="002435EB" w:rsidRPr="003D4FE1" w:rsidRDefault="002435EB" w:rsidP="00553831">
      <w:pPr>
        <w:rPr>
          <w:b/>
          <w:bCs/>
          <w:color w:val="4472C4" w:themeColor="accent1"/>
          <w:sz w:val="10"/>
          <w:szCs w:val="10"/>
          <w:lang w:val="fr-FR"/>
        </w:rPr>
      </w:pPr>
    </w:p>
    <w:p w14:paraId="50F5403C" w14:textId="314F1B43" w:rsidR="002435EB" w:rsidRPr="002435EB" w:rsidRDefault="002435EB" w:rsidP="00661F2F">
      <w:pPr>
        <w:rPr>
          <w:lang w:val="fr-FR"/>
        </w:rPr>
      </w:pPr>
      <w:r>
        <w:rPr>
          <w:lang w:val="fr-FR"/>
        </w:rPr>
        <w:t xml:space="preserve">84% des Londoniens </w:t>
      </w:r>
      <w:r w:rsidR="003D4FE1">
        <w:rPr>
          <w:lang w:val="fr-FR"/>
        </w:rPr>
        <w:t xml:space="preserve">et 80% des Parisiens </w:t>
      </w:r>
      <w:r>
        <w:rPr>
          <w:lang w:val="fr-FR"/>
        </w:rPr>
        <w:t xml:space="preserve">déclarent que leur ville est </w:t>
      </w:r>
      <w:r w:rsidR="003D4FE1">
        <w:rPr>
          <w:lang w:val="fr-FR"/>
        </w:rPr>
        <w:t xml:space="preserve">bon </w:t>
      </w:r>
      <w:r>
        <w:rPr>
          <w:lang w:val="fr-FR"/>
        </w:rPr>
        <w:t>endroit pour les personnes aisées</w:t>
      </w:r>
      <w:r w:rsidR="003D4FE1">
        <w:rPr>
          <w:lang w:val="fr-FR"/>
        </w:rPr>
        <w:t>, quand</w:t>
      </w:r>
      <w:r>
        <w:rPr>
          <w:lang w:val="fr-FR"/>
        </w:rPr>
        <w:t xml:space="preserve"> seul</w:t>
      </w:r>
      <w:r w:rsidR="003D4FE1">
        <w:rPr>
          <w:lang w:val="fr-FR"/>
        </w:rPr>
        <w:t xml:space="preserve">s </w:t>
      </w:r>
      <w:r>
        <w:rPr>
          <w:lang w:val="fr-FR"/>
        </w:rPr>
        <w:t>54% des habitants de la petite couronne</w:t>
      </w:r>
      <w:r w:rsidR="003D4FE1">
        <w:rPr>
          <w:lang w:val="fr-FR"/>
        </w:rPr>
        <w:t xml:space="preserve"> partagent cette opinion</w:t>
      </w:r>
      <w:r>
        <w:rPr>
          <w:lang w:val="fr-FR"/>
        </w:rPr>
        <w:t xml:space="preserve">. </w:t>
      </w:r>
      <w:r w:rsidR="003D4FE1">
        <w:rPr>
          <w:lang w:val="fr-FR"/>
        </w:rPr>
        <w:t>En revanche</w:t>
      </w:r>
      <w:r>
        <w:rPr>
          <w:lang w:val="fr-FR"/>
        </w:rPr>
        <w:t xml:space="preserve">, ces derniers sont bien plus disposés à considérer leur territoire comme </w:t>
      </w:r>
      <w:r w:rsidR="00E206AB">
        <w:rPr>
          <w:lang w:val="fr-FR"/>
        </w:rPr>
        <w:t xml:space="preserve">étant </w:t>
      </w:r>
      <w:r>
        <w:rPr>
          <w:lang w:val="fr-FR"/>
        </w:rPr>
        <w:t xml:space="preserve">adapté aux </w:t>
      </w:r>
      <w:r w:rsidR="003D4FE1">
        <w:rPr>
          <w:lang w:val="fr-FR"/>
        </w:rPr>
        <w:t>ménages modestes (41%)</w:t>
      </w:r>
      <w:r>
        <w:rPr>
          <w:lang w:val="fr-FR"/>
        </w:rPr>
        <w:t xml:space="preserve"> </w:t>
      </w:r>
      <w:r w:rsidR="003D4FE1">
        <w:rPr>
          <w:lang w:val="fr-FR"/>
        </w:rPr>
        <w:t>que les habitants de Paris (19%) ou Londres (14%)</w:t>
      </w:r>
      <w:r>
        <w:rPr>
          <w:lang w:val="fr-FR"/>
        </w:rPr>
        <w:t>.</w:t>
      </w:r>
    </w:p>
    <w:p w14:paraId="56915F5E" w14:textId="77777777" w:rsidR="00387CE4" w:rsidRPr="002435EB" w:rsidRDefault="00387CE4" w:rsidP="00661F2F">
      <w:pPr>
        <w:rPr>
          <w:lang w:val="fr-FR"/>
        </w:rPr>
      </w:pPr>
    </w:p>
    <w:p w14:paraId="7327C6F1" w14:textId="7535C78B" w:rsidR="002435EB" w:rsidRPr="002435EB" w:rsidRDefault="002435EB" w:rsidP="00553831">
      <w:pPr>
        <w:rPr>
          <w:lang w:val="fr-FR"/>
        </w:rPr>
      </w:pPr>
      <w:r>
        <w:rPr>
          <w:lang w:val="fr-FR"/>
        </w:rPr>
        <w:t xml:space="preserve">De plus, </w:t>
      </w:r>
      <w:r w:rsidR="003D4FE1">
        <w:rPr>
          <w:lang w:val="fr-FR"/>
        </w:rPr>
        <w:t>si une minorité des habitants des deux capitales pensent qu’elles</w:t>
      </w:r>
      <w:r w:rsidR="00E206AB">
        <w:rPr>
          <w:lang w:val="fr-FR"/>
        </w:rPr>
        <w:t xml:space="preserve"> sont</w:t>
      </w:r>
      <w:r w:rsidR="003D4FE1">
        <w:rPr>
          <w:lang w:val="fr-FR"/>
        </w:rPr>
        <w:t xml:space="preserve"> adaptées aux</w:t>
      </w:r>
      <w:r>
        <w:rPr>
          <w:lang w:val="fr-FR"/>
        </w:rPr>
        <w:t xml:space="preserve"> familles </w:t>
      </w:r>
      <w:r w:rsidR="003D4FE1">
        <w:rPr>
          <w:lang w:val="fr-FR"/>
        </w:rPr>
        <w:t>(33% à Paris, 43% à Londres), ce chiffre monte à 62% parmi les personnes vivant dans la petite couronne</w:t>
      </w:r>
      <w:r w:rsidR="00E206AB">
        <w:rPr>
          <w:lang w:val="fr-FR"/>
        </w:rPr>
        <w:t xml:space="preserve"> parisienne</w:t>
      </w:r>
      <w:r>
        <w:rPr>
          <w:lang w:val="fr-FR"/>
        </w:rPr>
        <w:t>. Ce chiffre est cependant en hausse dans l</w:t>
      </w:r>
      <w:bookmarkStart w:id="0" w:name="_GoBack"/>
      <w:bookmarkEnd w:id="0"/>
      <w:r>
        <w:rPr>
          <w:lang w:val="fr-FR"/>
        </w:rPr>
        <w:t>es capitales</w:t>
      </w:r>
      <w:r w:rsidR="003D4FE1">
        <w:rPr>
          <w:lang w:val="fr-FR"/>
        </w:rPr>
        <w:t xml:space="preserve"> par rapport à 2019, sans doute en lien avec le sentiment d’une amélioration des services disponibles à proximité</w:t>
      </w:r>
      <w:r>
        <w:rPr>
          <w:lang w:val="fr-FR"/>
        </w:rPr>
        <w:t>.</w:t>
      </w:r>
    </w:p>
    <w:p w14:paraId="3E00C006" w14:textId="77777777" w:rsidR="00A1635C" w:rsidRPr="002435EB" w:rsidRDefault="00A1635C" w:rsidP="00553831">
      <w:pPr>
        <w:rPr>
          <w:lang w:val="fr-FR"/>
        </w:rPr>
      </w:pPr>
    </w:p>
    <w:p w14:paraId="463D924D" w14:textId="441DE97F" w:rsidR="00A1635C" w:rsidRDefault="001420F1" w:rsidP="00553831">
      <w:pPr>
        <w:rPr>
          <w:b/>
          <w:bCs/>
          <w:color w:val="4472C4" w:themeColor="accent1"/>
          <w:sz w:val="24"/>
          <w:szCs w:val="24"/>
          <w:lang w:val="fr-FR"/>
        </w:rPr>
      </w:pPr>
      <w:r>
        <w:rPr>
          <w:b/>
          <w:bCs/>
          <w:color w:val="4472C4" w:themeColor="accent1"/>
          <w:sz w:val="24"/>
          <w:szCs w:val="24"/>
          <w:lang w:val="fr-FR"/>
        </w:rPr>
        <w:t>Si l</w:t>
      </w:r>
      <w:r w:rsidR="003D4FE1">
        <w:rPr>
          <w:b/>
          <w:bCs/>
          <w:color w:val="4472C4" w:themeColor="accent1"/>
          <w:sz w:val="24"/>
          <w:szCs w:val="24"/>
          <w:lang w:val="fr-FR"/>
        </w:rPr>
        <w:t>a question du prix du logement est un enjeu particulièrement sensible dans les deux capitales</w:t>
      </w:r>
      <w:r>
        <w:rPr>
          <w:b/>
          <w:bCs/>
          <w:color w:val="4472C4" w:themeColor="accent1"/>
          <w:sz w:val="24"/>
          <w:szCs w:val="24"/>
          <w:lang w:val="fr-FR"/>
        </w:rPr>
        <w:t xml:space="preserve">, elles sont aussi perçues comme des métropoles </w:t>
      </w:r>
      <w:r>
        <w:rPr>
          <w:b/>
          <w:bCs/>
          <w:color w:val="4472C4" w:themeColor="accent1"/>
          <w:sz w:val="24"/>
          <w:szCs w:val="24"/>
          <w:lang w:val="fr-FR"/>
        </w:rPr>
        <w:t>économiquement</w:t>
      </w:r>
      <w:r>
        <w:rPr>
          <w:b/>
          <w:bCs/>
          <w:color w:val="4472C4" w:themeColor="accent1"/>
          <w:sz w:val="24"/>
          <w:szCs w:val="24"/>
          <w:lang w:val="fr-FR"/>
        </w:rPr>
        <w:t xml:space="preserve"> dynamiques </w:t>
      </w:r>
    </w:p>
    <w:p w14:paraId="754CB5E2" w14:textId="77777777" w:rsidR="00A1635C" w:rsidRPr="003D4FE1" w:rsidRDefault="00A1635C" w:rsidP="00553831">
      <w:pPr>
        <w:rPr>
          <w:b/>
          <w:bCs/>
          <w:color w:val="4472C4" w:themeColor="accent1"/>
          <w:sz w:val="10"/>
          <w:szCs w:val="10"/>
          <w:lang w:val="fr-FR"/>
        </w:rPr>
      </w:pPr>
    </w:p>
    <w:p w14:paraId="36C01B91" w14:textId="1A538D6E" w:rsidR="00A1635C" w:rsidRPr="002435EB" w:rsidRDefault="00A1635C" w:rsidP="002B08BF">
      <w:pPr>
        <w:rPr>
          <w:lang w:val="fr-FR"/>
        </w:rPr>
      </w:pPr>
      <w:r>
        <w:rPr>
          <w:lang w:val="fr-FR"/>
        </w:rPr>
        <w:t xml:space="preserve">Parmi les </w:t>
      </w:r>
      <w:r w:rsidR="008B359E">
        <w:rPr>
          <w:lang w:val="fr-FR"/>
        </w:rPr>
        <w:t>non-propriétaires</w:t>
      </w:r>
      <w:r>
        <w:rPr>
          <w:lang w:val="fr-FR"/>
        </w:rPr>
        <w:t>, les Parisiens (85%) et</w:t>
      </w:r>
      <w:r w:rsidR="003D4FE1">
        <w:rPr>
          <w:lang w:val="fr-FR"/>
        </w:rPr>
        <w:t xml:space="preserve"> plus encore</w:t>
      </w:r>
      <w:r>
        <w:rPr>
          <w:lang w:val="fr-FR"/>
        </w:rPr>
        <w:t xml:space="preserve"> les Londoniens (89%) sont </w:t>
      </w:r>
      <w:r w:rsidR="003D4FE1">
        <w:rPr>
          <w:lang w:val="fr-FR"/>
        </w:rPr>
        <w:t>particulièrement nombreux</w:t>
      </w:r>
      <w:r>
        <w:rPr>
          <w:lang w:val="fr-FR"/>
        </w:rPr>
        <w:t xml:space="preserve"> à considérer qu’ils n’ont pas les moyens d’acheter un bien immobilier dans leurs </w:t>
      </w:r>
      <w:r w:rsidR="003D4FE1">
        <w:rPr>
          <w:lang w:val="fr-FR"/>
        </w:rPr>
        <w:t>ville</w:t>
      </w:r>
      <w:r w:rsidR="001420F1">
        <w:rPr>
          <w:lang w:val="fr-FR"/>
        </w:rPr>
        <w:t xml:space="preserve">, </w:t>
      </w:r>
      <w:r>
        <w:rPr>
          <w:lang w:val="fr-FR"/>
        </w:rPr>
        <w:t>alors qu’i</w:t>
      </w:r>
      <w:r w:rsidR="001420F1">
        <w:rPr>
          <w:lang w:val="fr-FR"/>
        </w:rPr>
        <w:t>l</w:t>
      </w:r>
      <w:r>
        <w:rPr>
          <w:lang w:val="fr-FR"/>
        </w:rPr>
        <w:t xml:space="preserve">s ne sont </w:t>
      </w:r>
      <w:r w:rsidR="001420F1">
        <w:rPr>
          <w:lang w:val="fr-FR"/>
        </w:rPr>
        <w:t>« </w:t>
      </w:r>
      <w:r>
        <w:rPr>
          <w:lang w:val="fr-FR"/>
        </w:rPr>
        <w:t>que</w:t>
      </w:r>
      <w:r w:rsidR="001420F1">
        <w:rPr>
          <w:lang w:val="fr-FR"/>
        </w:rPr>
        <w:t> »</w:t>
      </w:r>
      <w:r>
        <w:rPr>
          <w:lang w:val="fr-FR"/>
        </w:rPr>
        <w:t xml:space="preserve"> 72% à </w:t>
      </w:r>
      <w:r w:rsidR="001420F1">
        <w:rPr>
          <w:lang w:val="fr-FR"/>
        </w:rPr>
        <w:t>partager ce sentiment parmi les</w:t>
      </w:r>
      <w:r>
        <w:rPr>
          <w:lang w:val="fr-FR"/>
        </w:rPr>
        <w:t xml:space="preserve"> habitants de la petite couronne.</w:t>
      </w:r>
      <w:r w:rsidR="008B359E">
        <w:rPr>
          <w:lang w:val="fr-FR"/>
        </w:rPr>
        <w:t xml:space="preserve"> Et de manière plus générale, le</w:t>
      </w:r>
      <w:r w:rsidR="001420F1">
        <w:rPr>
          <w:lang w:val="fr-FR"/>
        </w:rPr>
        <w:t>s deux tiers de</w:t>
      </w:r>
      <w:r w:rsidR="008B359E">
        <w:rPr>
          <w:lang w:val="fr-FR"/>
        </w:rPr>
        <w:t xml:space="preserve">s habitants de Londres </w:t>
      </w:r>
      <w:r w:rsidR="001A521C">
        <w:rPr>
          <w:lang w:val="fr-FR"/>
        </w:rPr>
        <w:t xml:space="preserve">et de Paris </w:t>
      </w:r>
      <w:r w:rsidR="001420F1">
        <w:rPr>
          <w:lang w:val="fr-FR"/>
        </w:rPr>
        <w:t>estiment</w:t>
      </w:r>
      <w:r w:rsidR="001A521C">
        <w:rPr>
          <w:lang w:val="fr-FR"/>
        </w:rPr>
        <w:t xml:space="preserve"> que</w:t>
      </w:r>
      <w:r w:rsidR="001420F1">
        <w:rPr>
          <w:lang w:val="fr-FR"/>
        </w:rPr>
        <w:t xml:space="preserve"> les logements dans</w:t>
      </w:r>
      <w:r w:rsidR="001A521C">
        <w:rPr>
          <w:lang w:val="fr-FR"/>
        </w:rPr>
        <w:t xml:space="preserve"> leurs villes sont </w:t>
      </w:r>
      <w:r w:rsidR="001420F1">
        <w:rPr>
          <w:lang w:val="fr-FR"/>
        </w:rPr>
        <w:t xml:space="preserve">ne sont </w:t>
      </w:r>
      <w:r w:rsidR="001A521C">
        <w:rPr>
          <w:lang w:val="fr-FR"/>
        </w:rPr>
        <w:t xml:space="preserve">abordables pour </w:t>
      </w:r>
      <w:r w:rsidR="001420F1">
        <w:rPr>
          <w:lang w:val="fr-FR"/>
        </w:rPr>
        <w:t>l</w:t>
      </w:r>
      <w:r w:rsidR="001A521C">
        <w:rPr>
          <w:lang w:val="fr-FR"/>
        </w:rPr>
        <w:t>es gens comme eux, contre 45% des habitants de la petite couronne.</w:t>
      </w:r>
    </w:p>
    <w:p w14:paraId="3AE0F9CC" w14:textId="63DBE704" w:rsidR="00F4729D" w:rsidRPr="002435EB" w:rsidRDefault="00F4729D" w:rsidP="002B08BF">
      <w:pPr>
        <w:rPr>
          <w:lang w:val="fr-FR"/>
        </w:rPr>
      </w:pPr>
    </w:p>
    <w:p w14:paraId="5036867A" w14:textId="41C61213" w:rsidR="001A521C" w:rsidRPr="002435EB" w:rsidRDefault="001A521C" w:rsidP="002B08BF">
      <w:pPr>
        <w:rPr>
          <w:lang w:val="fr-FR"/>
        </w:rPr>
      </w:pPr>
      <w:r>
        <w:rPr>
          <w:lang w:val="fr-FR"/>
        </w:rPr>
        <w:t xml:space="preserve">Cependant, à Paris (64%) </w:t>
      </w:r>
      <w:r w:rsidR="001420F1">
        <w:rPr>
          <w:lang w:val="fr-FR"/>
        </w:rPr>
        <w:t>et plus encore</w:t>
      </w:r>
      <w:r>
        <w:rPr>
          <w:lang w:val="fr-FR"/>
        </w:rPr>
        <w:t xml:space="preserve"> à Londres (73%), </w:t>
      </w:r>
      <w:r w:rsidR="001420F1">
        <w:rPr>
          <w:lang w:val="fr-FR"/>
        </w:rPr>
        <w:t>une nette majorité de</w:t>
      </w:r>
      <w:r>
        <w:rPr>
          <w:lang w:val="fr-FR"/>
        </w:rPr>
        <w:t xml:space="preserve">s habitants considère que leur ville est un bon endroit pour </w:t>
      </w:r>
      <w:r w:rsidR="001420F1">
        <w:rPr>
          <w:lang w:val="fr-FR"/>
        </w:rPr>
        <w:t>débuter</w:t>
      </w:r>
      <w:r>
        <w:rPr>
          <w:lang w:val="fr-FR"/>
        </w:rPr>
        <w:t xml:space="preserve"> une carrière</w:t>
      </w:r>
      <w:r w:rsidR="001420F1">
        <w:rPr>
          <w:lang w:val="fr-FR"/>
        </w:rPr>
        <w:t>,</w:t>
      </w:r>
      <w:r>
        <w:rPr>
          <w:lang w:val="fr-FR"/>
        </w:rPr>
        <w:t xml:space="preserve"> et respectivement 58% et 68% pensent que c’est un bon endroit pour créer son entreprise. </w:t>
      </w:r>
    </w:p>
    <w:p w14:paraId="6B77BFE5" w14:textId="6C09AC73" w:rsidR="008F4BAF" w:rsidRPr="002435EB" w:rsidRDefault="008F4BAF" w:rsidP="008F4BAF">
      <w:pPr>
        <w:rPr>
          <w:lang w:val="fr-FR"/>
        </w:rPr>
      </w:pPr>
    </w:p>
    <w:p w14:paraId="544DD2B2" w14:textId="4898D72C" w:rsidR="003D4FE1" w:rsidRDefault="003D4FE1" w:rsidP="003D4FE1">
      <w:pPr>
        <w:rPr>
          <w:i/>
          <w:iCs/>
          <w:lang w:val="fr-FR"/>
        </w:rPr>
      </w:pPr>
      <w:r w:rsidRPr="003D4FE1">
        <w:rPr>
          <w:i/>
          <w:iCs/>
          <w:lang w:val="fr-FR"/>
        </w:rPr>
        <w:t xml:space="preserve">Echantillons représentatifs de 1002 habitants du Grand Paris et de 1000 habitants de Londres âgés de 18 ans et plus, interrogés en ligne entre le 26 avril et le 17 mai 2021, selon la méthode des quotas. </w:t>
      </w:r>
    </w:p>
    <w:p w14:paraId="2A838B07" w14:textId="77777777" w:rsidR="003D4FE1" w:rsidRPr="003D4FE1" w:rsidRDefault="003D4FE1" w:rsidP="003D4FE1">
      <w:pPr>
        <w:rPr>
          <w:i/>
          <w:iCs/>
          <w:lang w:val="fr-FR"/>
        </w:rPr>
      </w:pPr>
    </w:p>
    <w:p w14:paraId="471D7AF9" w14:textId="13794F6E" w:rsidR="008F4BAF" w:rsidRPr="003D4FE1" w:rsidRDefault="008F4BAF" w:rsidP="008F4BAF">
      <w:pPr>
        <w:rPr>
          <w:lang w:val="en-US"/>
        </w:rPr>
      </w:pPr>
      <w:r w:rsidRPr="003D4FE1">
        <w:rPr>
          <w:b/>
          <w:bCs/>
          <w:lang w:val="en-US"/>
        </w:rPr>
        <w:t>Contact</w:t>
      </w:r>
      <w:r w:rsidR="003D4FE1" w:rsidRPr="003D4FE1">
        <w:rPr>
          <w:b/>
          <w:bCs/>
          <w:lang w:val="en-US"/>
        </w:rPr>
        <w:t xml:space="preserve"> </w:t>
      </w:r>
      <w:r w:rsidRPr="003D4FE1">
        <w:rPr>
          <w:b/>
          <w:bCs/>
          <w:lang w:val="en-US"/>
        </w:rPr>
        <w:t>:</w:t>
      </w:r>
      <w:r w:rsidRPr="003D4FE1">
        <w:rPr>
          <w:lang w:val="en-US"/>
        </w:rPr>
        <w:t xml:space="preserve"> </w:t>
      </w:r>
      <w:r w:rsidRPr="003D4FE1">
        <w:rPr>
          <w:highlight w:val="yellow"/>
          <w:lang w:val="en-US"/>
        </w:rPr>
        <w:t xml:space="preserve">George Murkin, acting head of communications, the Policy Institute, King’s College London: </w:t>
      </w:r>
      <w:hyperlink r:id="rId9" w:history="1">
        <w:r w:rsidRPr="003D4FE1">
          <w:rPr>
            <w:rStyle w:val="Lienhypertexte"/>
            <w:highlight w:val="yellow"/>
            <w:lang w:val="en-US"/>
          </w:rPr>
          <w:t>george.murkin@kcl.ac.uk</w:t>
        </w:r>
      </w:hyperlink>
      <w:r w:rsidRPr="003D4FE1">
        <w:rPr>
          <w:highlight w:val="yellow"/>
          <w:lang w:val="en-US"/>
        </w:rPr>
        <w:t xml:space="preserve"> / 07943 521 060</w:t>
      </w:r>
    </w:p>
    <w:p w14:paraId="3C87A6F1" w14:textId="3B1C2DDD" w:rsidR="008F4BAF" w:rsidRPr="003D4FE1" w:rsidRDefault="008F4BAF" w:rsidP="008F4BAF">
      <w:pPr>
        <w:rPr>
          <w:lang w:val="en-US"/>
        </w:rPr>
      </w:pPr>
    </w:p>
    <w:p w14:paraId="3B9970FE" w14:textId="77777777" w:rsidR="003D4FE1" w:rsidRPr="003D4FE1" w:rsidRDefault="003D4FE1">
      <w:pPr>
        <w:rPr>
          <w:i/>
          <w:iCs/>
          <w:lang w:val="en-US"/>
        </w:rPr>
      </w:pPr>
    </w:p>
    <w:sectPr w:rsidR="003D4FE1" w:rsidRPr="003D4FE1" w:rsidSect="00344A0F">
      <w:pgSz w:w="11900" w:h="16840"/>
      <w:pgMar w:top="7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E5A56" w16cex:dateUtc="2021-08-23T16:3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Body)">
    <w:altName w:val="Calibri"/>
    <w:charset w:val="00"/>
    <w:family w:val="roman"/>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3A69"/>
    <w:multiLevelType w:val="hybridMultilevel"/>
    <w:tmpl w:val="33BAE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3B7EE8"/>
    <w:multiLevelType w:val="hybridMultilevel"/>
    <w:tmpl w:val="A882F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532B6B"/>
    <w:multiLevelType w:val="hybridMultilevel"/>
    <w:tmpl w:val="30208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123121"/>
    <w:multiLevelType w:val="hybridMultilevel"/>
    <w:tmpl w:val="1AAA6634"/>
    <w:lvl w:ilvl="0" w:tplc="37B80270">
      <w:start w:val="1"/>
      <w:numFmt w:val="bullet"/>
      <w:lvlText w:val="•"/>
      <w:lvlJc w:val="left"/>
      <w:pPr>
        <w:tabs>
          <w:tab w:val="num" w:pos="720"/>
        </w:tabs>
        <w:ind w:left="720" w:hanging="360"/>
      </w:pPr>
      <w:rPr>
        <w:rFonts w:ascii="Arial" w:hAnsi="Arial" w:hint="default"/>
      </w:rPr>
    </w:lvl>
    <w:lvl w:ilvl="1" w:tplc="F97CC9EA" w:tentative="1">
      <w:start w:val="1"/>
      <w:numFmt w:val="bullet"/>
      <w:lvlText w:val="•"/>
      <w:lvlJc w:val="left"/>
      <w:pPr>
        <w:tabs>
          <w:tab w:val="num" w:pos="1440"/>
        </w:tabs>
        <w:ind w:left="1440" w:hanging="360"/>
      </w:pPr>
      <w:rPr>
        <w:rFonts w:ascii="Arial" w:hAnsi="Arial" w:hint="default"/>
      </w:rPr>
    </w:lvl>
    <w:lvl w:ilvl="2" w:tplc="C2BE9580" w:tentative="1">
      <w:start w:val="1"/>
      <w:numFmt w:val="bullet"/>
      <w:lvlText w:val="•"/>
      <w:lvlJc w:val="left"/>
      <w:pPr>
        <w:tabs>
          <w:tab w:val="num" w:pos="2160"/>
        </w:tabs>
        <w:ind w:left="2160" w:hanging="360"/>
      </w:pPr>
      <w:rPr>
        <w:rFonts w:ascii="Arial" w:hAnsi="Arial" w:hint="default"/>
      </w:rPr>
    </w:lvl>
    <w:lvl w:ilvl="3" w:tplc="F3C2EFAE" w:tentative="1">
      <w:start w:val="1"/>
      <w:numFmt w:val="bullet"/>
      <w:lvlText w:val="•"/>
      <w:lvlJc w:val="left"/>
      <w:pPr>
        <w:tabs>
          <w:tab w:val="num" w:pos="2880"/>
        </w:tabs>
        <w:ind w:left="2880" w:hanging="360"/>
      </w:pPr>
      <w:rPr>
        <w:rFonts w:ascii="Arial" w:hAnsi="Arial" w:hint="default"/>
      </w:rPr>
    </w:lvl>
    <w:lvl w:ilvl="4" w:tplc="75D615FC" w:tentative="1">
      <w:start w:val="1"/>
      <w:numFmt w:val="bullet"/>
      <w:lvlText w:val="•"/>
      <w:lvlJc w:val="left"/>
      <w:pPr>
        <w:tabs>
          <w:tab w:val="num" w:pos="3600"/>
        </w:tabs>
        <w:ind w:left="3600" w:hanging="360"/>
      </w:pPr>
      <w:rPr>
        <w:rFonts w:ascii="Arial" w:hAnsi="Arial" w:hint="default"/>
      </w:rPr>
    </w:lvl>
    <w:lvl w:ilvl="5" w:tplc="D026E5B8" w:tentative="1">
      <w:start w:val="1"/>
      <w:numFmt w:val="bullet"/>
      <w:lvlText w:val="•"/>
      <w:lvlJc w:val="left"/>
      <w:pPr>
        <w:tabs>
          <w:tab w:val="num" w:pos="4320"/>
        </w:tabs>
        <w:ind w:left="4320" w:hanging="360"/>
      </w:pPr>
      <w:rPr>
        <w:rFonts w:ascii="Arial" w:hAnsi="Arial" w:hint="default"/>
      </w:rPr>
    </w:lvl>
    <w:lvl w:ilvl="6" w:tplc="78A4CECE" w:tentative="1">
      <w:start w:val="1"/>
      <w:numFmt w:val="bullet"/>
      <w:lvlText w:val="•"/>
      <w:lvlJc w:val="left"/>
      <w:pPr>
        <w:tabs>
          <w:tab w:val="num" w:pos="5040"/>
        </w:tabs>
        <w:ind w:left="5040" w:hanging="360"/>
      </w:pPr>
      <w:rPr>
        <w:rFonts w:ascii="Arial" w:hAnsi="Arial" w:hint="default"/>
      </w:rPr>
    </w:lvl>
    <w:lvl w:ilvl="7" w:tplc="6324EEB6" w:tentative="1">
      <w:start w:val="1"/>
      <w:numFmt w:val="bullet"/>
      <w:lvlText w:val="•"/>
      <w:lvlJc w:val="left"/>
      <w:pPr>
        <w:tabs>
          <w:tab w:val="num" w:pos="5760"/>
        </w:tabs>
        <w:ind w:left="5760" w:hanging="360"/>
      </w:pPr>
      <w:rPr>
        <w:rFonts w:ascii="Arial" w:hAnsi="Arial" w:hint="default"/>
      </w:rPr>
    </w:lvl>
    <w:lvl w:ilvl="8" w:tplc="3E5835D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BB"/>
    <w:rsid w:val="000058CF"/>
    <w:rsid w:val="000229BB"/>
    <w:rsid w:val="000340F9"/>
    <w:rsid w:val="0003609B"/>
    <w:rsid w:val="00043A3D"/>
    <w:rsid w:val="0005416E"/>
    <w:rsid w:val="00056AAA"/>
    <w:rsid w:val="00060AD6"/>
    <w:rsid w:val="0007163D"/>
    <w:rsid w:val="00072935"/>
    <w:rsid w:val="00072F76"/>
    <w:rsid w:val="00077639"/>
    <w:rsid w:val="00090C89"/>
    <w:rsid w:val="0009366E"/>
    <w:rsid w:val="00094D46"/>
    <w:rsid w:val="0009523B"/>
    <w:rsid w:val="000A0384"/>
    <w:rsid w:val="000A0487"/>
    <w:rsid w:val="000A6573"/>
    <w:rsid w:val="000A6713"/>
    <w:rsid w:val="000A74A9"/>
    <w:rsid w:val="000B1FAD"/>
    <w:rsid w:val="000C2EE8"/>
    <w:rsid w:val="000D2DA6"/>
    <w:rsid w:val="000D56EF"/>
    <w:rsid w:val="000F43D4"/>
    <w:rsid w:val="000F558A"/>
    <w:rsid w:val="00131C78"/>
    <w:rsid w:val="001420F1"/>
    <w:rsid w:val="001503E4"/>
    <w:rsid w:val="001579DD"/>
    <w:rsid w:val="00193414"/>
    <w:rsid w:val="001A24AD"/>
    <w:rsid w:val="001A521C"/>
    <w:rsid w:val="001A7680"/>
    <w:rsid w:val="001B39EE"/>
    <w:rsid w:val="001C2306"/>
    <w:rsid w:val="001C377F"/>
    <w:rsid w:val="001E146A"/>
    <w:rsid w:val="001E4661"/>
    <w:rsid w:val="001E6405"/>
    <w:rsid w:val="001F6A23"/>
    <w:rsid w:val="00203069"/>
    <w:rsid w:val="00207D6D"/>
    <w:rsid w:val="00215003"/>
    <w:rsid w:val="00215E65"/>
    <w:rsid w:val="002162A0"/>
    <w:rsid w:val="00236BB4"/>
    <w:rsid w:val="002435AE"/>
    <w:rsid w:val="002435EB"/>
    <w:rsid w:val="002548DF"/>
    <w:rsid w:val="002763F6"/>
    <w:rsid w:val="00277C90"/>
    <w:rsid w:val="00282752"/>
    <w:rsid w:val="00283F08"/>
    <w:rsid w:val="00284CBF"/>
    <w:rsid w:val="002B08BF"/>
    <w:rsid w:val="002B2D06"/>
    <w:rsid w:val="002B45C0"/>
    <w:rsid w:val="002C7F55"/>
    <w:rsid w:val="002D3F79"/>
    <w:rsid w:val="002E129E"/>
    <w:rsid w:val="002E47FA"/>
    <w:rsid w:val="002E5D82"/>
    <w:rsid w:val="002F4056"/>
    <w:rsid w:val="00305819"/>
    <w:rsid w:val="00330EDD"/>
    <w:rsid w:val="00333DE5"/>
    <w:rsid w:val="00334892"/>
    <w:rsid w:val="00335378"/>
    <w:rsid w:val="00344A0F"/>
    <w:rsid w:val="0035242D"/>
    <w:rsid w:val="003704D2"/>
    <w:rsid w:val="00370DC3"/>
    <w:rsid w:val="00371908"/>
    <w:rsid w:val="00382B05"/>
    <w:rsid w:val="00387CE4"/>
    <w:rsid w:val="003945E2"/>
    <w:rsid w:val="00397D50"/>
    <w:rsid w:val="003A11A2"/>
    <w:rsid w:val="003B4862"/>
    <w:rsid w:val="003D0BF3"/>
    <w:rsid w:val="003D4FE1"/>
    <w:rsid w:val="003D5ADB"/>
    <w:rsid w:val="003E23C0"/>
    <w:rsid w:val="003E751A"/>
    <w:rsid w:val="003F16E5"/>
    <w:rsid w:val="00406CB2"/>
    <w:rsid w:val="004078D8"/>
    <w:rsid w:val="004127C5"/>
    <w:rsid w:val="004131BE"/>
    <w:rsid w:val="00421404"/>
    <w:rsid w:val="004363B1"/>
    <w:rsid w:val="004432F8"/>
    <w:rsid w:val="004471F2"/>
    <w:rsid w:val="004734DF"/>
    <w:rsid w:val="0048357B"/>
    <w:rsid w:val="004923EB"/>
    <w:rsid w:val="004A4DF8"/>
    <w:rsid w:val="004A6540"/>
    <w:rsid w:val="004A6721"/>
    <w:rsid w:val="004B1F07"/>
    <w:rsid w:val="004B297B"/>
    <w:rsid w:val="004B5FDD"/>
    <w:rsid w:val="004B707C"/>
    <w:rsid w:val="004F14CF"/>
    <w:rsid w:val="004F1987"/>
    <w:rsid w:val="00515ACE"/>
    <w:rsid w:val="00517C1E"/>
    <w:rsid w:val="0052281C"/>
    <w:rsid w:val="00531C00"/>
    <w:rsid w:val="00536BBD"/>
    <w:rsid w:val="005419C4"/>
    <w:rsid w:val="00543283"/>
    <w:rsid w:val="005433B5"/>
    <w:rsid w:val="00553831"/>
    <w:rsid w:val="00562DC8"/>
    <w:rsid w:val="00582D5C"/>
    <w:rsid w:val="005C3559"/>
    <w:rsid w:val="005D0563"/>
    <w:rsid w:val="005D27B4"/>
    <w:rsid w:val="005D5EF2"/>
    <w:rsid w:val="005E6EF2"/>
    <w:rsid w:val="0061423C"/>
    <w:rsid w:val="00615BE1"/>
    <w:rsid w:val="00622EE4"/>
    <w:rsid w:val="00632063"/>
    <w:rsid w:val="00634EE4"/>
    <w:rsid w:val="00645B9F"/>
    <w:rsid w:val="00655F5E"/>
    <w:rsid w:val="00661294"/>
    <w:rsid w:val="00661F2F"/>
    <w:rsid w:val="00665131"/>
    <w:rsid w:val="00676EA0"/>
    <w:rsid w:val="00683687"/>
    <w:rsid w:val="00691AA2"/>
    <w:rsid w:val="00695D97"/>
    <w:rsid w:val="00695F10"/>
    <w:rsid w:val="006A1A9D"/>
    <w:rsid w:val="006A52FE"/>
    <w:rsid w:val="006C3F30"/>
    <w:rsid w:val="006D5C6E"/>
    <w:rsid w:val="006D6F2E"/>
    <w:rsid w:val="006E0169"/>
    <w:rsid w:val="006E2396"/>
    <w:rsid w:val="006F713C"/>
    <w:rsid w:val="007133F3"/>
    <w:rsid w:val="00713AFB"/>
    <w:rsid w:val="007A5923"/>
    <w:rsid w:val="007B32D0"/>
    <w:rsid w:val="007F33F3"/>
    <w:rsid w:val="007F4796"/>
    <w:rsid w:val="007F65C4"/>
    <w:rsid w:val="007F6FDC"/>
    <w:rsid w:val="00805AD6"/>
    <w:rsid w:val="00811935"/>
    <w:rsid w:val="008153A2"/>
    <w:rsid w:val="00820CB8"/>
    <w:rsid w:val="0084786A"/>
    <w:rsid w:val="0085799E"/>
    <w:rsid w:val="00864713"/>
    <w:rsid w:val="00865A75"/>
    <w:rsid w:val="00884FE3"/>
    <w:rsid w:val="0089308E"/>
    <w:rsid w:val="00893DC0"/>
    <w:rsid w:val="008A3FFE"/>
    <w:rsid w:val="008B359E"/>
    <w:rsid w:val="008C174B"/>
    <w:rsid w:val="008C1AF8"/>
    <w:rsid w:val="008D0B25"/>
    <w:rsid w:val="008D1F2F"/>
    <w:rsid w:val="008D60AA"/>
    <w:rsid w:val="008D6A64"/>
    <w:rsid w:val="008D70DC"/>
    <w:rsid w:val="008E62EA"/>
    <w:rsid w:val="008E6E11"/>
    <w:rsid w:val="008F4BAF"/>
    <w:rsid w:val="00905954"/>
    <w:rsid w:val="0090783B"/>
    <w:rsid w:val="00913441"/>
    <w:rsid w:val="0091575D"/>
    <w:rsid w:val="00922CD2"/>
    <w:rsid w:val="00925CC0"/>
    <w:rsid w:val="009267EB"/>
    <w:rsid w:val="009272CC"/>
    <w:rsid w:val="00945B06"/>
    <w:rsid w:val="00955D59"/>
    <w:rsid w:val="00960CC5"/>
    <w:rsid w:val="009616A7"/>
    <w:rsid w:val="009731CC"/>
    <w:rsid w:val="00976DB0"/>
    <w:rsid w:val="00995218"/>
    <w:rsid w:val="009A7DF9"/>
    <w:rsid w:val="009B4350"/>
    <w:rsid w:val="009F5F3C"/>
    <w:rsid w:val="009F72A7"/>
    <w:rsid w:val="00A11307"/>
    <w:rsid w:val="00A1635C"/>
    <w:rsid w:val="00A2078B"/>
    <w:rsid w:val="00A23483"/>
    <w:rsid w:val="00A31DC7"/>
    <w:rsid w:val="00A35782"/>
    <w:rsid w:val="00A508BE"/>
    <w:rsid w:val="00A56E2B"/>
    <w:rsid w:val="00A63424"/>
    <w:rsid w:val="00AB2D29"/>
    <w:rsid w:val="00AC3291"/>
    <w:rsid w:val="00AC4052"/>
    <w:rsid w:val="00AC7FFD"/>
    <w:rsid w:val="00AE113F"/>
    <w:rsid w:val="00AE3715"/>
    <w:rsid w:val="00AE57E5"/>
    <w:rsid w:val="00AF2E43"/>
    <w:rsid w:val="00B11D7C"/>
    <w:rsid w:val="00B326BE"/>
    <w:rsid w:val="00B452D3"/>
    <w:rsid w:val="00B50B18"/>
    <w:rsid w:val="00B674C7"/>
    <w:rsid w:val="00B677A4"/>
    <w:rsid w:val="00B9746F"/>
    <w:rsid w:val="00B97AD1"/>
    <w:rsid w:val="00B97AEB"/>
    <w:rsid w:val="00BC72EC"/>
    <w:rsid w:val="00BD2E88"/>
    <w:rsid w:val="00BE328F"/>
    <w:rsid w:val="00BE3CF7"/>
    <w:rsid w:val="00BF1E73"/>
    <w:rsid w:val="00C0488E"/>
    <w:rsid w:val="00C300A8"/>
    <w:rsid w:val="00C330E3"/>
    <w:rsid w:val="00C36E6B"/>
    <w:rsid w:val="00C50D56"/>
    <w:rsid w:val="00C53031"/>
    <w:rsid w:val="00C63F13"/>
    <w:rsid w:val="00C6470D"/>
    <w:rsid w:val="00C73663"/>
    <w:rsid w:val="00C818DE"/>
    <w:rsid w:val="00C916AC"/>
    <w:rsid w:val="00C9236A"/>
    <w:rsid w:val="00C94933"/>
    <w:rsid w:val="00C94F46"/>
    <w:rsid w:val="00C9665B"/>
    <w:rsid w:val="00CA0949"/>
    <w:rsid w:val="00CC3271"/>
    <w:rsid w:val="00CD2473"/>
    <w:rsid w:val="00CE40F1"/>
    <w:rsid w:val="00CE4D9A"/>
    <w:rsid w:val="00CF7C5D"/>
    <w:rsid w:val="00D3149D"/>
    <w:rsid w:val="00D332EA"/>
    <w:rsid w:val="00D5033D"/>
    <w:rsid w:val="00D51115"/>
    <w:rsid w:val="00D86179"/>
    <w:rsid w:val="00D87A69"/>
    <w:rsid w:val="00D87F6B"/>
    <w:rsid w:val="00D900A8"/>
    <w:rsid w:val="00D91BA4"/>
    <w:rsid w:val="00D9369E"/>
    <w:rsid w:val="00D96374"/>
    <w:rsid w:val="00DA3A32"/>
    <w:rsid w:val="00DA4619"/>
    <w:rsid w:val="00DB047B"/>
    <w:rsid w:val="00DC71E9"/>
    <w:rsid w:val="00E02A22"/>
    <w:rsid w:val="00E148C1"/>
    <w:rsid w:val="00E206AB"/>
    <w:rsid w:val="00E27B76"/>
    <w:rsid w:val="00E35261"/>
    <w:rsid w:val="00E5289D"/>
    <w:rsid w:val="00E52F95"/>
    <w:rsid w:val="00E53027"/>
    <w:rsid w:val="00E53CE4"/>
    <w:rsid w:val="00E54174"/>
    <w:rsid w:val="00E61A6B"/>
    <w:rsid w:val="00E76CFF"/>
    <w:rsid w:val="00E93ECD"/>
    <w:rsid w:val="00E96B54"/>
    <w:rsid w:val="00E977B4"/>
    <w:rsid w:val="00EA2CA0"/>
    <w:rsid w:val="00EB4769"/>
    <w:rsid w:val="00EB49F6"/>
    <w:rsid w:val="00EB5045"/>
    <w:rsid w:val="00ED64CE"/>
    <w:rsid w:val="00ED79A3"/>
    <w:rsid w:val="00EE00F4"/>
    <w:rsid w:val="00EF78A8"/>
    <w:rsid w:val="00F00F52"/>
    <w:rsid w:val="00F04B21"/>
    <w:rsid w:val="00F16A5F"/>
    <w:rsid w:val="00F21488"/>
    <w:rsid w:val="00F255DA"/>
    <w:rsid w:val="00F336CC"/>
    <w:rsid w:val="00F40022"/>
    <w:rsid w:val="00F401CD"/>
    <w:rsid w:val="00F4729D"/>
    <w:rsid w:val="00F51721"/>
    <w:rsid w:val="00F52DBE"/>
    <w:rsid w:val="00F76A43"/>
    <w:rsid w:val="00F76BAD"/>
    <w:rsid w:val="00F8573E"/>
    <w:rsid w:val="00F85E23"/>
    <w:rsid w:val="00F9400B"/>
    <w:rsid w:val="00FA7067"/>
    <w:rsid w:val="00FB1560"/>
    <w:rsid w:val="00FB4278"/>
    <w:rsid w:val="00FC4A66"/>
    <w:rsid w:val="00FC7631"/>
    <w:rsid w:val="00FD1D5B"/>
    <w:rsid w:val="00FD1FB0"/>
    <w:rsid w:val="00FD2EB5"/>
    <w:rsid w:val="00FE2E9D"/>
    <w:rsid w:val="00FE4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8A17"/>
  <w15:chartTrackingRefBased/>
  <w15:docId w15:val="{44C7D45B-F6A5-384D-8D11-ED670BDD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color w:val="000000"/>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4713"/>
    <w:pPr>
      <w:ind w:left="720"/>
      <w:contextualSpacing/>
    </w:pPr>
  </w:style>
  <w:style w:type="character" w:styleId="Lienhypertexte">
    <w:name w:val="Hyperlink"/>
    <w:basedOn w:val="Policepardfaut"/>
    <w:uiPriority w:val="99"/>
    <w:unhideWhenUsed/>
    <w:rsid w:val="00334892"/>
    <w:rPr>
      <w:color w:val="0563C1" w:themeColor="hyperlink"/>
      <w:u w:val="single"/>
    </w:rPr>
  </w:style>
  <w:style w:type="character" w:styleId="Mentionnonrsolue">
    <w:name w:val="Unresolved Mention"/>
    <w:basedOn w:val="Policepardfaut"/>
    <w:uiPriority w:val="99"/>
    <w:semiHidden/>
    <w:unhideWhenUsed/>
    <w:rsid w:val="00334892"/>
    <w:rPr>
      <w:color w:val="605E5C"/>
      <w:shd w:val="clear" w:color="auto" w:fill="E1DFDD"/>
    </w:rPr>
  </w:style>
  <w:style w:type="character" w:styleId="Marquedecommentaire">
    <w:name w:val="annotation reference"/>
    <w:basedOn w:val="Policepardfaut"/>
    <w:uiPriority w:val="99"/>
    <w:semiHidden/>
    <w:unhideWhenUsed/>
    <w:rsid w:val="00BE328F"/>
    <w:rPr>
      <w:sz w:val="16"/>
      <w:szCs w:val="16"/>
    </w:rPr>
  </w:style>
  <w:style w:type="paragraph" w:styleId="Commentaire">
    <w:name w:val="annotation text"/>
    <w:basedOn w:val="Normal"/>
    <w:link w:val="CommentaireCar"/>
    <w:uiPriority w:val="99"/>
    <w:semiHidden/>
    <w:unhideWhenUsed/>
    <w:rsid w:val="00BE328F"/>
    <w:rPr>
      <w:sz w:val="20"/>
      <w:szCs w:val="20"/>
    </w:rPr>
  </w:style>
  <w:style w:type="character" w:customStyle="1" w:styleId="CommentaireCar">
    <w:name w:val="Commentaire Car"/>
    <w:basedOn w:val="Policepardfaut"/>
    <w:link w:val="Commentaire"/>
    <w:uiPriority w:val="99"/>
    <w:semiHidden/>
    <w:rsid w:val="00BE328F"/>
    <w:rPr>
      <w:sz w:val="20"/>
      <w:szCs w:val="20"/>
    </w:rPr>
  </w:style>
  <w:style w:type="paragraph" w:styleId="Objetducommentaire">
    <w:name w:val="annotation subject"/>
    <w:basedOn w:val="Commentaire"/>
    <w:next w:val="Commentaire"/>
    <w:link w:val="ObjetducommentaireCar"/>
    <w:uiPriority w:val="99"/>
    <w:semiHidden/>
    <w:unhideWhenUsed/>
    <w:rsid w:val="00BE328F"/>
    <w:rPr>
      <w:b/>
      <w:bCs/>
    </w:rPr>
  </w:style>
  <w:style w:type="character" w:customStyle="1" w:styleId="ObjetducommentaireCar">
    <w:name w:val="Objet du commentaire Car"/>
    <w:basedOn w:val="CommentaireCar"/>
    <w:link w:val="Objetducommentaire"/>
    <w:uiPriority w:val="99"/>
    <w:semiHidden/>
    <w:rsid w:val="00BE328F"/>
    <w:rPr>
      <w:b/>
      <w:bCs/>
      <w:sz w:val="20"/>
      <w:szCs w:val="20"/>
    </w:rPr>
  </w:style>
  <w:style w:type="paragraph" w:styleId="Textedebulles">
    <w:name w:val="Balloon Text"/>
    <w:basedOn w:val="Normal"/>
    <w:link w:val="TextedebullesCar"/>
    <w:uiPriority w:val="99"/>
    <w:semiHidden/>
    <w:unhideWhenUsed/>
    <w:rsid w:val="00C9236A"/>
    <w:rPr>
      <w:rFonts w:ascii="Segoe UI" w:hAnsi="Segoe UI" w:cs="Segoe UI"/>
      <w:sz w:val="18"/>
      <w:szCs w:val="18"/>
    </w:rPr>
  </w:style>
  <w:style w:type="character" w:customStyle="1" w:styleId="TextedebullesCar">
    <w:name w:val="Texte de bulles Car"/>
    <w:basedOn w:val="Policepardfaut"/>
    <w:link w:val="Textedebulles"/>
    <w:uiPriority w:val="99"/>
    <w:semiHidden/>
    <w:rsid w:val="00C923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3757">
      <w:bodyDiv w:val="1"/>
      <w:marLeft w:val="0"/>
      <w:marRight w:val="0"/>
      <w:marTop w:val="0"/>
      <w:marBottom w:val="0"/>
      <w:divBdr>
        <w:top w:val="none" w:sz="0" w:space="0" w:color="auto"/>
        <w:left w:val="none" w:sz="0" w:space="0" w:color="auto"/>
        <w:bottom w:val="none" w:sz="0" w:space="0" w:color="auto"/>
        <w:right w:val="none" w:sz="0" w:space="0" w:color="auto"/>
      </w:divBdr>
    </w:div>
    <w:div w:id="240413313">
      <w:bodyDiv w:val="1"/>
      <w:marLeft w:val="0"/>
      <w:marRight w:val="0"/>
      <w:marTop w:val="0"/>
      <w:marBottom w:val="0"/>
      <w:divBdr>
        <w:top w:val="none" w:sz="0" w:space="0" w:color="auto"/>
        <w:left w:val="none" w:sz="0" w:space="0" w:color="auto"/>
        <w:bottom w:val="none" w:sz="0" w:space="0" w:color="auto"/>
        <w:right w:val="none" w:sz="0" w:space="0" w:color="auto"/>
      </w:divBdr>
    </w:div>
    <w:div w:id="333185879">
      <w:bodyDiv w:val="1"/>
      <w:marLeft w:val="0"/>
      <w:marRight w:val="0"/>
      <w:marTop w:val="0"/>
      <w:marBottom w:val="0"/>
      <w:divBdr>
        <w:top w:val="none" w:sz="0" w:space="0" w:color="auto"/>
        <w:left w:val="none" w:sz="0" w:space="0" w:color="auto"/>
        <w:bottom w:val="none" w:sz="0" w:space="0" w:color="auto"/>
        <w:right w:val="none" w:sz="0" w:space="0" w:color="auto"/>
      </w:divBdr>
    </w:div>
    <w:div w:id="444813734">
      <w:bodyDiv w:val="1"/>
      <w:marLeft w:val="0"/>
      <w:marRight w:val="0"/>
      <w:marTop w:val="0"/>
      <w:marBottom w:val="0"/>
      <w:divBdr>
        <w:top w:val="none" w:sz="0" w:space="0" w:color="auto"/>
        <w:left w:val="none" w:sz="0" w:space="0" w:color="auto"/>
        <w:bottom w:val="none" w:sz="0" w:space="0" w:color="auto"/>
        <w:right w:val="none" w:sz="0" w:space="0" w:color="auto"/>
      </w:divBdr>
    </w:div>
    <w:div w:id="541359518">
      <w:bodyDiv w:val="1"/>
      <w:marLeft w:val="0"/>
      <w:marRight w:val="0"/>
      <w:marTop w:val="0"/>
      <w:marBottom w:val="0"/>
      <w:divBdr>
        <w:top w:val="none" w:sz="0" w:space="0" w:color="auto"/>
        <w:left w:val="none" w:sz="0" w:space="0" w:color="auto"/>
        <w:bottom w:val="none" w:sz="0" w:space="0" w:color="auto"/>
        <w:right w:val="none" w:sz="0" w:space="0" w:color="auto"/>
      </w:divBdr>
    </w:div>
    <w:div w:id="930044291">
      <w:bodyDiv w:val="1"/>
      <w:marLeft w:val="0"/>
      <w:marRight w:val="0"/>
      <w:marTop w:val="0"/>
      <w:marBottom w:val="0"/>
      <w:divBdr>
        <w:top w:val="none" w:sz="0" w:space="0" w:color="auto"/>
        <w:left w:val="none" w:sz="0" w:space="0" w:color="auto"/>
        <w:bottom w:val="none" w:sz="0" w:space="0" w:color="auto"/>
        <w:right w:val="none" w:sz="0" w:space="0" w:color="auto"/>
      </w:divBdr>
      <w:divsChild>
        <w:div w:id="2056418971">
          <w:marLeft w:val="547"/>
          <w:marRight w:val="0"/>
          <w:marTop w:val="200"/>
          <w:marBottom w:val="0"/>
          <w:divBdr>
            <w:top w:val="none" w:sz="0" w:space="0" w:color="auto"/>
            <w:left w:val="none" w:sz="0" w:space="0" w:color="auto"/>
            <w:bottom w:val="none" w:sz="0" w:space="0" w:color="auto"/>
            <w:right w:val="none" w:sz="0" w:space="0" w:color="auto"/>
          </w:divBdr>
        </w:div>
        <w:div w:id="833256765">
          <w:marLeft w:val="547"/>
          <w:marRight w:val="0"/>
          <w:marTop w:val="200"/>
          <w:marBottom w:val="0"/>
          <w:divBdr>
            <w:top w:val="none" w:sz="0" w:space="0" w:color="auto"/>
            <w:left w:val="none" w:sz="0" w:space="0" w:color="auto"/>
            <w:bottom w:val="none" w:sz="0" w:space="0" w:color="auto"/>
            <w:right w:val="none" w:sz="0" w:space="0" w:color="auto"/>
          </w:divBdr>
        </w:div>
      </w:divsChild>
    </w:div>
    <w:div w:id="943611222">
      <w:bodyDiv w:val="1"/>
      <w:marLeft w:val="0"/>
      <w:marRight w:val="0"/>
      <w:marTop w:val="0"/>
      <w:marBottom w:val="0"/>
      <w:divBdr>
        <w:top w:val="none" w:sz="0" w:space="0" w:color="auto"/>
        <w:left w:val="none" w:sz="0" w:space="0" w:color="auto"/>
        <w:bottom w:val="none" w:sz="0" w:space="0" w:color="auto"/>
        <w:right w:val="none" w:sz="0" w:space="0" w:color="auto"/>
      </w:divBdr>
    </w:div>
    <w:div w:id="1454442661">
      <w:bodyDiv w:val="1"/>
      <w:marLeft w:val="0"/>
      <w:marRight w:val="0"/>
      <w:marTop w:val="0"/>
      <w:marBottom w:val="0"/>
      <w:divBdr>
        <w:top w:val="none" w:sz="0" w:space="0" w:color="auto"/>
        <w:left w:val="none" w:sz="0" w:space="0" w:color="auto"/>
        <w:bottom w:val="none" w:sz="0" w:space="0" w:color="auto"/>
        <w:right w:val="none" w:sz="0" w:space="0" w:color="auto"/>
      </w:divBdr>
    </w:div>
    <w:div w:id="1529835760">
      <w:bodyDiv w:val="1"/>
      <w:marLeft w:val="0"/>
      <w:marRight w:val="0"/>
      <w:marTop w:val="0"/>
      <w:marBottom w:val="0"/>
      <w:divBdr>
        <w:top w:val="none" w:sz="0" w:space="0" w:color="auto"/>
        <w:left w:val="none" w:sz="0" w:space="0" w:color="auto"/>
        <w:bottom w:val="none" w:sz="0" w:space="0" w:color="auto"/>
        <w:right w:val="none" w:sz="0" w:space="0" w:color="auto"/>
      </w:divBdr>
    </w:div>
    <w:div w:id="1562642922">
      <w:bodyDiv w:val="1"/>
      <w:marLeft w:val="0"/>
      <w:marRight w:val="0"/>
      <w:marTop w:val="0"/>
      <w:marBottom w:val="0"/>
      <w:divBdr>
        <w:top w:val="none" w:sz="0" w:space="0" w:color="auto"/>
        <w:left w:val="none" w:sz="0" w:space="0" w:color="auto"/>
        <w:bottom w:val="none" w:sz="0" w:space="0" w:color="auto"/>
        <w:right w:val="none" w:sz="0" w:space="0" w:color="auto"/>
      </w:divBdr>
    </w:div>
    <w:div w:id="1571884258">
      <w:bodyDiv w:val="1"/>
      <w:marLeft w:val="0"/>
      <w:marRight w:val="0"/>
      <w:marTop w:val="0"/>
      <w:marBottom w:val="0"/>
      <w:divBdr>
        <w:top w:val="none" w:sz="0" w:space="0" w:color="auto"/>
        <w:left w:val="none" w:sz="0" w:space="0" w:color="auto"/>
        <w:bottom w:val="none" w:sz="0" w:space="0" w:color="auto"/>
        <w:right w:val="none" w:sz="0" w:space="0" w:color="auto"/>
      </w:divBdr>
    </w:div>
    <w:div w:id="1576015948">
      <w:bodyDiv w:val="1"/>
      <w:marLeft w:val="0"/>
      <w:marRight w:val="0"/>
      <w:marTop w:val="0"/>
      <w:marBottom w:val="0"/>
      <w:divBdr>
        <w:top w:val="none" w:sz="0" w:space="0" w:color="auto"/>
        <w:left w:val="none" w:sz="0" w:space="0" w:color="auto"/>
        <w:bottom w:val="none" w:sz="0" w:space="0" w:color="auto"/>
        <w:right w:val="none" w:sz="0" w:space="0" w:color="auto"/>
      </w:divBdr>
    </w:div>
    <w:div w:id="1608610706">
      <w:bodyDiv w:val="1"/>
      <w:marLeft w:val="0"/>
      <w:marRight w:val="0"/>
      <w:marTop w:val="0"/>
      <w:marBottom w:val="0"/>
      <w:divBdr>
        <w:top w:val="none" w:sz="0" w:space="0" w:color="auto"/>
        <w:left w:val="none" w:sz="0" w:space="0" w:color="auto"/>
        <w:bottom w:val="none" w:sz="0" w:space="0" w:color="auto"/>
        <w:right w:val="none" w:sz="0" w:space="0" w:color="auto"/>
      </w:divBdr>
    </w:div>
    <w:div w:id="1650476153">
      <w:bodyDiv w:val="1"/>
      <w:marLeft w:val="0"/>
      <w:marRight w:val="0"/>
      <w:marTop w:val="0"/>
      <w:marBottom w:val="0"/>
      <w:divBdr>
        <w:top w:val="none" w:sz="0" w:space="0" w:color="auto"/>
        <w:left w:val="none" w:sz="0" w:space="0" w:color="auto"/>
        <w:bottom w:val="none" w:sz="0" w:space="0" w:color="auto"/>
        <w:right w:val="none" w:sz="0" w:space="0" w:color="auto"/>
      </w:divBdr>
    </w:div>
    <w:div w:id="1730961826">
      <w:bodyDiv w:val="1"/>
      <w:marLeft w:val="0"/>
      <w:marRight w:val="0"/>
      <w:marTop w:val="0"/>
      <w:marBottom w:val="0"/>
      <w:divBdr>
        <w:top w:val="none" w:sz="0" w:space="0" w:color="auto"/>
        <w:left w:val="none" w:sz="0" w:space="0" w:color="auto"/>
        <w:bottom w:val="none" w:sz="0" w:space="0" w:color="auto"/>
        <w:right w:val="none" w:sz="0" w:space="0" w:color="auto"/>
      </w:divBdr>
    </w:div>
    <w:div w:id="1823545499">
      <w:bodyDiv w:val="1"/>
      <w:marLeft w:val="0"/>
      <w:marRight w:val="0"/>
      <w:marTop w:val="0"/>
      <w:marBottom w:val="0"/>
      <w:divBdr>
        <w:top w:val="none" w:sz="0" w:space="0" w:color="auto"/>
        <w:left w:val="none" w:sz="0" w:space="0" w:color="auto"/>
        <w:bottom w:val="none" w:sz="0" w:space="0" w:color="auto"/>
        <w:right w:val="none" w:sz="0" w:space="0" w:color="auto"/>
      </w:divBdr>
    </w:div>
    <w:div w:id="1833982636">
      <w:bodyDiv w:val="1"/>
      <w:marLeft w:val="0"/>
      <w:marRight w:val="0"/>
      <w:marTop w:val="0"/>
      <w:marBottom w:val="0"/>
      <w:divBdr>
        <w:top w:val="none" w:sz="0" w:space="0" w:color="auto"/>
        <w:left w:val="none" w:sz="0" w:space="0" w:color="auto"/>
        <w:bottom w:val="none" w:sz="0" w:space="0" w:color="auto"/>
        <w:right w:val="none" w:sz="0" w:space="0" w:color="auto"/>
      </w:divBdr>
    </w:div>
    <w:div w:id="1878272973">
      <w:bodyDiv w:val="1"/>
      <w:marLeft w:val="0"/>
      <w:marRight w:val="0"/>
      <w:marTop w:val="0"/>
      <w:marBottom w:val="0"/>
      <w:divBdr>
        <w:top w:val="none" w:sz="0" w:space="0" w:color="auto"/>
        <w:left w:val="none" w:sz="0" w:space="0" w:color="auto"/>
        <w:bottom w:val="none" w:sz="0" w:space="0" w:color="auto"/>
        <w:right w:val="none" w:sz="0" w:space="0" w:color="auto"/>
      </w:divBdr>
    </w:div>
    <w:div w:id="2022200424">
      <w:bodyDiv w:val="1"/>
      <w:marLeft w:val="0"/>
      <w:marRight w:val="0"/>
      <w:marTop w:val="0"/>
      <w:marBottom w:val="0"/>
      <w:divBdr>
        <w:top w:val="none" w:sz="0" w:space="0" w:color="auto"/>
        <w:left w:val="none" w:sz="0" w:space="0" w:color="auto"/>
        <w:bottom w:val="none" w:sz="0" w:space="0" w:color="auto"/>
        <w:right w:val="none" w:sz="0" w:space="0" w:color="auto"/>
      </w:divBdr>
    </w:div>
    <w:div w:id="21207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george.murkin@k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307D21F181F04CA08AE5C1B1E2B72A" ma:contentTypeVersion="13" ma:contentTypeDescription="Create a new document." ma:contentTypeScope="" ma:versionID="5d7d80a8870765c8df03af328ce49abd">
  <xsd:schema xmlns:xsd="http://www.w3.org/2001/XMLSchema" xmlns:xs="http://www.w3.org/2001/XMLSchema" xmlns:p="http://schemas.microsoft.com/office/2006/metadata/properties" xmlns:ns2="23b1b873-1a81-4986-b9f2-884cc7ab24d7" xmlns:ns3="9e978518-3bab-4cdd-9961-9ed25996426a" targetNamespace="http://schemas.microsoft.com/office/2006/metadata/properties" ma:root="true" ma:fieldsID="a3a58a18d91947e15ebb3ab321cd7e6f" ns2:_="" ns3:_="">
    <xsd:import namespace="23b1b873-1a81-4986-b9f2-884cc7ab24d7"/>
    <xsd:import namespace="9e978518-3bab-4cdd-9961-9ed2599642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1b873-1a81-4986-b9f2-884cc7ab2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78518-3bab-4cdd-9961-9ed25996426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DA7B1-5F2C-49E2-BAE5-4985C64CB36F}">
  <ds:schemaRefs>
    <ds:schemaRef ds:uri="http://schemas.microsoft.com/sharepoint/v3/contenttype/forms"/>
  </ds:schemaRefs>
</ds:datastoreItem>
</file>

<file path=customXml/itemProps2.xml><?xml version="1.0" encoding="utf-8"?>
<ds:datastoreItem xmlns:ds="http://schemas.openxmlformats.org/officeDocument/2006/customXml" ds:itemID="{FB6B892C-37FD-4C5D-864F-DAFA05F7B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1b873-1a81-4986-b9f2-884cc7ab24d7"/>
    <ds:schemaRef ds:uri="9e978518-3bab-4cdd-9961-9ed259964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F8B9D-19EB-4249-BC48-FD0C544E66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070519-C9CD-46BC-ADCF-D9A8A1B3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3</Pages>
  <Words>1207</Words>
  <Characters>6641</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Murkin, George</dc:creator>
  <cp:keywords/>
  <dc:description/>
  <cp:lastModifiedBy>Mathieu Gallard</cp:lastModifiedBy>
  <cp:revision>66</cp:revision>
  <cp:lastPrinted>2021-09-13T12:41:00Z</cp:lastPrinted>
  <dcterms:created xsi:type="dcterms:W3CDTF">2021-08-09T14:09:00Z</dcterms:created>
  <dcterms:modified xsi:type="dcterms:W3CDTF">2021-09-13T13:08:00Z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0x01010062307D21F181F04CA08AE5C1B1E2B72A</vt:lpwstr>
  </property>
</Properties>
</file>