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40" w:after="120"/>
      </w:pPr>
      <w:r>
        <w:rPr>
          <w:rFonts w:ascii="Calibri" w:hAnsi="Calibri"/>
          <w:b/>
          <w:color w:val="711626"/>
          <w:sz w:val="60"/>
        </w:rPr>
        <w:t>CARDINAL RITE</w:t>
      </w:r>
    </w:p>
    <w:p>
      <w:pPr>
        <w:widowControl/>
        <w:spacing w:after="160"/>
      </w:pPr>
      <w:r>
        <w:rPr>
          <w:rFonts w:ascii="Calibri" w:hAnsi="Calibri"/>
          <w:b/>
          <w:color w:val="4B0C18"/>
          <w:sz w:val="50"/>
        </w:rPr>
        <w:t>System Guide</w:t>
      </w:r>
    </w:p>
    <w:p>
      <w:pPr>
        <w:pStyle w:val="GuideSubtitle"/>
        <w:widowControl/>
      </w:pPr>
      <w:r>
        <w:t>A complete explanation of modern Harbinger ceremonies, ritual forms, boundary rings, the humanity daemon, Ichorian sigils, ordeals, allies, profession acts, failure states, and the parallel Unstained rite branch.</w:t>
      </w:r>
    </w:p>
    <w:p>
      <w:pPr>
        <w:widowControl/>
        <w:spacing w:before="160" w:after="240"/>
        <w:jc w:val="center"/>
      </w:pPr>
      <w:r>
        <w:drawing>
          <wp:inline xmlns:a="http://schemas.openxmlformats.org/drawingml/2006/main" xmlns:pic="http://schemas.openxmlformats.org/drawingml/2006/picture">
            <wp:extent cx="5943600" cy="3620501"/>
            <wp:docPr id="1" name="Picture 1" descr="A Hemomancy cardinal rite enclosed by a crimson ritual boundary."/>
            <wp:cNvGraphicFramePr>
              <a:graphicFrameLocks noChangeAspect="1"/>
            </wp:cNvGraphicFramePr>
            <a:graphic>
              <a:graphicData uri="http://schemas.openxmlformats.org/drawingml/2006/picture">
                <pic:pic>
                  <pic:nvPicPr>
                    <pic:cNvPr id="0" name="cardinal rite example.png"/>
                    <pic:cNvPicPr/>
                  </pic:nvPicPr>
                  <pic:blipFill>
                    <a:blip r:embed="rId11"/>
                    <a:stretch>
                      <a:fillRect/>
                    </a:stretch>
                  </pic:blipFill>
                  <pic:spPr>
                    <a:xfrm>
                      <a:off x="0" y="0"/>
                      <a:ext cx="5943600" cy="3620501"/>
                    </a:xfrm>
                    <a:prstGeom prst="rect"/>
                  </pic:spPr>
                </pic:pic>
              </a:graphicData>
            </a:graphic>
          </wp:inline>
        </w:drawing>
      </w:r>
    </w:p>
    <w:p>
      <w:pPr>
        <w:widowControl/>
        <w:spacing w:before="120" w:after="40"/>
      </w:pPr>
      <w:r>
        <w:rPr>
          <w:rFonts w:ascii="Calibri" w:hAnsi="Calibri"/>
          <w:b/>
          <w:color w:val="711626"/>
          <w:sz w:val="18"/>
        </w:rPr>
        <w:t>IMPLEMENTATION SNAPSHOT</w:t>
      </w:r>
    </w:p>
    <w:p>
      <w:pPr>
        <w:widowControl/>
        <w:spacing w:after="20"/>
      </w:pPr>
      <w:r>
        <w:rPr>
          <w:rFonts w:ascii="Calibri" w:hAnsi="Calibri"/>
          <w:color w:val="1F1F1F"/>
          <w:sz w:val="21"/>
        </w:rPr>
        <w:t>July 28, 2026  •  Hemomancy for NeoForge 1.21.1</w:t>
      </w:r>
    </w:p>
    <w:p>
      <w:pPr>
        <w:widowControl/>
        <w:spacing w:after="0"/>
      </w:pPr>
      <w:r>
        <w:rPr>
          <w:rFonts w:ascii="Calibri" w:hAnsi="Calibri"/>
          <w:i/>
          <w:color w:val="605659"/>
          <w:sz w:val="18"/>
        </w:rPr>
        <w:t>Source of truth: current Java implementation and built-in data resources. Prototype rites are identified separately from production content.</w:t>
      </w:r>
    </w:p>
    <w:p>
      <w:pPr>
        <w:widowControl/>
      </w:pPr>
      <w:r>
        <w:br w:type="page"/>
      </w:r>
    </w:p>
    <w:p>
      <w:pPr>
        <w:pStyle w:val="Heading1"/>
        <w:keepNext/>
        <w:widowControl/>
      </w:pPr>
      <w:r>
        <w:t>How to use this guide</w:t>
      </w:r>
    </w:p>
    <w:p>
      <w:pPr>
        <w:widowControl/>
      </w:pPr>
      <w:r>
        <w:t>This guide is written in two layers. Sections 1–9 explain what participants see and do. Sections 10–13 explain how the system is authored, scaled, and cataloged. Exact tuning values are included where they materially affect play.</w:t>
      </w:r>
    </w:p>
    <w:p>
      <w:pPr>
        <w:pStyle w:val="Callout"/>
        <w:spacing w:before="80" w:after="140"/>
        <w:ind w:left="173" w:right="173"/>
        <w:shd w:fill="EADDE0"/>
        <w:widowControl/>
        <w:pBdr>
          <w:left w:val="single" w:sz="18" w:space="6" w:color="711626"/>
        </w:pBdr>
      </w:pPr>
      <w:r>
        <w:rPr>
          <w:rFonts w:ascii="Calibri" w:hAnsi="Calibri"/>
          <w:b/>
          <w:color w:val="711626"/>
          <w:sz w:val="21"/>
        </w:rPr>
        <w:t xml:space="preserve">ONE-SENTENCE MODEL  </w:t>
      </w:r>
      <w:r>
        <w:rPr>
          <w:rFonts w:ascii="Calibri" w:hAnsi="Calibri"/>
          <w:color w:val="4B0C18"/>
          <w:sz w:val="21"/>
        </w:rPr>
        <w:t>A modern Cardinal Rite is a defended circulation: build the recipe structure, feed blood into layered boundary anchors, prepare optional living sigils and allies, commit by projecting into the humanity daemon, survive a shuffled ordeal deck, repair the boundary, and—on rank rites—perform a unique final profession.</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EADDE0"/>
            <w:vAlign w:val="center"/>
            <w:tcMar>
              <w:top w:w="80" w:type="dxa"/>
              <w:start w:w="120" w:type="dxa"/>
              <w:bottom w:w="80" w:type="dxa"/>
              <w:end w:w="120" w:type="dxa"/>
            </w:tcMar>
          </w:tcPr>
          <w:p>
            <w:pPr>
              <w:pStyle w:val="TableHeader"/>
              <w:keepLines/>
            </w:pPr>
            <w:r>
              <w:t>Section</w:t>
            </w:r>
          </w:p>
        </w:tc>
        <w:tc>
          <w:tcPr>
            <w:tcW w:type="dxa" w:w="7860"/>
            <w:shd w:fill="EADDE0"/>
            <w:vAlign w:val="center"/>
            <w:tcMar>
              <w:top w:w="80" w:type="dxa"/>
              <w:start w:w="120" w:type="dxa"/>
              <w:bottom w:w="80" w:type="dxa"/>
              <w:end w:w="120" w:type="dxa"/>
            </w:tcMar>
          </w:tcPr>
          <w:p>
            <w:pPr>
              <w:pStyle w:val="TableHeader"/>
              <w:keepLines/>
            </w:pPr>
            <w:r>
              <w:t>Question answered</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1–2</w:t>
            </w:r>
          </w:p>
        </w:tc>
        <w:tc>
          <w:tcPr>
            <w:tcW w:type="dxa" w:w="7860"/>
            <w:vAlign w:val="top"/>
            <w:tcMar>
              <w:top w:w="80" w:type="dxa"/>
              <w:start w:w="120" w:type="dxa"/>
              <w:bottom w:w="80" w:type="dxa"/>
              <w:end w:w="120" w:type="dxa"/>
            </w:tcMar>
          </w:tcPr>
          <w:p>
            <w:pPr>
              <w:pStyle w:val="TableText"/>
              <w:keepLines/>
            </w:pPr>
            <w:r>
              <w:rPr>
                <w:rFonts w:ascii="Calibri" w:hAnsi="Calibri"/>
                <w:color w:val="1F1F1F"/>
                <w:sz w:val="18"/>
              </w:rPr>
              <w:t>What is a Cardinal Rite, and which of its three scales is being discussed?</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3–4</w:t>
            </w:r>
          </w:p>
        </w:tc>
        <w:tc>
          <w:tcPr>
            <w:tcW w:type="dxa" w:w="7860"/>
            <w:vAlign w:val="top"/>
            <w:tcMar>
              <w:top w:w="80" w:type="dxa"/>
              <w:start w:w="120" w:type="dxa"/>
              <w:bottom w:w="80" w:type="dxa"/>
              <w:end w:w="120" w:type="dxa"/>
            </w:tcMar>
          </w:tcPr>
          <w:p>
            <w:pPr>
              <w:pStyle w:val="TableText"/>
              <w:keepLines/>
            </w:pPr>
            <w:r>
              <w:rPr>
                <w:rFonts w:ascii="Calibri" w:hAnsi="Calibri"/>
                <w:color w:val="1F1F1F"/>
                <w:sz w:val="18"/>
              </w:rPr>
              <w:t>How is a rite started, and what happens in every ceremony phase?</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5–7</w:t>
            </w:r>
          </w:p>
        </w:tc>
        <w:tc>
          <w:tcPr>
            <w:tcW w:type="dxa" w:w="7860"/>
            <w:vAlign w:val="top"/>
            <w:tcMar>
              <w:top w:w="80" w:type="dxa"/>
              <w:start w:w="120" w:type="dxa"/>
              <w:bottom w:w="80" w:type="dxa"/>
              <w:end w:w="120" w:type="dxa"/>
            </w:tcMar>
          </w:tcPr>
          <w:p>
            <w:pPr>
              <w:pStyle w:val="TableText"/>
              <w:keepLines/>
            </w:pPr>
            <w:r>
              <w:rPr>
                <w:rFonts w:ascii="Calibri" w:hAnsi="Calibri"/>
                <w:color w:val="1F1F1F"/>
                <w:sz w:val="18"/>
              </w:rPr>
              <w:t>How do blood, boundaries, instability, sigils, ordeals, and allies work?</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8–9</w:t>
            </w:r>
          </w:p>
        </w:tc>
        <w:tc>
          <w:tcPr>
            <w:tcW w:type="dxa" w:w="7860"/>
            <w:vAlign w:val="top"/>
            <w:tcMar>
              <w:top w:w="80" w:type="dxa"/>
              <w:start w:w="120" w:type="dxa"/>
              <w:bottom w:w="80" w:type="dxa"/>
              <w:end w:w="120" w:type="dxa"/>
            </w:tcMar>
          </w:tcPr>
          <w:p>
            <w:pPr>
              <w:pStyle w:val="TableText"/>
              <w:keepLines/>
            </w:pPr>
            <w:r>
              <w:rPr>
                <w:rFonts w:ascii="Calibri" w:hAnsi="Calibri"/>
                <w:color w:val="1F1F1F"/>
                <w:sz w:val="18"/>
              </w:rPr>
              <w:t>How do profession acts, failure, completion, persistence, and UI feedback work?</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10–11</w:t>
            </w:r>
          </w:p>
        </w:tc>
        <w:tc>
          <w:tcPr>
            <w:tcW w:type="dxa" w:w="7860"/>
            <w:vAlign w:val="top"/>
            <w:tcMar>
              <w:top w:w="80" w:type="dxa"/>
              <w:start w:w="120" w:type="dxa"/>
              <w:bottom w:w="80" w:type="dxa"/>
              <w:end w:w="120" w:type="dxa"/>
            </w:tcMar>
          </w:tcPr>
          <w:p>
            <w:pPr>
              <w:pStyle w:val="TableText"/>
              <w:keepLines/>
            </w:pPr>
            <w:r>
              <w:rPr>
                <w:rFonts w:ascii="Calibri" w:hAnsi="Calibri"/>
                <w:color w:val="1F1F1F"/>
                <w:sz w:val="18"/>
              </w:rPr>
              <w:t>How are ceremonies and data authored, and how does the Unstained branch differ?</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12–13</w:t>
            </w:r>
          </w:p>
        </w:tc>
        <w:tc>
          <w:tcPr>
            <w:tcW w:type="dxa" w:w="7860"/>
            <w:vAlign w:val="top"/>
            <w:tcMar>
              <w:top w:w="80" w:type="dxa"/>
              <w:start w:w="120" w:type="dxa"/>
              <w:bottom w:w="80" w:type="dxa"/>
              <w:end w:w="120" w:type="dxa"/>
            </w:tcMar>
          </w:tcPr>
          <w:p>
            <w:pPr>
              <w:pStyle w:val="TableText"/>
              <w:keepLines/>
            </w:pPr>
            <w:r>
              <w:rPr>
                <w:rFonts w:ascii="Calibri" w:hAnsi="Calibri"/>
                <w:color w:val="1F1F1F"/>
                <w:sz w:val="18"/>
              </w:rPr>
              <w:t>Which rites and sigils currently ship, and how can the system be explained quickly?</w:t>
            </w:r>
          </w:p>
        </w:tc>
      </w:tr>
    </w:tbl>
    <w:p>
      <w:pPr>
        <w:widowControl/>
        <w:spacing w:after="0"/>
      </w:pPr>
    </w:p>
    <w:p>
      <w:pPr>
        <w:pStyle w:val="Heading1"/>
        <w:keepNext/>
        <w:widowControl/>
      </w:pPr>
      <w:r>
        <w:t>1. What the Cardinal Rite system is</w:t>
      </w:r>
    </w:p>
    <w:p>
      <w:pPr>
        <w:widowControl/>
      </w:pPr>
      <w:r>
        <w:t>Cardinal Rites are recipe-backed multiblock rituals. Every recipe supplies a structure, a form, a progression requirement, a name and purpose, and a completion result or world effect. The recipe family serves two related but mechanically distinct paths.</w:t>
      </w:r>
    </w:p>
    <w:tbl>
      <w:tblPr>
        <w:tblStyle w:val="TableGrid"/>
        <w:tblW w:type="dxa" w:w="9360"/>
        <w:jc w:val="left"/>
        <w:tblLayout w:type="fixed"/>
        <w:tblLook w:firstColumn="1" w:firstRow="1" w:lastColumn="0" w:lastRow="0" w:noHBand="0" w:noVBand="1" w:val="04A0"/>
        <w:tblInd w:w="120" w:type="dxa"/>
      </w:tblPr>
      <w:tblGrid>
        <w:gridCol w:w="1450"/>
        <w:gridCol w:w="3150"/>
        <w:gridCol w:w="4760"/>
      </w:tblGrid>
      <w:tr>
        <w:trPr>
          <w:tblHeader w:val="true"/>
        </w:trPr>
        <w:tc>
          <w:tcPr>
            <w:tcW w:type="dxa" w:w="1450"/>
            <w:shd w:fill="EADDE0"/>
            <w:vAlign w:val="center"/>
            <w:tcMar>
              <w:top w:w="80" w:type="dxa"/>
              <w:start w:w="120" w:type="dxa"/>
              <w:bottom w:w="80" w:type="dxa"/>
              <w:end w:w="120" w:type="dxa"/>
            </w:tcMar>
          </w:tcPr>
          <w:p>
            <w:pPr>
              <w:pStyle w:val="TableHeader"/>
              <w:keepLines/>
            </w:pPr>
            <w:r>
              <w:t>Branch</w:t>
            </w:r>
          </w:p>
        </w:tc>
        <w:tc>
          <w:tcPr>
            <w:tcW w:type="dxa" w:w="3150"/>
            <w:shd w:fill="EADDE0"/>
            <w:vAlign w:val="center"/>
            <w:tcMar>
              <w:top w:w="80" w:type="dxa"/>
              <w:start w:w="120" w:type="dxa"/>
              <w:bottom w:w="80" w:type="dxa"/>
              <w:end w:w="120" w:type="dxa"/>
            </w:tcMar>
          </w:tcPr>
          <w:p>
            <w:pPr>
              <w:pStyle w:val="TableHeader"/>
              <w:keepLines/>
            </w:pPr>
            <w:r>
              <w:t>Activation and resolution</w:t>
            </w:r>
          </w:p>
        </w:tc>
        <w:tc>
          <w:tcPr>
            <w:tcW w:type="dxa" w:w="4760"/>
            <w:shd w:fill="EADDE0"/>
            <w:vAlign w:val="center"/>
            <w:tcMar>
              <w:top w:w="80" w:type="dxa"/>
              <w:start w:w="120" w:type="dxa"/>
              <w:bottom w:w="80" w:type="dxa"/>
              <w:end w:w="120" w:type="dxa"/>
            </w:tcMar>
          </w:tcPr>
          <w:p>
            <w:pPr>
              <w:pStyle w:val="TableHeader"/>
              <w:keepLines/>
            </w:pPr>
            <w:r>
              <w:t>Modern ceremony features</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8"/>
              </w:rPr>
              <w:t>Harbinger</w:t>
            </w:r>
          </w:p>
        </w:tc>
        <w:tc>
          <w:tcPr>
            <w:tcW w:type="dxa" w:w="3150"/>
            <w:vAlign w:val="top"/>
            <w:tcMar>
              <w:top w:w="80" w:type="dxa"/>
              <w:start w:w="120" w:type="dxa"/>
              <w:bottom w:w="80" w:type="dxa"/>
              <w:end w:w="120" w:type="dxa"/>
            </w:tcMar>
          </w:tcPr>
          <w:p>
            <w:pPr>
              <w:pStyle w:val="TableText"/>
              <w:keepLines/>
            </w:pPr>
            <w:r>
              <w:rPr>
                <w:rFonts w:ascii="Calibri" w:hAnsi="Calibri"/>
                <w:color w:val="1F1F1F"/>
                <w:sz w:val="18"/>
              </w:rPr>
              <w:t>Degree 0 uses a Sanguine Formation on the central activation block; later rites use a Living Staff.</w:t>
            </w:r>
          </w:p>
        </w:tc>
        <w:tc>
          <w:tcPr>
            <w:tcW w:type="dxa" w:w="4760"/>
            <w:vAlign w:val="top"/>
            <w:tcMar>
              <w:top w:w="80" w:type="dxa"/>
              <w:start w:w="120" w:type="dxa"/>
              <w:bottom w:w="80" w:type="dxa"/>
              <w:end w:w="120" w:type="dxa"/>
            </w:tcMar>
          </w:tcPr>
          <w:p>
            <w:pPr>
              <w:pStyle w:val="TableText"/>
              <w:keepLines/>
            </w:pPr>
            <w:r>
              <w:rPr>
                <w:rFonts w:ascii="Calibri" w:hAnsi="Calibri"/>
                <w:color w:val="1F1F1F"/>
                <w:sz w:val="18"/>
              </w:rPr>
              <w:t>Consecration, boundary rings, daemon sealing, optional support sigils, ordeals, allies, instability, still interval, and rank professions.</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8"/>
              </w:rPr>
              <w:t>Unstained</w:t>
            </w:r>
          </w:p>
        </w:tc>
        <w:tc>
          <w:tcPr>
            <w:tcW w:type="dxa" w:w="3150"/>
            <w:vAlign w:val="top"/>
            <w:tcMar>
              <w:top w:w="80" w:type="dxa"/>
              <w:start w:w="120" w:type="dxa"/>
              <w:bottom w:w="80" w:type="dxa"/>
              <w:end w:w="120" w:type="dxa"/>
            </w:tcMar>
          </w:tcPr>
          <w:p>
            <w:pPr>
              <w:pStyle w:val="TableText"/>
              <w:keepLines/>
            </w:pPr>
            <w:r>
              <w:rPr>
                <w:rFonts w:ascii="Calibri" w:hAnsi="Calibri"/>
                <w:color w:val="1F1F1F"/>
                <w:sz w:val="18"/>
              </w:rPr>
              <w:t>Uses the Blood Crafting key and resolves through the retained countdown model.</w:t>
            </w:r>
          </w:p>
        </w:tc>
        <w:tc>
          <w:tcPr>
            <w:tcW w:type="dxa" w:w="4760"/>
            <w:vAlign w:val="top"/>
            <w:tcMar>
              <w:top w:w="80" w:type="dxa"/>
              <w:start w:w="120" w:type="dxa"/>
              <w:bottom w:w="80" w:type="dxa"/>
              <w:end w:w="120" w:type="dxa"/>
            </w:tcMar>
          </w:tcPr>
          <w:p>
            <w:pPr>
              <w:pStyle w:val="TableText"/>
              <w:keepLines/>
            </w:pPr>
            <w:r>
              <w:rPr>
                <w:rFonts w:ascii="Calibri" w:hAnsi="Calibri"/>
                <w:color w:val="1F1F1F"/>
                <w:sz w:val="18"/>
              </w:rPr>
              <w:t>Does not currently use the interactive Harbinger ceremony loop; purity, clarity, wards, cleansing, and domains are handled at completion.</w:t>
            </w:r>
          </w:p>
        </w:tc>
      </w:tr>
    </w:tbl>
    <w:p>
      <w:pPr>
        <w:widowControl/>
        <w:spacing w:after="0"/>
      </w:pPr>
    </w:p>
    <w:p>
      <w:pPr>
        <w:pStyle w:val="Callout"/>
        <w:spacing w:before="80" w:after="140"/>
        <w:ind w:left="173" w:right="173"/>
        <w:shd w:fill="F2F4F7"/>
        <w:widowControl/>
        <w:pBdr>
          <w:left w:val="single" w:sz="18" w:space="6" w:color="711626"/>
        </w:pBdr>
      </w:pPr>
      <w:r>
        <w:rPr>
          <w:rFonts w:ascii="Calibri" w:hAnsi="Calibri"/>
          <w:b/>
          <w:color w:val="711626"/>
          <w:sz w:val="21"/>
        </w:rPr>
        <w:t xml:space="preserve">SCOPE NOTE  </w:t>
      </w:r>
      <w:r>
        <w:rPr>
          <w:rFonts w:ascii="Calibri" w:hAnsi="Calibri"/>
          <w:color w:val="4B0C18"/>
          <w:sz w:val="21"/>
        </w:rPr>
        <w:t>When this guide says “modern ceremony,” it means an interactive Harbinger rite. Unstained rites remain Cardinal Rite recipes, but they are intentionally described as a parallel branch.</w:t>
      </w:r>
    </w:p>
    <w:p>
      <w:pPr>
        <w:pStyle w:val="Heading1"/>
        <w:keepNext/>
        <w:widowControl/>
      </w:pPr>
      <w:r>
        <w:t>2. The three scales: form, degree, and sigil tier</w:t>
      </w:r>
    </w:p>
    <w:p>
      <w:pPr>
        <w:widowControl/>
      </w:pPr>
      <w:r>
        <w:t>These values sound similar but control different things. A Grand rite is not automatically an Eighth Degree ceremony, and a tier-five sigil does not define the rite’s form.</w:t>
      </w:r>
    </w:p>
    <w:tbl>
      <w:tblPr>
        <w:tblStyle w:val="TableGrid"/>
        <w:tblW w:type="dxa" w:w="9360"/>
        <w:jc w:val="left"/>
        <w:tblLayout w:type="fixed"/>
        <w:tblLook w:firstColumn="1" w:firstRow="1" w:lastColumn="0" w:lastRow="0" w:noHBand="0" w:noVBand="1" w:val="04A0"/>
        <w:tblInd w:w="120" w:type="dxa"/>
      </w:tblPr>
      <w:tblGrid>
        <w:gridCol w:w="1700"/>
        <w:gridCol w:w="1950"/>
        <w:gridCol w:w="5710"/>
      </w:tblGrid>
      <w:tr>
        <w:trPr>
          <w:tblHeader w:val="true"/>
        </w:trPr>
        <w:tc>
          <w:tcPr>
            <w:tcW w:type="dxa" w:w="1700"/>
            <w:shd w:fill="EADDE0"/>
            <w:vAlign w:val="center"/>
            <w:tcMar>
              <w:top w:w="80" w:type="dxa"/>
              <w:start w:w="120" w:type="dxa"/>
              <w:bottom w:w="80" w:type="dxa"/>
              <w:end w:w="120" w:type="dxa"/>
            </w:tcMar>
          </w:tcPr>
          <w:p>
            <w:pPr>
              <w:pStyle w:val="TableHeader"/>
              <w:keepLines/>
            </w:pPr>
            <w:r>
              <w:t>Scale</w:t>
            </w:r>
          </w:p>
        </w:tc>
        <w:tc>
          <w:tcPr>
            <w:tcW w:type="dxa" w:w="1950"/>
            <w:shd w:fill="EADDE0"/>
            <w:vAlign w:val="center"/>
            <w:tcMar>
              <w:top w:w="80" w:type="dxa"/>
              <w:start w:w="120" w:type="dxa"/>
              <w:bottom w:w="80" w:type="dxa"/>
              <w:end w:w="120" w:type="dxa"/>
            </w:tcMar>
          </w:tcPr>
          <w:p>
            <w:pPr>
              <w:pStyle w:val="TableHeader"/>
              <w:keepLines/>
            </w:pPr>
            <w:r>
              <w:t>Range</w:t>
            </w:r>
          </w:p>
        </w:tc>
        <w:tc>
          <w:tcPr>
            <w:tcW w:type="dxa" w:w="5710"/>
            <w:shd w:fill="EADDE0"/>
            <w:vAlign w:val="center"/>
            <w:tcMar>
              <w:top w:w="80" w:type="dxa"/>
              <w:start w:w="120" w:type="dxa"/>
              <w:bottom w:w="80" w:type="dxa"/>
              <w:end w:w="120" w:type="dxa"/>
            </w:tcMar>
          </w:tcPr>
          <w:p>
            <w:pPr>
              <w:pStyle w:val="TableHeader"/>
              <w:keepLines/>
            </w:pPr>
            <w:r>
              <w:t>Controls</w:t>
            </w:r>
          </w:p>
        </w:tc>
      </w:tr>
      <w:tr>
        <w:tc>
          <w:tcPr>
            <w:tcW w:type="dxa" w:w="1700"/>
            <w:vAlign w:val="top"/>
            <w:tcMar>
              <w:top w:w="80" w:type="dxa"/>
              <w:start w:w="120" w:type="dxa"/>
              <w:bottom w:w="80" w:type="dxa"/>
              <w:end w:w="120" w:type="dxa"/>
            </w:tcMar>
          </w:tcPr>
          <w:p>
            <w:pPr>
              <w:pStyle w:val="TableText"/>
              <w:keepLines/>
            </w:pPr>
            <w:r>
              <w:rPr>
                <w:rFonts w:ascii="Calibri" w:hAnsi="Calibri"/>
                <w:color w:val="1F1F1F"/>
                <w:sz w:val="18"/>
              </w:rPr>
              <w:t>Rite form</w:t>
            </w:r>
          </w:p>
        </w:tc>
        <w:tc>
          <w:tcPr>
            <w:tcW w:type="dxa" w:w="1950"/>
            <w:vAlign w:val="top"/>
            <w:tcMar>
              <w:top w:w="80" w:type="dxa"/>
              <w:start w:w="120" w:type="dxa"/>
              <w:bottom w:w="80" w:type="dxa"/>
              <w:end w:w="120" w:type="dxa"/>
            </w:tcMar>
          </w:tcPr>
          <w:p>
            <w:pPr>
              <w:pStyle w:val="TableText"/>
              <w:keepLines/>
            </w:pPr>
            <w:r>
              <w:rPr>
                <w:rFonts w:ascii="Calibri" w:hAnsi="Calibri"/>
                <w:color w:val="1F1F1F"/>
                <w:sz w:val="18"/>
              </w:rPr>
              <w:t>Minor, Lesser, Greater, Grand</w:t>
            </w:r>
          </w:p>
        </w:tc>
        <w:tc>
          <w:tcPr>
            <w:tcW w:type="dxa" w:w="5710"/>
            <w:vAlign w:val="top"/>
            <w:tcMar>
              <w:top w:w="80" w:type="dxa"/>
              <w:start w:w="120" w:type="dxa"/>
              <w:bottom w:w="80" w:type="dxa"/>
              <w:end w:w="120" w:type="dxa"/>
            </w:tcMar>
          </w:tcPr>
          <w:p>
            <w:pPr>
              <w:pStyle w:val="TableText"/>
              <w:keepLines/>
            </w:pPr>
            <w:r>
              <w:rPr>
                <w:rFonts w:ascii="Calibri" w:hAnsi="Calibri"/>
                <w:color w:val="1F1F1F"/>
                <w:sz w:val="18"/>
              </w:rPr>
              <w:t>Recipe footprint class, full-profile wave count, still-interval length, passive anchor decay, collapse backlash, and the old countdown duration.</w:t>
            </w:r>
          </w:p>
        </w:tc>
      </w:tr>
      <w:tr>
        <w:tc>
          <w:tcPr>
            <w:tcW w:type="dxa" w:w="1700"/>
            <w:vAlign w:val="top"/>
            <w:tcMar>
              <w:top w:w="80" w:type="dxa"/>
              <w:start w:w="120" w:type="dxa"/>
              <w:bottom w:w="80" w:type="dxa"/>
              <w:end w:w="120" w:type="dxa"/>
            </w:tcMar>
          </w:tcPr>
          <w:p>
            <w:pPr>
              <w:pStyle w:val="TableText"/>
              <w:keepLines/>
            </w:pPr>
            <w:r>
              <w:rPr>
                <w:rFonts w:ascii="Calibri" w:hAnsi="Calibri"/>
                <w:color w:val="1F1F1F"/>
                <w:sz w:val="18"/>
              </w:rPr>
              <w:t>Ceremony degree</w:t>
            </w:r>
          </w:p>
        </w:tc>
        <w:tc>
          <w:tcPr>
            <w:tcW w:type="dxa" w:w="1950"/>
            <w:vAlign w:val="top"/>
            <w:tcMar>
              <w:top w:w="80" w:type="dxa"/>
              <w:start w:w="120" w:type="dxa"/>
              <w:bottom w:w="80" w:type="dxa"/>
              <w:end w:w="120" w:type="dxa"/>
            </w:tcMar>
          </w:tcPr>
          <w:p>
            <w:pPr>
              <w:pStyle w:val="TableText"/>
              <w:keepLines/>
            </w:pPr>
            <w:r>
              <w:rPr>
                <w:rFonts w:ascii="Calibri" w:hAnsi="Calibri"/>
                <w:color w:val="1F1F1F"/>
                <w:sz w:val="18"/>
              </w:rPr>
              <w:t>1–8 rings</w:t>
            </w:r>
          </w:p>
        </w:tc>
        <w:tc>
          <w:tcPr>
            <w:tcW w:type="dxa" w:w="5710"/>
            <w:vAlign w:val="top"/>
            <w:tcMar>
              <w:top w:w="80" w:type="dxa"/>
              <w:start w:w="120" w:type="dxa"/>
              <w:bottom w:w="80" w:type="dxa"/>
              <w:end w:w="120" w:type="dxa"/>
            </w:tcMar>
          </w:tcPr>
          <w:p>
            <w:pPr>
              <w:pStyle w:val="TableText"/>
              <w:keepLines/>
            </w:pPr>
            <w:r>
              <w:rPr>
                <w:rFonts w:ascii="Calibri" w:hAnsi="Calibri"/>
                <w:color w:val="1F1F1F"/>
                <w:sz w:val="18"/>
              </w:rPr>
              <w:t>Interactive anchor count, mandatory anchor blood, ally quota, profession severity, and threat count. Rank rites use the target degree; utility rites use form + 1.</w:t>
            </w:r>
          </w:p>
        </w:tc>
      </w:tr>
      <w:tr>
        <w:tc>
          <w:tcPr>
            <w:tcW w:type="dxa" w:w="1700"/>
            <w:vAlign w:val="top"/>
            <w:tcMar>
              <w:top w:w="80" w:type="dxa"/>
              <w:start w:w="120" w:type="dxa"/>
              <w:bottom w:w="80" w:type="dxa"/>
              <w:end w:w="120" w:type="dxa"/>
            </w:tcMar>
          </w:tcPr>
          <w:p>
            <w:pPr>
              <w:pStyle w:val="TableText"/>
              <w:keepLines/>
            </w:pPr>
            <w:r>
              <w:rPr>
                <w:rFonts w:ascii="Calibri" w:hAnsi="Calibri"/>
                <w:color w:val="1F1F1F"/>
                <w:sz w:val="18"/>
              </w:rPr>
              <w:t>Ichorian tier</w:t>
            </w:r>
          </w:p>
        </w:tc>
        <w:tc>
          <w:tcPr>
            <w:tcW w:type="dxa" w:w="1950"/>
            <w:vAlign w:val="top"/>
            <w:tcMar>
              <w:top w:w="80" w:type="dxa"/>
              <w:start w:w="120" w:type="dxa"/>
              <w:bottom w:w="80" w:type="dxa"/>
              <w:end w:w="120" w:type="dxa"/>
            </w:tcMar>
          </w:tcPr>
          <w:p>
            <w:pPr>
              <w:pStyle w:val="TableText"/>
              <w:keepLines/>
            </w:pPr>
            <w:r>
              <w:rPr>
                <w:rFonts w:ascii="Calibri" w:hAnsi="Calibri"/>
                <w:color w:val="1F1F1F"/>
                <w:sz w:val="18"/>
              </w:rPr>
              <w:t>1–5</w:t>
            </w:r>
          </w:p>
        </w:tc>
        <w:tc>
          <w:tcPr>
            <w:tcW w:type="dxa" w:w="5710"/>
            <w:vAlign w:val="top"/>
            <w:tcMar>
              <w:top w:w="80" w:type="dxa"/>
              <w:start w:w="120" w:type="dxa"/>
              <w:bottom w:w="80" w:type="dxa"/>
              <w:end w:w="120" w:type="dxa"/>
            </w:tcMar>
          </w:tcPr>
          <w:p>
            <w:pPr>
              <w:pStyle w:val="TableText"/>
              <w:keepLines/>
            </w:pPr>
            <w:r>
              <w:rPr>
                <w:rFonts w:ascii="Calibri" w:hAnsi="Calibri"/>
                <w:color w:val="1F1F1F"/>
                <w:sz w:val="18"/>
              </w:rPr>
              <w:t>Sigil complexity and awakened body scale. Current living forms range from roughly 0.8 blocks at tier one to 1.6 blocks at tier five.</w:t>
            </w:r>
          </w:p>
        </w:tc>
      </w:tr>
    </w:tbl>
    <w:p>
      <w:pPr>
        <w:widowControl/>
        <w:spacing w:after="0"/>
      </w:pPr>
    </w:p>
    <w:p>
      <w:pPr>
        <w:pStyle w:val="Heading2"/>
        <w:keepNext/>
        <w:widowControl/>
      </w:pPr>
      <w:r>
        <w:t>Rite form tuning</w:t>
      </w:r>
    </w:p>
    <w:tbl>
      <w:tblPr>
        <w:tblStyle w:val="TableGrid"/>
        <w:tblW w:type="dxa" w:w="9360"/>
        <w:jc w:val="left"/>
        <w:tblLayout w:type="fixed"/>
        <w:tblLook w:firstColumn="1" w:firstRow="1" w:lastColumn="0" w:lastRow="0" w:noHBand="0" w:noVBand="1" w:val="04A0"/>
        <w:tblInd w:w="120" w:type="dxa"/>
      </w:tblPr>
      <w:tblGrid>
        <w:gridCol w:w="900"/>
        <w:gridCol w:w="900"/>
        <w:gridCol w:w="1800"/>
        <w:gridCol w:w="1250"/>
        <w:gridCol w:w="1000"/>
        <w:gridCol w:w="900"/>
        <w:gridCol w:w="2610"/>
      </w:tblGrid>
      <w:tr>
        <w:trPr>
          <w:tblHeader w:val="true"/>
        </w:trPr>
        <w:tc>
          <w:tcPr>
            <w:tcW w:type="dxa" w:w="900"/>
            <w:shd w:fill="EADDE0"/>
            <w:vAlign w:val="center"/>
            <w:tcMar>
              <w:top w:w="80" w:type="dxa"/>
              <w:start w:w="120" w:type="dxa"/>
              <w:bottom w:w="80" w:type="dxa"/>
              <w:end w:w="120" w:type="dxa"/>
            </w:tcMar>
          </w:tcPr>
          <w:p>
            <w:pPr>
              <w:pStyle w:val="TableHeader"/>
              <w:keepLines/>
            </w:pPr>
            <w:r>
              <w:t>Form</w:t>
            </w:r>
          </w:p>
        </w:tc>
        <w:tc>
          <w:tcPr>
            <w:tcW w:type="dxa" w:w="900"/>
            <w:shd w:fill="EADDE0"/>
            <w:vAlign w:val="center"/>
            <w:tcMar>
              <w:top w:w="80" w:type="dxa"/>
              <w:start w:w="120" w:type="dxa"/>
              <w:bottom w:w="80" w:type="dxa"/>
              <w:end w:w="120" w:type="dxa"/>
            </w:tcMar>
          </w:tcPr>
          <w:p>
            <w:pPr>
              <w:pStyle w:val="TableHeader"/>
              <w:keepLines/>
            </w:pPr>
            <w:r>
              <w:t>Pattern</w:t>
            </w:r>
          </w:p>
        </w:tc>
        <w:tc>
          <w:tcPr>
            <w:tcW w:type="dxa" w:w="1800"/>
            <w:shd w:fill="EADDE0"/>
            <w:vAlign w:val="center"/>
            <w:tcMar>
              <w:top w:w="80" w:type="dxa"/>
              <w:start w:w="120" w:type="dxa"/>
              <w:bottom w:w="80" w:type="dxa"/>
              <w:end w:w="120" w:type="dxa"/>
            </w:tcMar>
          </w:tcPr>
          <w:p>
            <w:pPr>
              <w:pStyle w:val="TableHeader"/>
              <w:keepLines/>
            </w:pPr>
            <w:r>
              <w:t>Utility rings / anchors</w:t>
            </w:r>
          </w:p>
        </w:tc>
        <w:tc>
          <w:tcPr>
            <w:tcW w:type="dxa" w:w="1250"/>
            <w:shd w:fill="EADDE0"/>
            <w:vAlign w:val="center"/>
            <w:tcMar>
              <w:top w:w="80" w:type="dxa"/>
              <w:start w:w="120" w:type="dxa"/>
              <w:bottom w:w="80" w:type="dxa"/>
              <w:end w:w="120" w:type="dxa"/>
            </w:tcMar>
          </w:tcPr>
          <w:p>
            <w:pPr>
              <w:pStyle w:val="TableHeader"/>
              <w:keepLines/>
            </w:pPr>
            <w:r>
              <w:t>Boundary blood</w:t>
            </w:r>
          </w:p>
        </w:tc>
        <w:tc>
          <w:tcPr>
            <w:tcW w:type="dxa" w:w="1000"/>
            <w:shd w:fill="EADDE0"/>
            <w:vAlign w:val="center"/>
            <w:tcMar>
              <w:top w:w="80" w:type="dxa"/>
              <w:start w:w="120" w:type="dxa"/>
              <w:bottom w:w="80" w:type="dxa"/>
              <w:end w:w="120" w:type="dxa"/>
            </w:tcMar>
          </w:tcPr>
          <w:p>
            <w:pPr>
              <w:pStyle w:val="TableHeader"/>
              <w:keepLines/>
            </w:pPr>
            <w:r>
              <w:t>Full waves</w:t>
            </w:r>
          </w:p>
        </w:tc>
        <w:tc>
          <w:tcPr>
            <w:tcW w:type="dxa" w:w="900"/>
            <w:shd w:fill="EADDE0"/>
            <w:vAlign w:val="center"/>
            <w:tcMar>
              <w:top w:w="80" w:type="dxa"/>
              <w:start w:w="120" w:type="dxa"/>
              <w:bottom w:w="80" w:type="dxa"/>
              <w:end w:w="120" w:type="dxa"/>
            </w:tcMar>
          </w:tcPr>
          <w:p>
            <w:pPr>
              <w:pStyle w:val="TableHeader"/>
              <w:keepLines/>
            </w:pPr>
            <w:r>
              <w:t>Still</w:t>
            </w:r>
          </w:p>
        </w:tc>
        <w:tc>
          <w:tcPr>
            <w:tcW w:type="dxa" w:w="2610"/>
            <w:shd w:fill="EADDE0"/>
            <w:vAlign w:val="center"/>
            <w:tcMar>
              <w:top w:w="80" w:type="dxa"/>
              <w:start w:w="120" w:type="dxa"/>
              <w:bottom w:w="80" w:type="dxa"/>
              <w:end w:w="120" w:type="dxa"/>
            </w:tcMar>
          </w:tcPr>
          <w:p>
            <w:pPr>
              <w:pStyle w:val="TableHeader"/>
              <w:keepLines/>
            </w:pPr>
            <w:r>
              <w:t>Decay</w:t>
            </w:r>
          </w:p>
        </w:tc>
      </w:tr>
      <w:tr>
        <w:tc>
          <w:tcPr>
            <w:tcW w:type="dxa" w:w="900"/>
            <w:vAlign w:val="top"/>
            <w:tcMar>
              <w:top w:w="80" w:type="dxa"/>
              <w:start w:w="120" w:type="dxa"/>
              <w:bottom w:w="80" w:type="dxa"/>
              <w:end w:w="120" w:type="dxa"/>
            </w:tcMar>
          </w:tcPr>
          <w:p>
            <w:pPr>
              <w:pStyle w:val="TableText"/>
              <w:keepLines/>
            </w:pPr>
            <w:r>
              <w:rPr>
                <w:rFonts w:ascii="Calibri" w:hAnsi="Calibri"/>
                <w:color w:val="1F1F1F"/>
                <w:sz w:val="17"/>
              </w:rPr>
              <w:t>Minor</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3 x 3</w:t>
            </w:r>
          </w:p>
        </w:tc>
        <w:tc>
          <w:tcPr>
            <w:tcW w:type="dxa" w:w="1800"/>
            <w:vAlign w:val="top"/>
            <w:tcMar>
              <w:top w:w="80" w:type="dxa"/>
              <w:start w:w="120" w:type="dxa"/>
              <w:bottom w:w="80" w:type="dxa"/>
              <w:end w:w="120" w:type="dxa"/>
            </w:tcMar>
          </w:tcPr>
          <w:p>
            <w:pPr>
              <w:pStyle w:val="TableText"/>
              <w:keepLines/>
            </w:pPr>
            <w:r>
              <w:rPr>
                <w:rFonts w:ascii="Calibri" w:hAnsi="Calibri"/>
                <w:color w:val="1F1F1F"/>
                <w:sz w:val="17"/>
              </w:rPr>
              <w:t>1 / 4</w:t>
            </w:r>
          </w:p>
        </w:tc>
        <w:tc>
          <w:tcPr>
            <w:tcW w:type="dxa" w:w="1250"/>
            <w:vAlign w:val="top"/>
            <w:tcMar>
              <w:top w:w="80" w:type="dxa"/>
              <w:start w:w="120" w:type="dxa"/>
              <w:bottom w:w="80" w:type="dxa"/>
              <w:end w:w="120" w:type="dxa"/>
            </w:tcMar>
          </w:tcPr>
          <w:p>
            <w:pPr>
              <w:pStyle w:val="TableText"/>
              <w:keepLines/>
            </w:pPr>
            <w:r>
              <w:rPr>
                <w:rFonts w:ascii="Calibri" w:hAnsi="Calibri"/>
                <w:color w:val="1F1F1F"/>
                <w:sz w:val="17"/>
              </w:rPr>
              <w:t>200 ml</w:t>
            </w:r>
          </w:p>
        </w:tc>
        <w:tc>
          <w:tcPr>
            <w:tcW w:type="dxa" w:w="1000"/>
            <w:vAlign w:val="top"/>
            <w:tcMar>
              <w:top w:w="80" w:type="dxa"/>
              <w:start w:w="120" w:type="dxa"/>
              <w:bottom w:w="80" w:type="dxa"/>
              <w:end w:w="120" w:type="dxa"/>
            </w:tcMar>
          </w:tcPr>
          <w:p>
            <w:pPr>
              <w:pStyle w:val="TableText"/>
              <w:keepLines/>
            </w:pPr>
            <w:r>
              <w:rPr>
                <w:rFonts w:ascii="Calibri" w:hAnsi="Calibri"/>
                <w:color w:val="1F1F1F"/>
                <w:sz w:val="17"/>
              </w:rPr>
              <w:t>2</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10 s</w:t>
            </w:r>
          </w:p>
        </w:tc>
        <w:tc>
          <w:tcPr>
            <w:tcW w:type="dxa" w:w="2610"/>
            <w:vAlign w:val="top"/>
            <w:tcMar>
              <w:top w:w="80" w:type="dxa"/>
              <w:start w:w="120" w:type="dxa"/>
              <w:bottom w:w="80" w:type="dxa"/>
              <w:end w:w="120" w:type="dxa"/>
            </w:tcMar>
          </w:tcPr>
          <w:p>
            <w:pPr>
              <w:pStyle w:val="TableText"/>
              <w:keepLines/>
            </w:pPr>
            <w:r>
              <w:rPr>
                <w:rFonts w:ascii="Calibri" w:hAnsi="Calibri"/>
                <w:color w:val="1F1F1F"/>
                <w:sz w:val="17"/>
              </w:rPr>
              <w:t>0 ml/s</w:t>
            </w:r>
          </w:p>
        </w:tc>
      </w:tr>
      <w:tr>
        <w:tc>
          <w:tcPr>
            <w:tcW w:type="dxa" w:w="900"/>
            <w:vAlign w:val="top"/>
            <w:tcMar>
              <w:top w:w="80" w:type="dxa"/>
              <w:start w:w="120" w:type="dxa"/>
              <w:bottom w:w="80" w:type="dxa"/>
              <w:end w:w="120" w:type="dxa"/>
            </w:tcMar>
          </w:tcPr>
          <w:p>
            <w:pPr>
              <w:pStyle w:val="TableText"/>
              <w:keepLines/>
            </w:pPr>
            <w:r>
              <w:rPr>
                <w:rFonts w:ascii="Calibri" w:hAnsi="Calibri"/>
                <w:color w:val="1F1F1F"/>
                <w:sz w:val="17"/>
              </w:rPr>
              <w:t>Lesser</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5 x 5</w:t>
            </w:r>
          </w:p>
        </w:tc>
        <w:tc>
          <w:tcPr>
            <w:tcW w:type="dxa" w:w="1800"/>
            <w:vAlign w:val="top"/>
            <w:tcMar>
              <w:top w:w="80" w:type="dxa"/>
              <w:start w:w="120" w:type="dxa"/>
              <w:bottom w:w="80" w:type="dxa"/>
              <w:end w:w="120" w:type="dxa"/>
            </w:tcMar>
          </w:tcPr>
          <w:p>
            <w:pPr>
              <w:pStyle w:val="TableText"/>
              <w:keepLines/>
            </w:pPr>
            <w:r>
              <w:rPr>
                <w:rFonts w:ascii="Calibri" w:hAnsi="Calibri"/>
                <w:color w:val="1F1F1F"/>
                <w:sz w:val="17"/>
              </w:rPr>
              <w:t>2 / 8</w:t>
            </w:r>
          </w:p>
        </w:tc>
        <w:tc>
          <w:tcPr>
            <w:tcW w:type="dxa" w:w="1250"/>
            <w:vAlign w:val="top"/>
            <w:tcMar>
              <w:top w:w="80" w:type="dxa"/>
              <w:start w:w="120" w:type="dxa"/>
              <w:bottom w:w="80" w:type="dxa"/>
              <w:end w:w="120" w:type="dxa"/>
            </w:tcMar>
          </w:tcPr>
          <w:p>
            <w:pPr>
              <w:pStyle w:val="TableText"/>
              <w:keepLines/>
            </w:pPr>
            <w:r>
              <w:rPr>
                <w:rFonts w:ascii="Calibri" w:hAnsi="Calibri"/>
                <w:color w:val="1F1F1F"/>
                <w:sz w:val="17"/>
              </w:rPr>
              <w:t>400 ml</w:t>
            </w:r>
          </w:p>
        </w:tc>
        <w:tc>
          <w:tcPr>
            <w:tcW w:type="dxa" w:w="1000"/>
            <w:vAlign w:val="top"/>
            <w:tcMar>
              <w:top w:w="80" w:type="dxa"/>
              <w:start w:w="120" w:type="dxa"/>
              <w:bottom w:w="80" w:type="dxa"/>
              <w:end w:w="120" w:type="dxa"/>
            </w:tcMar>
          </w:tcPr>
          <w:p>
            <w:pPr>
              <w:pStyle w:val="TableText"/>
              <w:keepLines/>
            </w:pPr>
            <w:r>
              <w:rPr>
                <w:rFonts w:ascii="Calibri" w:hAnsi="Calibri"/>
                <w:color w:val="1F1F1F"/>
                <w:sz w:val="17"/>
              </w:rPr>
              <w:t>3</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8 s</w:t>
            </w:r>
          </w:p>
        </w:tc>
        <w:tc>
          <w:tcPr>
            <w:tcW w:type="dxa" w:w="2610"/>
            <w:vAlign w:val="top"/>
            <w:tcMar>
              <w:top w:w="80" w:type="dxa"/>
              <w:start w:w="120" w:type="dxa"/>
              <w:bottom w:w="80" w:type="dxa"/>
              <w:end w:w="120" w:type="dxa"/>
            </w:tcMar>
          </w:tcPr>
          <w:p>
            <w:pPr>
              <w:pStyle w:val="TableText"/>
              <w:keepLines/>
            </w:pPr>
            <w:r>
              <w:rPr>
                <w:rFonts w:ascii="Calibri" w:hAnsi="Calibri"/>
                <w:color w:val="1F1F1F"/>
                <w:sz w:val="17"/>
              </w:rPr>
              <w:t>0.25 ml/s</w:t>
            </w:r>
          </w:p>
        </w:tc>
      </w:tr>
      <w:tr>
        <w:tc>
          <w:tcPr>
            <w:tcW w:type="dxa" w:w="900"/>
            <w:vAlign w:val="top"/>
            <w:tcMar>
              <w:top w:w="80" w:type="dxa"/>
              <w:start w:w="120" w:type="dxa"/>
              <w:bottom w:w="80" w:type="dxa"/>
              <w:end w:w="120" w:type="dxa"/>
            </w:tcMar>
          </w:tcPr>
          <w:p>
            <w:pPr>
              <w:pStyle w:val="TableText"/>
              <w:keepLines/>
            </w:pPr>
            <w:r>
              <w:rPr>
                <w:rFonts w:ascii="Calibri" w:hAnsi="Calibri"/>
                <w:color w:val="1F1F1F"/>
                <w:sz w:val="17"/>
              </w:rPr>
              <w:t>Greater</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7 x 7</w:t>
            </w:r>
          </w:p>
        </w:tc>
        <w:tc>
          <w:tcPr>
            <w:tcW w:type="dxa" w:w="1800"/>
            <w:vAlign w:val="top"/>
            <w:tcMar>
              <w:top w:w="80" w:type="dxa"/>
              <w:start w:w="120" w:type="dxa"/>
              <w:bottom w:w="80" w:type="dxa"/>
              <w:end w:w="120" w:type="dxa"/>
            </w:tcMar>
          </w:tcPr>
          <w:p>
            <w:pPr>
              <w:pStyle w:val="TableText"/>
              <w:keepLines/>
            </w:pPr>
            <w:r>
              <w:rPr>
                <w:rFonts w:ascii="Calibri" w:hAnsi="Calibri"/>
                <w:color w:val="1F1F1F"/>
                <w:sz w:val="17"/>
              </w:rPr>
              <w:t>3 / 12</w:t>
            </w:r>
          </w:p>
        </w:tc>
        <w:tc>
          <w:tcPr>
            <w:tcW w:type="dxa" w:w="1250"/>
            <w:vAlign w:val="top"/>
            <w:tcMar>
              <w:top w:w="80" w:type="dxa"/>
              <w:start w:w="120" w:type="dxa"/>
              <w:bottom w:w="80" w:type="dxa"/>
              <w:end w:w="120" w:type="dxa"/>
            </w:tcMar>
          </w:tcPr>
          <w:p>
            <w:pPr>
              <w:pStyle w:val="TableText"/>
              <w:keepLines/>
            </w:pPr>
            <w:r>
              <w:rPr>
                <w:rFonts w:ascii="Calibri" w:hAnsi="Calibri"/>
                <w:color w:val="1F1F1F"/>
                <w:sz w:val="17"/>
              </w:rPr>
              <w:t>600 ml</w:t>
            </w:r>
          </w:p>
        </w:tc>
        <w:tc>
          <w:tcPr>
            <w:tcW w:type="dxa" w:w="1000"/>
            <w:vAlign w:val="top"/>
            <w:tcMar>
              <w:top w:w="80" w:type="dxa"/>
              <w:start w:w="120" w:type="dxa"/>
              <w:bottom w:w="80" w:type="dxa"/>
              <w:end w:w="120" w:type="dxa"/>
            </w:tcMar>
          </w:tcPr>
          <w:p>
            <w:pPr>
              <w:pStyle w:val="TableText"/>
              <w:keepLines/>
            </w:pPr>
            <w:r>
              <w:rPr>
                <w:rFonts w:ascii="Calibri" w:hAnsi="Calibri"/>
                <w:color w:val="1F1F1F"/>
                <w:sz w:val="17"/>
              </w:rPr>
              <w:t>4</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6 s</w:t>
            </w:r>
          </w:p>
        </w:tc>
        <w:tc>
          <w:tcPr>
            <w:tcW w:type="dxa" w:w="2610"/>
            <w:vAlign w:val="top"/>
            <w:tcMar>
              <w:top w:w="80" w:type="dxa"/>
              <w:start w:w="120" w:type="dxa"/>
              <w:bottom w:w="80" w:type="dxa"/>
              <w:end w:w="120" w:type="dxa"/>
            </w:tcMar>
          </w:tcPr>
          <w:p>
            <w:pPr>
              <w:pStyle w:val="TableText"/>
              <w:keepLines/>
            </w:pPr>
            <w:r>
              <w:rPr>
                <w:rFonts w:ascii="Calibri" w:hAnsi="Calibri"/>
                <w:color w:val="1F1F1F"/>
                <w:sz w:val="17"/>
              </w:rPr>
              <w:t>0.5 ml/s</w:t>
            </w:r>
          </w:p>
        </w:tc>
      </w:tr>
      <w:tr>
        <w:tc>
          <w:tcPr>
            <w:tcW w:type="dxa" w:w="900"/>
            <w:vAlign w:val="top"/>
            <w:tcMar>
              <w:top w:w="80" w:type="dxa"/>
              <w:start w:w="120" w:type="dxa"/>
              <w:bottom w:w="80" w:type="dxa"/>
              <w:end w:w="120" w:type="dxa"/>
            </w:tcMar>
          </w:tcPr>
          <w:p>
            <w:pPr>
              <w:pStyle w:val="TableText"/>
              <w:keepLines/>
            </w:pPr>
            <w:r>
              <w:rPr>
                <w:rFonts w:ascii="Calibri" w:hAnsi="Calibri"/>
                <w:color w:val="1F1F1F"/>
                <w:sz w:val="17"/>
              </w:rPr>
              <w:t>Grand</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9 x 9</w:t>
            </w:r>
          </w:p>
        </w:tc>
        <w:tc>
          <w:tcPr>
            <w:tcW w:type="dxa" w:w="1800"/>
            <w:vAlign w:val="top"/>
            <w:tcMar>
              <w:top w:w="80" w:type="dxa"/>
              <w:start w:w="120" w:type="dxa"/>
              <w:bottom w:w="80" w:type="dxa"/>
              <w:end w:w="120" w:type="dxa"/>
            </w:tcMar>
          </w:tcPr>
          <w:p>
            <w:pPr>
              <w:pStyle w:val="TableText"/>
              <w:keepLines/>
            </w:pPr>
            <w:r>
              <w:rPr>
                <w:rFonts w:ascii="Calibri" w:hAnsi="Calibri"/>
                <w:color w:val="1F1F1F"/>
                <w:sz w:val="17"/>
              </w:rPr>
              <w:t>4 / 16</w:t>
            </w:r>
          </w:p>
        </w:tc>
        <w:tc>
          <w:tcPr>
            <w:tcW w:type="dxa" w:w="1250"/>
            <w:vAlign w:val="top"/>
            <w:tcMar>
              <w:top w:w="80" w:type="dxa"/>
              <w:start w:w="120" w:type="dxa"/>
              <w:bottom w:w="80" w:type="dxa"/>
              <w:end w:w="120" w:type="dxa"/>
            </w:tcMar>
          </w:tcPr>
          <w:p>
            <w:pPr>
              <w:pStyle w:val="TableText"/>
              <w:keepLines/>
            </w:pPr>
            <w:r>
              <w:rPr>
                <w:rFonts w:ascii="Calibri" w:hAnsi="Calibri"/>
                <w:color w:val="1F1F1F"/>
                <w:sz w:val="17"/>
              </w:rPr>
              <w:t>800 ml</w:t>
            </w:r>
          </w:p>
        </w:tc>
        <w:tc>
          <w:tcPr>
            <w:tcW w:type="dxa" w:w="1000"/>
            <w:vAlign w:val="top"/>
            <w:tcMar>
              <w:top w:w="80" w:type="dxa"/>
              <w:start w:w="120" w:type="dxa"/>
              <w:bottom w:w="80" w:type="dxa"/>
              <w:end w:w="120" w:type="dxa"/>
            </w:tcMar>
          </w:tcPr>
          <w:p>
            <w:pPr>
              <w:pStyle w:val="TableText"/>
              <w:keepLines/>
            </w:pPr>
            <w:r>
              <w:rPr>
                <w:rFonts w:ascii="Calibri" w:hAnsi="Calibri"/>
                <w:color w:val="1F1F1F"/>
                <w:sz w:val="17"/>
              </w:rPr>
              <w:t>6</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4 s</w:t>
            </w:r>
          </w:p>
        </w:tc>
        <w:tc>
          <w:tcPr>
            <w:tcW w:type="dxa" w:w="2610"/>
            <w:vAlign w:val="top"/>
            <w:tcMar>
              <w:top w:w="80" w:type="dxa"/>
              <w:start w:w="120" w:type="dxa"/>
              <w:bottom w:w="80" w:type="dxa"/>
              <w:end w:w="120" w:type="dxa"/>
            </w:tcMar>
          </w:tcPr>
          <w:p>
            <w:pPr>
              <w:pStyle w:val="TableText"/>
              <w:keepLines/>
            </w:pPr>
            <w:r>
              <w:rPr>
                <w:rFonts w:ascii="Calibri" w:hAnsi="Calibri"/>
                <w:color w:val="1F1F1F"/>
                <w:sz w:val="17"/>
              </w:rPr>
              <w:t>0.75 ml/s</w:t>
            </w:r>
          </w:p>
        </w:tc>
      </w:tr>
    </w:tbl>
    <w:p>
      <w:pPr>
        <w:widowControl/>
        <w:spacing w:after="0"/>
      </w:pPr>
    </w:p>
    <w:p>
      <w:pPr>
        <w:widowControl/>
      </w:pPr>
      <w:r>
        <w:t>The form’s 5/10/20/40-second casting duration applies to legacy countdown rites. Interactive Harbinger ceremonies instead advance through objectives and phase-specific timers.</w:t>
      </w:r>
    </w:p>
    <w:p>
      <w:pPr>
        <w:pStyle w:val="Heading2"/>
        <w:keepNext/>
        <w:widowControl/>
      </w:pPr>
      <w:r>
        <w:t>Harbinger progression and ceremony rings</w:t>
      </w:r>
    </w:p>
    <w:tbl>
      <w:tblPr>
        <w:tblStyle w:val="TableGrid"/>
        <w:tblW w:type="dxa" w:w="9360"/>
        <w:jc w:val="left"/>
        <w:tblLayout w:type="fixed"/>
        <w:tblLook w:firstColumn="1" w:firstRow="1" w:lastColumn="0" w:lastRow="0" w:noHBand="0" w:noVBand="1" w:val="04A0"/>
        <w:tblInd w:w="120" w:type="dxa"/>
      </w:tblPr>
      <w:tblGrid>
        <w:gridCol w:w="800"/>
        <w:gridCol w:w="3350"/>
        <w:gridCol w:w="800"/>
        <w:gridCol w:w="900"/>
        <w:gridCol w:w="1600"/>
        <w:gridCol w:w="1910"/>
      </w:tblGrid>
      <w:tr>
        <w:trPr>
          <w:tblHeader w:val="true"/>
        </w:trPr>
        <w:tc>
          <w:tcPr>
            <w:tcW w:type="dxa" w:w="800"/>
            <w:shd w:fill="EADDE0"/>
            <w:vAlign w:val="center"/>
            <w:tcMar>
              <w:top w:w="80" w:type="dxa"/>
              <w:start w:w="120" w:type="dxa"/>
              <w:bottom w:w="80" w:type="dxa"/>
              <w:end w:w="120" w:type="dxa"/>
            </w:tcMar>
          </w:tcPr>
          <w:p>
            <w:pPr>
              <w:pStyle w:val="TableHeader"/>
              <w:keepLines/>
            </w:pPr>
            <w:r>
              <w:t>Degree</w:t>
            </w:r>
          </w:p>
        </w:tc>
        <w:tc>
          <w:tcPr>
            <w:tcW w:type="dxa" w:w="3350"/>
            <w:shd w:fill="EADDE0"/>
            <w:vAlign w:val="center"/>
            <w:tcMar>
              <w:top w:w="80" w:type="dxa"/>
              <w:start w:w="120" w:type="dxa"/>
              <w:bottom w:w="80" w:type="dxa"/>
              <w:end w:w="120" w:type="dxa"/>
            </w:tcMar>
          </w:tcPr>
          <w:p>
            <w:pPr>
              <w:pStyle w:val="TableHeader"/>
              <w:keepLines/>
            </w:pPr>
            <w:r>
              <w:t>Title</w:t>
            </w:r>
          </w:p>
        </w:tc>
        <w:tc>
          <w:tcPr>
            <w:tcW w:type="dxa" w:w="800"/>
            <w:shd w:fill="EADDE0"/>
            <w:vAlign w:val="center"/>
            <w:tcMar>
              <w:top w:w="80" w:type="dxa"/>
              <w:start w:w="120" w:type="dxa"/>
              <w:bottom w:w="80" w:type="dxa"/>
              <w:end w:w="120" w:type="dxa"/>
            </w:tcMar>
          </w:tcPr>
          <w:p>
            <w:pPr>
              <w:pStyle w:val="TableHeader"/>
              <w:keepLines/>
            </w:pPr>
            <w:r>
              <w:t>Rings</w:t>
            </w:r>
          </w:p>
        </w:tc>
        <w:tc>
          <w:tcPr>
            <w:tcW w:type="dxa" w:w="900"/>
            <w:shd w:fill="EADDE0"/>
            <w:vAlign w:val="center"/>
            <w:tcMar>
              <w:top w:w="80" w:type="dxa"/>
              <w:start w:w="120" w:type="dxa"/>
              <w:bottom w:w="80" w:type="dxa"/>
              <w:end w:w="120" w:type="dxa"/>
            </w:tcMar>
          </w:tcPr>
          <w:p>
            <w:pPr>
              <w:pStyle w:val="TableHeader"/>
              <w:keepLines/>
            </w:pPr>
            <w:r>
              <w:t>Anchors</w:t>
            </w:r>
          </w:p>
        </w:tc>
        <w:tc>
          <w:tcPr>
            <w:tcW w:type="dxa" w:w="1600"/>
            <w:shd w:fill="EADDE0"/>
            <w:vAlign w:val="center"/>
            <w:tcMar>
              <w:top w:w="80" w:type="dxa"/>
              <w:start w:w="120" w:type="dxa"/>
              <w:bottom w:w="80" w:type="dxa"/>
              <w:end w:w="120" w:type="dxa"/>
            </w:tcMar>
          </w:tcPr>
          <w:p>
            <w:pPr>
              <w:pStyle w:val="TableHeader"/>
              <w:keepLines/>
            </w:pPr>
            <w:r>
              <w:t>Boundary blood</w:t>
            </w:r>
          </w:p>
        </w:tc>
        <w:tc>
          <w:tcPr>
            <w:tcW w:type="dxa" w:w="1910"/>
            <w:shd w:fill="EADDE0"/>
            <w:vAlign w:val="center"/>
            <w:tcMar>
              <w:top w:w="80" w:type="dxa"/>
              <w:start w:w="120" w:type="dxa"/>
              <w:bottom w:w="80" w:type="dxa"/>
              <w:end w:w="120" w:type="dxa"/>
            </w:tcMar>
          </w:tcPr>
          <w:p>
            <w:pPr>
              <w:pStyle w:val="TableHeader"/>
              <w:keepLines/>
            </w:pPr>
            <w:r>
              <w:t>Ally quota</w:t>
            </w:r>
          </w:p>
        </w:tc>
      </w:tr>
      <w:tr>
        <w:tc>
          <w:tcPr>
            <w:tcW w:type="dxa" w:w="800"/>
            <w:vAlign w:val="top"/>
            <w:tcMar>
              <w:top w:w="80" w:type="dxa"/>
              <w:start w:w="120" w:type="dxa"/>
              <w:bottom w:w="80" w:type="dxa"/>
              <w:end w:w="120" w:type="dxa"/>
            </w:tcMar>
          </w:tcPr>
          <w:p>
            <w:pPr>
              <w:pStyle w:val="TableText"/>
              <w:keepLines/>
            </w:pPr>
            <w:r>
              <w:rPr>
                <w:rFonts w:ascii="Calibri" w:hAnsi="Calibri"/>
                <w:color w:val="1F1F1F"/>
                <w:sz w:val="17"/>
              </w:rPr>
              <w:t>1</w:t>
            </w:r>
          </w:p>
        </w:tc>
        <w:tc>
          <w:tcPr>
            <w:tcW w:type="dxa" w:w="3350"/>
            <w:vAlign w:val="top"/>
            <w:tcMar>
              <w:top w:w="80" w:type="dxa"/>
              <w:start w:w="120" w:type="dxa"/>
              <w:bottom w:w="80" w:type="dxa"/>
              <w:end w:w="120" w:type="dxa"/>
            </w:tcMar>
          </w:tcPr>
          <w:p>
            <w:pPr>
              <w:pStyle w:val="TableText"/>
              <w:keepLines/>
            </w:pPr>
            <w:r>
              <w:rPr>
                <w:rFonts w:ascii="Calibri" w:hAnsi="Calibri"/>
                <w:color w:val="1F1F1F"/>
                <w:sz w:val="17"/>
              </w:rPr>
              <w:t>Neophyte of the Crimson Veil</w:t>
            </w:r>
          </w:p>
        </w:tc>
        <w:tc>
          <w:tcPr>
            <w:tcW w:type="dxa" w:w="800"/>
            <w:vAlign w:val="top"/>
            <w:tcMar>
              <w:top w:w="80" w:type="dxa"/>
              <w:start w:w="120" w:type="dxa"/>
              <w:bottom w:w="80" w:type="dxa"/>
              <w:end w:w="120" w:type="dxa"/>
            </w:tcMar>
          </w:tcPr>
          <w:p>
            <w:pPr>
              <w:pStyle w:val="TableText"/>
              <w:keepLines/>
            </w:pPr>
            <w:r>
              <w:rPr>
                <w:rFonts w:ascii="Calibri" w:hAnsi="Calibri"/>
                <w:color w:val="1F1F1F"/>
                <w:sz w:val="17"/>
              </w:rPr>
              <w:t>1</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4</w:t>
            </w:r>
          </w:p>
        </w:tc>
        <w:tc>
          <w:tcPr>
            <w:tcW w:type="dxa" w:w="1600"/>
            <w:vAlign w:val="top"/>
            <w:tcMar>
              <w:top w:w="80" w:type="dxa"/>
              <w:start w:w="120" w:type="dxa"/>
              <w:bottom w:w="80" w:type="dxa"/>
              <w:end w:w="120" w:type="dxa"/>
            </w:tcMar>
          </w:tcPr>
          <w:p>
            <w:pPr>
              <w:pStyle w:val="TableText"/>
              <w:keepLines/>
            </w:pPr>
            <w:r>
              <w:rPr>
                <w:rFonts w:ascii="Calibri" w:hAnsi="Calibri"/>
                <w:color w:val="1F1F1F"/>
                <w:sz w:val="17"/>
              </w:rPr>
              <w:t>200 ml</w:t>
            </w:r>
          </w:p>
        </w:tc>
        <w:tc>
          <w:tcPr>
            <w:tcW w:type="dxa" w:w="1910"/>
            <w:vAlign w:val="top"/>
            <w:tcMar>
              <w:top w:w="80" w:type="dxa"/>
              <w:start w:w="120" w:type="dxa"/>
              <w:bottom w:w="80" w:type="dxa"/>
              <w:end w:w="120" w:type="dxa"/>
            </w:tcMar>
          </w:tcPr>
          <w:p>
            <w:pPr>
              <w:pStyle w:val="TableText"/>
              <w:keepLines/>
            </w:pPr>
            <w:r>
              <w:rPr>
                <w:rFonts w:ascii="Calibri" w:hAnsi="Calibri"/>
                <w:color w:val="1F1F1F"/>
                <w:sz w:val="17"/>
              </w:rPr>
              <w:t>0</w:t>
            </w:r>
          </w:p>
        </w:tc>
      </w:tr>
      <w:tr>
        <w:tc>
          <w:tcPr>
            <w:tcW w:type="dxa" w:w="800"/>
            <w:vAlign w:val="top"/>
            <w:tcMar>
              <w:top w:w="80" w:type="dxa"/>
              <w:start w:w="120" w:type="dxa"/>
              <w:bottom w:w="80" w:type="dxa"/>
              <w:end w:w="120" w:type="dxa"/>
            </w:tcMar>
          </w:tcPr>
          <w:p>
            <w:pPr>
              <w:pStyle w:val="TableText"/>
              <w:keepLines/>
            </w:pPr>
            <w:r>
              <w:rPr>
                <w:rFonts w:ascii="Calibri" w:hAnsi="Calibri"/>
                <w:color w:val="1F1F1F"/>
                <w:sz w:val="17"/>
              </w:rPr>
              <w:t>2</w:t>
            </w:r>
          </w:p>
        </w:tc>
        <w:tc>
          <w:tcPr>
            <w:tcW w:type="dxa" w:w="3350"/>
            <w:vAlign w:val="top"/>
            <w:tcMar>
              <w:top w:w="80" w:type="dxa"/>
              <w:start w:w="120" w:type="dxa"/>
              <w:bottom w:w="80" w:type="dxa"/>
              <w:end w:w="120" w:type="dxa"/>
            </w:tcMar>
          </w:tcPr>
          <w:p>
            <w:pPr>
              <w:pStyle w:val="TableText"/>
              <w:keepLines/>
            </w:pPr>
            <w:r>
              <w:rPr>
                <w:rFonts w:ascii="Calibri" w:hAnsi="Calibri"/>
                <w:color w:val="1F1F1F"/>
                <w:sz w:val="17"/>
              </w:rPr>
              <w:t>Votary of the Hematic Covenant</w:t>
            </w:r>
          </w:p>
        </w:tc>
        <w:tc>
          <w:tcPr>
            <w:tcW w:type="dxa" w:w="800"/>
            <w:vAlign w:val="top"/>
            <w:tcMar>
              <w:top w:w="80" w:type="dxa"/>
              <w:start w:w="120" w:type="dxa"/>
              <w:bottom w:w="80" w:type="dxa"/>
              <w:end w:w="120" w:type="dxa"/>
            </w:tcMar>
          </w:tcPr>
          <w:p>
            <w:pPr>
              <w:pStyle w:val="TableText"/>
              <w:keepLines/>
            </w:pPr>
            <w:r>
              <w:rPr>
                <w:rFonts w:ascii="Calibri" w:hAnsi="Calibri"/>
                <w:color w:val="1F1F1F"/>
                <w:sz w:val="17"/>
              </w:rPr>
              <w:t>2</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8</w:t>
            </w:r>
          </w:p>
        </w:tc>
        <w:tc>
          <w:tcPr>
            <w:tcW w:type="dxa" w:w="1600"/>
            <w:vAlign w:val="top"/>
            <w:tcMar>
              <w:top w:w="80" w:type="dxa"/>
              <w:start w:w="120" w:type="dxa"/>
              <w:bottom w:w="80" w:type="dxa"/>
              <w:end w:w="120" w:type="dxa"/>
            </w:tcMar>
          </w:tcPr>
          <w:p>
            <w:pPr>
              <w:pStyle w:val="TableText"/>
              <w:keepLines/>
            </w:pPr>
            <w:r>
              <w:rPr>
                <w:rFonts w:ascii="Calibri" w:hAnsi="Calibri"/>
                <w:color w:val="1F1F1F"/>
                <w:sz w:val="17"/>
              </w:rPr>
              <w:t>400 ml</w:t>
            </w:r>
          </w:p>
        </w:tc>
        <w:tc>
          <w:tcPr>
            <w:tcW w:type="dxa" w:w="1910"/>
            <w:vAlign w:val="top"/>
            <w:tcMar>
              <w:top w:w="80" w:type="dxa"/>
              <w:start w:w="120" w:type="dxa"/>
              <w:bottom w:w="80" w:type="dxa"/>
              <w:end w:w="120" w:type="dxa"/>
            </w:tcMar>
          </w:tcPr>
          <w:p>
            <w:pPr>
              <w:pStyle w:val="TableText"/>
              <w:keepLines/>
            </w:pPr>
            <w:r>
              <w:rPr>
                <w:rFonts w:ascii="Calibri" w:hAnsi="Calibri"/>
                <w:color w:val="1F1F1F"/>
                <w:sz w:val="17"/>
              </w:rPr>
              <w:t>0</w:t>
            </w:r>
          </w:p>
        </w:tc>
      </w:tr>
      <w:tr>
        <w:tc>
          <w:tcPr>
            <w:tcW w:type="dxa" w:w="800"/>
            <w:vAlign w:val="top"/>
            <w:tcMar>
              <w:top w:w="80" w:type="dxa"/>
              <w:start w:w="120" w:type="dxa"/>
              <w:bottom w:w="80" w:type="dxa"/>
              <w:end w:w="120" w:type="dxa"/>
            </w:tcMar>
          </w:tcPr>
          <w:p>
            <w:pPr>
              <w:pStyle w:val="TableText"/>
              <w:keepLines/>
            </w:pPr>
            <w:r>
              <w:rPr>
                <w:rFonts w:ascii="Calibri" w:hAnsi="Calibri"/>
                <w:color w:val="1F1F1F"/>
                <w:sz w:val="17"/>
              </w:rPr>
              <w:t>3</w:t>
            </w:r>
          </w:p>
        </w:tc>
        <w:tc>
          <w:tcPr>
            <w:tcW w:type="dxa" w:w="3350"/>
            <w:vAlign w:val="top"/>
            <w:tcMar>
              <w:top w:w="80" w:type="dxa"/>
              <w:start w:w="120" w:type="dxa"/>
              <w:bottom w:w="80" w:type="dxa"/>
              <w:end w:w="120" w:type="dxa"/>
            </w:tcMar>
          </w:tcPr>
          <w:p>
            <w:pPr>
              <w:pStyle w:val="TableText"/>
              <w:keepLines/>
            </w:pPr>
            <w:r>
              <w:rPr>
                <w:rFonts w:ascii="Calibri" w:hAnsi="Calibri"/>
                <w:color w:val="1F1F1F"/>
                <w:sz w:val="17"/>
              </w:rPr>
              <w:t>Initiate of the Incarnadine Fane</w:t>
            </w:r>
          </w:p>
        </w:tc>
        <w:tc>
          <w:tcPr>
            <w:tcW w:type="dxa" w:w="800"/>
            <w:vAlign w:val="top"/>
            <w:tcMar>
              <w:top w:w="80" w:type="dxa"/>
              <w:start w:w="120" w:type="dxa"/>
              <w:bottom w:w="80" w:type="dxa"/>
              <w:end w:w="120" w:type="dxa"/>
            </w:tcMar>
          </w:tcPr>
          <w:p>
            <w:pPr>
              <w:pStyle w:val="TableText"/>
              <w:keepLines/>
            </w:pPr>
            <w:r>
              <w:rPr>
                <w:rFonts w:ascii="Calibri" w:hAnsi="Calibri"/>
                <w:color w:val="1F1F1F"/>
                <w:sz w:val="17"/>
              </w:rPr>
              <w:t>3</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12</w:t>
            </w:r>
          </w:p>
        </w:tc>
        <w:tc>
          <w:tcPr>
            <w:tcW w:type="dxa" w:w="1600"/>
            <w:vAlign w:val="top"/>
            <w:tcMar>
              <w:top w:w="80" w:type="dxa"/>
              <w:start w:w="120" w:type="dxa"/>
              <w:bottom w:w="80" w:type="dxa"/>
              <w:end w:w="120" w:type="dxa"/>
            </w:tcMar>
          </w:tcPr>
          <w:p>
            <w:pPr>
              <w:pStyle w:val="TableText"/>
              <w:keepLines/>
            </w:pPr>
            <w:r>
              <w:rPr>
                <w:rFonts w:ascii="Calibri" w:hAnsi="Calibri"/>
                <w:color w:val="1F1F1F"/>
                <w:sz w:val="17"/>
              </w:rPr>
              <w:t>600 ml</w:t>
            </w:r>
          </w:p>
        </w:tc>
        <w:tc>
          <w:tcPr>
            <w:tcW w:type="dxa" w:w="1910"/>
            <w:vAlign w:val="top"/>
            <w:tcMar>
              <w:top w:w="80" w:type="dxa"/>
              <w:start w:w="120" w:type="dxa"/>
              <w:bottom w:w="80" w:type="dxa"/>
              <w:end w:w="120" w:type="dxa"/>
            </w:tcMar>
          </w:tcPr>
          <w:p>
            <w:pPr>
              <w:pStyle w:val="TableText"/>
              <w:keepLines/>
            </w:pPr>
            <w:r>
              <w:rPr>
                <w:rFonts w:ascii="Calibri" w:hAnsi="Calibri"/>
                <w:color w:val="1F1F1F"/>
                <w:sz w:val="17"/>
              </w:rPr>
              <w:t>0</w:t>
            </w:r>
          </w:p>
        </w:tc>
      </w:tr>
      <w:tr>
        <w:tc>
          <w:tcPr>
            <w:tcW w:type="dxa" w:w="800"/>
            <w:vAlign w:val="top"/>
            <w:tcMar>
              <w:top w:w="80" w:type="dxa"/>
              <w:start w:w="120" w:type="dxa"/>
              <w:bottom w:w="80" w:type="dxa"/>
              <w:end w:w="120" w:type="dxa"/>
            </w:tcMar>
          </w:tcPr>
          <w:p>
            <w:pPr>
              <w:pStyle w:val="TableText"/>
              <w:keepLines/>
            </w:pPr>
            <w:r>
              <w:rPr>
                <w:rFonts w:ascii="Calibri" w:hAnsi="Calibri"/>
                <w:color w:val="1F1F1F"/>
                <w:sz w:val="17"/>
              </w:rPr>
              <w:t>4</w:t>
            </w:r>
          </w:p>
        </w:tc>
        <w:tc>
          <w:tcPr>
            <w:tcW w:type="dxa" w:w="3350"/>
            <w:vAlign w:val="top"/>
            <w:tcMar>
              <w:top w:w="80" w:type="dxa"/>
              <w:start w:w="120" w:type="dxa"/>
              <w:bottom w:w="80" w:type="dxa"/>
              <w:end w:w="120" w:type="dxa"/>
            </w:tcMar>
          </w:tcPr>
          <w:p>
            <w:pPr>
              <w:pStyle w:val="TableText"/>
              <w:keepLines/>
            </w:pPr>
            <w:r>
              <w:rPr>
                <w:rFonts w:ascii="Calibri" w:hAnsi="Calibri"/>
                <w:color w:val="1F1F1F"/>
                <w:sz w:val="17"/>
              </w:rPr>
              <w:t>Adept of the Sanguine Brotherhood</w:t>
            </w:r>
          </w:p>
        </w:tc>
        <w:tc>
          <w:tcPr>
            <w:tcW w:type="dxa" w:w="800"/>
            <w:vAlign w:val="top"/>
            <w:tcMar>
              <w:top w:w="80" w:type="dxa"/>
              <w:start w:w="120" w:type="dxa"/>
              <w:bottom w:w="80" w:type="dxa"/>
              <w:end w:w="120" w:type="dxa"/>
            </w:tcMar>
          </w:tcPr>
          <w:p>
            <w:pPr>
              <w:pStyle w:val="TableText"/>
              <w:keepLines/>
            </w:pPr>
            <w:r>
              <w:rPr>
                <w:rFonts w:ascii="Calibri" w:hAnsi="Calibri"/>
                <w:color w:val="1F1F1F"/>
                <w:sz w:val="17"/>
              </w:rPr>
              <w:t>4</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16</w:t>
            </w:r>
          </w:p>
        </w:tc>
        <w:tc>
          <w:tcPr>
            <w:tcW w:type="dxa" w:w="1600"/>
            <w:vAlign w:val="top"/>
            <w:tcMar>
              <w:top w:w="80" w:type="dxa"/>
              <w:start w:w="120" w:type="dxa"/>
              <w:bottom w:w="80" w:type="dxa"/>
              <w:end w:w="120" w:type="dxa"/>
            </w:tcMar>
          </w:tcPr>
          <w:p>
            <w:pPr>
              <w:pStyle w:val="TableText"/>
              <w:keepLines/>
            </w:pPr>
            <w:r>
              <w:rPr>
                <w:rFonts w:ascii="Calibri" w:hAnsi="Calibri"/>
                <w:color w:val="1F1F1F"/>
                <w:sz w:val="17"/>
              </w:rPr>
              <w:t>800 ml</w:t>
            </w:r>
          </w:p>
        </w:tc>
        <w:tc>
          <w:tcPr>
            <w:tcW w:type="dxa" w:w="1910"/>
            <w:vAlign w:val="top"/>
            <w:tcMar>
              <w:top w:w="80" w:type="dxa"/>
              <w:start w:w="120" w:type="dxa"/>
              <w:bottom w:w="80" w:type="dxa"/>
              <w:end w:w="120" w:type="dxa"/>
            </w:tcMar>
          </w:tcPr>
          <w:p>
            <w:pPr>
              <w:pStyle w:val="TableText"/>
              <w:keepLines/>
            </w:pPr>
            <w:r>
              <w:rPr>
                <w:rFonts w:ascii="Calibri" w:hAnsi="Calibri"/>
                <w:color w:val="1F1F1F"/>
                <w:sz w:val="17"/>
              </w:rPr>
              <w:t>0</w:t>
            </w:r>
          </w:p>
        </w:tc>
      </w:tr>
      <w:tr>
        <w:tc>
          <w:tcPr>
            <w:tcW w:type="dxa" w:w="800"/>
            <w:vAlign w:val="top"/>
            <w:tcMar>
              <w:top w:w="80" w:type="dxa"/>
              <w:start w:w="120" w:type="dxa"/>
              <w:bottom w:w="80" w:type="dxa"/>
              <w:end w:w="120" w:type="dxa"/>
            </w:tcMar>
          </w:tcPr>
          <w:p>
            <w:pPr>
              <w:pStyle w:val="TableText"/>
              <w:keepLines/>
            </w:pPr>
            <w:r>
              <w:rPr>
                <w:rFonts w:ascii="Calibri" w:hAnsi="Calibri"/>
                <w:color w:val="1F1F1F"/>
                <w:sz w:val="17"/>
              </w:rPr>
              <w:t>5</w:t>
            </w:r>
          </w:p>
        </w:tc>
        <w:tc>
          <w:tcPr>
            <w:tcW w:type="dxa" w:w="3350"/>
            <w:vAlign w:val="top"/>
            <w:tcMar>
              <w:top w:w="80" w:type="dxa"/>
              <w:start w:w="120" w:type="dxa"/>
              <w:bottom w:w="80" w:type="dxa"/>
              <w:end w:w="120" w:type="dxa"/>
            </w:tcMar>
          </w:tcPr>
          <w:p>
            <w:pPr>
              <w:pStyle w:val="TableText"/>
              <w:keepLines/>
            </w:pPr>
            <w:r>
              <w:rPr>
                <w:rFonts w:ascii="Calibri" w:hAnsi="Calibri"/>
                <w:color w:val="1F1F1F"/>
                <w:sz w:val="17"/>
              </w:rPr>
              <w:t>Illuminatus of the Crimson Lodge</w:t>
            </w:r>
          </w:p>
        </w:tc>
        <w:tc>
          <w:tcPr>
            <w:tcW w:type="dxa" w:w="800"/>
            <w:vAlign w:val="top"/>
            <w:tcMar>
              <w:top w:w="80" w:type="dxa"/>
              <w:start w:w="120" w:type="dxa"/>
              <w:bottom w:w="80" w:type="dxa"/>
              <w:end w:w="120" w:type="dxa"/>
            </w:tcMar>
          </w:tcPr>
          <w:p>
            <w:pPr>
              <w:pStyle w:val="TableText"/>
              <w:keepLines/>
            </w:pPr>
            <w:r>
              <w:rPr>
                <w:rFonts w:ascii="Calibri" w:hAnsi="Calibri"/>
                <w:color w:val="1F1F1F"/>
                <w:sz w:val="17"/>
              </w:rPr>
              <w:t>5</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20</w:t>
            </w:r>
          </w:p>
        </w:tc>
        <w:tc>
          <w:tcPr>
            <w:tcW w:type="dxa" w:w="1600"/>
            <w:vAlign w:val="top"/>
            <w:tcMar>
              <w:top w:w="80" w:type="dxa"/>
              <w:start w:w="120" w:type="dxa"/>
              <w:bottom w:w="80" w:type="dxa"/>
              <w:end w:w="120" w:type="dxa"/>
            </w:tcMar>
          </w:tcPr>
          <w:p>
            <w:pPr>
              <w:pStyle w:val="TableText"/>
              <w:keepLines/>
            </w:pPr>
            <w:r>
              <w:rPr>
                <w:rFonts w:ascii="Calibri" w:hAnsi="Calibri"/>
                <w:color w:val="1F1F1F"/>
                <w:sz w:val="17"/>
              </w:rPr>
              <w:t>1000 ml</w:t>
            </w:r>
          </w:p>
        </w:tc>
        <w:tc>
          <w:tcPr>
            <w:tcW w:type="dxa" w:w="1910"/>
            <w:vAlign w:val="top"/>
            <w:tcMar>
              <w:top w:w="80" w:type="dxa"/>
              <w:start w:w="120" w:type="dxa"/>
              <w:bottom w:w="80" w:type="dxa"/>
              <w:end w:w="120" w:type="dxa"/>
            </w:tcMar>
          </w:tcPr>
          <w:p>
            <w:pPr>
              <w:pStyle w:val="TableText"/>
              <w:keepLines/>
            </w:pPr>
            <w:r>
              <w:rPr>
                <w:rFonts w:ascii="Calibri" w:hAnsi="Calibri"/>
                <w:color w:val="1F1F1F"/>
                <w:sz w:val="17"/>
              </w:rPr>
              <w:t>1</w:t>
            </w:r>
          </w:p>
        </w:tc>
      </w:tr>
      <w:tr>
        <w:tc>
          <w:tcPr>
            <w:tcW w:type="dxa" w:w="800"/>
            <w:vAlign w:val="top"/>
            <w:tcMar>
              <w:top w:w="80" w:type="dxa"/>
              <w:start w:w="120" w:type="dxa"/>
              <w:bottom w:w="80" w:type="dxa"/>
              <w:end w:w="120" w:type="dxa"/>
            </w:tcMar>
          </w:tcPr>
          <w:p>
            <w:pPr>
              <w:pStyle w:val="TableText"/>
              <w:keepLines/>
            </w:pPr>
            <w:r>
              <w:rPr>
                <w:rFonts w:ascii="Calibri" w:hAnsi="Calibri"/>
                <w:color w:val="1F1F1F"/>
                <w:sz w:val="17"/>
              </w:rPr>
              <w:t>6</w:t>
            </w:r>
          </w:p>
        </w:tc>
        <w:tc>
          <w:tcPr>
            <w:tcW w:type="dxa" w:w="3350"/>
            <w:vAlign w:val="top"/>
            <w:tcMar>
              <w:top w:w="80" w:type="dxa"/>
              <w:start w:w="120" w:type="dxa"/>
              <w:bottom w:w="80" w:type="dxa"/>
              <w:end w:w="120" w:type="dxa"/>
            </w:tcMar>
          </w:tcPr>
          <w:p>
            <w:pPr>
              <w:pStyle w:val="TableText"/>
              <w:keepLines/>
            </w:pPr>
            <w:r>
              <w:rPr>
                <w:rFonts w:ascii="Calibri" w:hAnsi="Calibri"/>
                <w:color w:val="1F1F1F"/>
                <w:sz w:val="17"/>
              </w:rPr>
              <w:t>Sanctified of the Bloodline Covenant</w:t>
            </w:r>
          </w:p>
        </w:tc>
        <w:tc>
          <w:tcPr>
            <w:tcW w:type="dxa" w:w="800"/>
            <w:vAlign w:val="top"/>
            <w:tcMar>
              <w:top w:w="80" w:type="dxa"/>
              <w:start w:w="120" w:type="dxa"/>
              <w:bottom w:w="80" w:type="dxa"/>
              <w:end w:w="120" w:type="dxa"/>
            </w:tcMar>
          </w:tcPr>
          <w:p>
            <w:pPr>
              <w:pStyle w:val="TableText"/>
              <w:keepLines/>
            </w:pPr>
            <w:r>
              <w:rPr>
                <w:rFonts w:ascii="Calibri" w:hAnsi="Calibri"/>
                <w:color w:val="1F1F1F"/>
                <w:sz w:val="17"/>
              </w:rPr>
              <w:t>6</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24</w:t>
            </w:r>
          </w:p>
        </w:tc>
        <w:tc>
          <w:tcPr>
            <w:tcW w:type="dxa" w:w="1600"/>
            <w:vAlign w:val="top"/>
            <w:tcMar>
              <w:top w:w="80" w:type="dxa"/>
              <w:start w:w="120" w:type="dxa"/>
              <w:bottom w:w="80" w:type="dxa"/>
              <w:end w:w="120" w:type="dxa"/>
            </w:tcMar>
          </w:tcPr>
          <w:p>
            <w:pPr>
              <w:pStyle w:val="TableText"/>
              <w:keepLines/>
            </w:pPr>
            <w:r>
              <w:rPr>
                <w:rFonts w:ascii="Calibri" w:hAnsi="Calibri"/>
                <w:color w:val="1F1F1F"/>
                <w:sz w:val="17"/>
              </w:rPr>
              <w:t>1200 ml</w:t>
            </w:r>
          </w:p>
        </w:tc>
        <w:tc>
          <w:tcPr>
            <w:tcW w:type="dxa" w:w="1910"/>
            <w:vAlign w:val="top"/>
            <w:tcMar>
              <w:top w:w="80" w:type="dxa"/>
              <w:start w:w="120" w:type="dxa"/>
              <w:bottom w:w="80" w:type="dxa"/>
              <w:end w:w="120" w:type="dxa"/>
            </w:tcMar>
          </w:tcPr>
          <w:p>
            <w:pPr>
              <w:pStyle w:val="TableText"/>
              <w:keepLines/>
            </w:pPr>
            <w:r>
              <w:rPr>
                <w:rFonts w:ascii="Calibri" w:hAnsi="Calibri"/>
                <w:color w:val="1F1F1F"/>
                <w:sz w:val="17"/>
              </w:rPr>
              <w:t>2</w:t>
            </w:r>
          </w:p>
        </w:tc>
      </w:tr>
      <w:tr>
        <w:tc>
          <w:tcPr>
            <w:tcW w:type="dxa" w:w="800"/>
            <w:vAlign w:val="top"/>
            <w:tcMar>
              <w:top w:w="80" w:type="dxa"/>
              <w:start w:w="120" w:type="dxa"/>
              <w:bottom w:w="80" w:type="dxa"/>
              <w:end w:w="120" w:type="dxa"/>
            </w:tcMar>
          </w:tcPr>
          <w:p>
            <w:pPr>
              <w:pStyle w:val="TableText"/>
              <w:keepLines/>
            </w:pPr>
            <w:r>
              <w:rPr>
                <w:rFonts w:ascii="Calibri" w:hAnsi="Calibri"/>
                <w:color w:val="1F1F1F"/>
                <w:sz w:val="17"/>
              </w:rPr>
              <w:t>7</w:t>
            </w:r>
          </w:p>
        </w:tc>
        <w:tc>
          <w:tcPr>
            <w:tcW w:type="dxa" w:w="3350"/>
            <w:vAlign w:val="top"/>
            <w:tcMar>
              <w:top w:w="80" w:type="dxa"/>
              <w:start w:w="120" w:type="dxa"/>
              <w:bottom w:w="80" w:type="dxa"/>
              <w:end w:w="120" w:type="dxa"/>
            </w:tcMar>
          </w:tcPr>
          <w:p>
            <w:pPr>
              <w:pStyle w:val="TableText"/>
              <w:keepLines/>
            </w:pPr>
            <w:r>
              <w:rPr>
                <w:rFonts w:ascii="Calibri" w:hAnsi="Calibri"/>
                <w:color w:val="1F1F1F"/>
                <w:sz w:val="17"/>
              </w:rPr>
              <w:t>Archon of the Hematic Order</w:t>
            </w:r>
          </w:p>
        </w:tc>
        <w:tc>
          <w:tcPr>
            <w:tcW w:type="dxa" w:w="800"/>
            <w:vAlign w:val="top"/>
            <w:tcMar>
              <w:top w:w="80" w:type="dxa"/>
              <w:start w:w="120" w:type="dxa"/>
              <w:bottom w:w="80" w:type="dxa"/>
              <w:end w:w="120" w:type="dxa"/>
            </w:tcMar>
          </w:tcPr>
          <w:p>
            <w:pPr>
              <w:pStyle w:val="TableText"/>
              <w:keepLines/>
            </w:pPr>
            <w:r>
              <w:rPr>
                <w:rFonts w:ascii="Calibri" w:hAnsi="Calibri"/>
                <w:color w:val="1F1F1F"/>
                <w:sz w:val="17"/>
              </w:rPr>
              <w:t>7</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28</w:t>
            </w:r>
          </w:p>
        </w:tc>
        <w:tc>
          <w:tcPr>
            <w:tcW w:type="dxa" w:w="1600"/>
            <w:vAlign w:val="top"/>
            <w:tcMar>
              <w:top w:w="80" w:type="dxa"/>
              <w:start w:w="120" w:type="dxa"/>
              <w:bottom w:w="80" w:type="dxa"/>
              <w:end w:w="120" w:type="dxa"/>
            </w:tcMar>
          </w:tcPr>
          <w:p>
            <w:pPr>
              <w:pStyle w:val="TableText"/>
              <w:keepLines/>
            </w:pPr>
            <w:r>
              <w:rPr>
                <w:rFonts w:ascii="Calibri" w:hAnsi="Calibri"/>
                <w:color w:val="1F1F1F"/>
                <w:sz w:val="17"/>
              </w:rPr>
              <w:t>1400 ml</w:t>
            </w:r>
          </w:p>
        </w:tc>
        <w:tc>
          <w:tcPr>
            <w:tcW w:type="dxa" w:w="1910"/>
            <w:vAlign w:val="top"/>
            <w:tcMar>
              <w:top w:w="80" w:type="dxa"/>
              <w:start w:w="120" w:type="dxa"/>
              <w:bottom w:w="80" w:type="dxa"/>
              <w:end w:w="120" w:type="dxa"/>
            </w:tcMar>
          </w:tcPr>
          <w:p>
            <w:pPr>
              <w:pStyle w:val="TableText"/>
              <w:keepLines/>
            </w:pPr>
            <w:r>
              <w:rPr>
                <w:rFonts w:ascii="Calibri" w:hAnsi="Calibri"/>
                <w:color w:val="1F1F1F"/>
                <w:sz w:val="17"/>
              </w:rPr>
              <w:t>3</w:t>
            </w:r>
          </w:p>
        </w:tc>
      </w:tr>
      <w:tr>
        <w:tc>
          <w:tcPr>
            <w:tcW w:type="dxa" w:w="800"/>
            <w:vAlign w:val="top"/>
            <w:tcMar>
              <w:top w:w="80" w:type="dxa"/>
              <w:start w:w="120" w:type="dxa"/>
              <w:bottom w:w="80" w:type="dxa"/>
              <w:end w:w="120" w:type="dxa"/>
            </w:tcMar>
          </w:tcPr>
          <w:p>
            <w:pPr>
              <w:pStyle w:val="TableText"/>
              <w:keepLines/>
            </w:pPr>
            <w:r>
              <w:rPr>
                <w:rFonts w:ascii="Calibri" w:hAnsi="Calibri"/>
                <w:color w:val="1F1F1F"/>
                <w:sz w:val="17"/>
              </w:rPr>
              <w:t>8</w:t>
            </w:r>
          </w:p>
        </w:tc>
        <w:tc>
          <w:tcPr>
            <w:tcW w:type="dxa" w:w="3350"/>
            <w:vAlign w:val="top"/>
            <w:tcMar>
              <w:top w:w="80" w:type="dxa"/>
              <w:start w:w="120" w:type="dxa"/>
              <w:bottom w:w="80" w:type="dxa"/>
              <w:end w:w="120" w:type="dxa"/>
            </w:tcMar>
          </w:tcPr>
          <w:p>
            <w:pPr>
              <w:pStyle w:val="TableText"/>
              <w:keepLines/>
            </w:pPr>
            <w:r>
              <w:rPr>
                <w:rFonts w:ascii="Calibri" w:hAnsi="Calibri"/>
                <w:color w:val="1F1F1F"/>
                <w:sz w:val="17"/>
              </w:rPr>
              <w:t>Apotheos of the Hematic Order</w:t>
            </w:r>
          </w:p>
        </w:tc>
        <w:tc>
          <w:tcPr>
            <w:tcW w:type="dxa" w:w="800"/>
            <w:vAlign w:val="top"/>
            <w:tcMar>
              <w:top w:w="80" w:type="dxa"/>
              <w:start w:w="120" w:type="dxa"/>
              <w:bottom w:w="80" w:type="dxa"/>
              <w:end w:w="120" w:type="dxa"/>
            </w:tcMar>
          </w:tcPr>
          <w:p>
            <w:pPr>
              <w:pStyle w:val="TableText"/>
              <w:keepLines/>
            </w:pPr>
            <w:r>
              <w:rPr>
                <w:rFonts w:ascii="Calibri" w:hAnsi="Calibri"/>
                <w:color w:val="1F1F1F"/>
                <w:sz w:val="17"/>
              </w:rPr>
              <w:t>8</w:t>
            </w:r>
          </w:p>
        </w:tc>
        <w:tc>
          <w:tcPr>
            <w:tcW w:type="dxa" w:w="900"/>
            <w:vAlign w:val="top"/>
            <w:tcMar>
              <w:top w:w="80" w:type="dxa"/>
              <w:start w:w="120" w:type="dxa"/>
              <w:bottom w:w="80" w:type="dxa"/>
              <w:end w:w="120" w:type="dxa"/>
            </w:tcMar>
          </w:tcPr>
          <w:p>
            <w:pPr>
              <w:pStyle w:val="TableText"/>
              <w:keepLines/>
            </w:pPr>
            <w:r>
              <w:rPr>
                <w:rFonts w:ascii="Calibri" w:hAnsi="Calibri"/>
                <w:color w:val="1F1F1F"/>
                <w:sz w:val="17"/>
              </w:rPr>
              <w:t>32</w:t>
            </w:r>
          </w:p>
        </w:tc>
        <w:tc>
          <w:tcPr>
            <w:tcW w:type="dxa" w:w="1600"/>
            <w:vAlign w:val="top"/>
            <w:tcMar>
              <w:top w:w="80" w:type="dxa"/>
              <w:start w:w="120" w:type="dxa"/>
              <w:bottom w:w="80" w:type="dxa"/>
              <w:end w:w="120" w:type="dxa"/>
            </w:tcMar>
          </w:tcPr>
          <w:p>
            <w:pPr>
              <w:pStyle w:val="TableText"/>
              <w:keepLines/>
            </w:pPr>
            <w:r>
              <w:rPr>
                <w:rFonts w:ascii="Calibri" w:hAnsi="Calibri"/>
                <w:color w:val="1F1F1F"/>
                <w:sz w:val="17"/>
              </w:rPr>
              <w:t>1600 ml</w:t>
            </w:r>
          </w:p>
        </w:tc>
        <w:tc>
          <w:tcPr>
            <w:tcW w:type="dxa" w:w="1910"/>
            <w:vAlign w:val="top"/>
            <w:tcMar>
              <w:top w:w="80" w:type="dxa"/>
              <w:start w:w="120" w:type="dxa"/>
              <w:bottom w:w="80" w:type="dxa"/>
              <w:end w:w="120" w:type="dxa"/>
            </w:tcMar>
          </w:tcPr>
          <w:p>
            <w:pPr>
              <w:pStyle w:val="TableText"/>
              <w:keepLines/>
            </w:pPr>
            <w:r>
              <w:rPr>
                <w:rFonts w:ascii="Calibri" w:hAnsi="Calibri"/>
                <w:color w:val="1F1F1F"/>
                <w:sz w:val="17"/>
              </w:rPr>
              <w:t>3</w:t>
            </w:r>
          </w:p>
        </w:tc>
      </w:tr>
    </w:tbl>
    <w:p>
      <w:pPr>
        <w:widowControl/>
        <w:spacing w:after="0"/>
      </w:pPr>
    </w:p>
    <w:p>
      <w:pPr>
        <w:pStyle w:val="Heading1"/>
        <w:keepNext/>
        <w:widowControl/>
      </w:pPr>
      <w:r>
        <w:t>3. Starting a rite</w:t>
      </w:r>
    </w:p>
    <w:p>
      <w:pPr>
        <w:pStyle w:val="ListNumber"/>
        <w:widowControl/>
      </w:pPr>
      <w:r>
        <w:t>Build the recipe’s multiblock pattern. Rotation and mirroring are accepted by the matcher.</w:t>
      </w:r>
    </w:p>
    <w:p>
      <w:pPr>
        <w:pStyle w:val="ListNumber"/>
        <w:widowControl/>
      </w:pPr>
      <w:r>
        <w:t>Meet the recipe’s explicit access gate: Hematic Order degree for Harbinger rites, or Unstained stage plus any purity/clarity threshold.</w:t>
      </w:r>
    </w:p>
    <w:p>
      <w:pPr>
        <w:pStyle w:val="ListNumber"/>
        <w:widowControl/>
      </w:pPr>
      <w:r>
        <w:t>Use the correct trigger. Degree 0 Harbinger rites consume a Sanguine Formation; Degree 1+ Harbinger rites use the Living Staff; Unstained rites use the Blood Crafting key.</w:t>
      </w:r>
    </w:p>
    <w:p>
      <w:pPr>
        <w:pStyle w:val="ListNumber"/>
        <w:widowControl/>
      </w:pPr>
      <w:r>
        <w:t>Target the occupied ground-layer pattern cell nearest the horizontal center. If the wrong structure block is used, the activator points toward the correct central block.</w:t>
      </w:r>
    </w:p>
    <w:p>
      <w:pPr>
        <w:pStyle w:val="ListNumber"/>
        <w:widowControl/>
      </w:pPr>
      <w:r>
        <w:t>Keep the site free of another active rite and satisfy any rite-specific prerequisites or catalysts.</w:t>
      </w:r>
    </w:p>
    <w:p>
      <w:pPr>
        <w:pStyle w:val="ListNumber"/>
        <w:widowControl/>
      </w:pPr>
      <w:r>
        <w:t>The server creates one rite bound to the caster and the matched center. A humanity daemon manifests over the center and Consecration begins.</w:t>
      </w:r>
    </w:p>
    <w:p>
      <w:pPr>
        <w:pStyle w:val="ListBullet"/>
        <w:widowControl/>
      </w:pPr>
      <w:r>
        <w:t>The Harbinger and Unstained paths are mutually exclusive once their defining progression has begun.</w:t>
      </w:r>
    </w:p>
    <w:p>
      <w:pPr>
        <w:pStyle w:val="ListBullet"/>
        <w:widowControl/>
      </w:pPr>
      <w:r>
        <w:t>A player can own only one active rite, and a ritual center cannot carry two rites.</w:t>
      </w:r>
    </w:p>
    <w:p>
      <w:pPr>
        <w:pStyle w:val="ListBullet"/>
        <w:widowControl/>
      </w:pPr>
      <w:r>
        <w:t>Interactive Harbinger rites do not pay the recipe’s old one-shot bloodCost at activation. Their real cost is committed during anchors, sigils, repairs, allies, and any blood-driven profession.</w:t>
      </w:r>
    </w:p>
    <w:p>
      <w:pPr>
        <w:pStyle w:val="ListBullet"/>
        <w:widowControl/>
      </w:pPr>
      <w:r>
        <w:t>Bloom of the Qliphoth requires a Qliphoth Seed in the matched structure and again consumes an in-boundary seed when sealed.</w:t>
      </w:r>
    </w:p>
    <w:p>
      <w:pPr>
        <w:pStyle w:val="ListBullet"/>
        <w:widowControl/>
      </w:pPr>
      <w:r>
        <w:t>Founding Fane requires a valid founder, room for its Consecrated Bloodwell heart, and Sanguine Quintessence in the rite; the quintessence is consumed at sealing.</w:t>
      </w:r>
    </w:p>
    <w:p>
      <w:pPr>
        <w:pStyle w:val="Heading1"/>
        <w:keepNext/>
        <w:widowControl/>
      </w:pPr>
      <w:r>
        <w:t>4. The modern ceremony, phase by phase</w:t>
      </w:r>
    </w:p>
    <w:p>
      <w:pPr>
        <w:pStyle w:val="Heading2"/>
        <w:keepNext/>
        <w:widowControl/>
      </w:pPr>
      <w:r>
        <w:t>4.1 Consecration — build the living boundary</w:t>
      </w:r>
    </w:p>
    <w:p>
      <w:pPr>
        <w:widowControl/>
      </w:pPr>
      <w:r>
        <w:t>Glowing blood targets appear at the authored anchor positions. Project blood into them; each anchor accepts 50 ml. Four anchors form one ring. Adjacent completed anchors draw the ring between them, so the boundary visibly grows instead of appearing all at once.</w:t>
      </w:r>
    </w:p>
    <w:p>
      <w:pPr>
        <w:pStyle w:val="ListBullet"/>
        <w:widowControl/>
      </w:pPr>
      <w:r>
        <w:t>The HUD shows completed rings, remaining anchors, and the instruction to project into glowing boundary anchors.</w:t>
      </w:r>
    </w:p>
    <w:p>
      <w:pPr>
        <w:pStyle w:val="ListBullet"/>
        <w:widowControl/>
      </w:pPr>
      <w:r>
        <w:t>Projection uses virtual target volumes before ordinary block targeting. Anchors remain usable over air, replaceable blocks, or solid surfaces.</w:t>
      </w:r>
    </w:p>
    <w:p>
      <w:pPr>
        <w:pStyle w:val="ListBullet"/>
        <w:widowControl/>
      </w:pPr>
      <w:r>
        <w:t>Degree One ceremonies also allow empty-hand bloodletting: one 50 ml anchor offering costs 2 health and cannot reduce the player below one heart.</w:t>
      </w:r>
    </w:p>
    <w:p>
      <w:pPr>
        <w:pStyle w:val="ListBullet"/>
        <w:widowControl/>
      </w:pPr>
      <w:r>
        <w:t>The rite collapses if no anchor receives blood for 12,000 ticks (10 minutes). Each successful fill resets that idle timer.</w:t>
      </w:r>
    </w:p>
    <w:p>
      <w:pPr>
        <w:pStyle w:val="ListBullet"/>
        <w:widowControl/>
      </w:pPr>
      <w:r>
        <w:t>When every anchor reaches 50 ml, the rite automatically enters Inscription.</w:t>
      </w:r>
    </w:p>
    <w:p>
      <w:pPr>
        <w:pStyle w:val="Heading2"/>
        <w:keepNext/>
        <w:widowControl/>
      </w:pPr>
      <w:r>
        <w:t>4.2 Inscription — prepare, then address the daemon</w:t>
      </w:r>
    </w:p>
    <w:p>
      <w:pPr>
        <w:widowControl/>
      </w:pPr>
      <w:r>
        <w:t>Optional support sigil sockets and, at Degree Five and above, ally stations become active. None of these optional preparations block progress. The deliberate commitment point is the humanity daemon—the small black, pale, and crimson-eyed sprite hovering over the altar.</w:t>
      </w:r>
    </w:p>
    <w:p>
      <w:pPr>
        <w:pStyle w:val="ListNumber"/>
        <w:widowControl/>
      </w:pPr>
      <w:r>
        <w:t>Trace any optional support sigils you want available during the ordeal.</w:t>
      </w:r>
    </w:p>
    <w:p>
      <w:pPr>
        <w:pStyle w:val="ListNumber"/>
        <w:widowControl/>
      </w:pPr>
      <w:r>
        <w:t>Assign eligible bloodline players or recruited NPCs if the ceremony allows allies.</w:t>
      </w:r>
    </w:p>
    <w:p>
      <w:pPr>
        <w:pStyle w:val="ListNumber"/>
        <w:widowControl/>
      </w:pPr>
      <w:r>
        <w:t>Confirm any mandatory seal catalyst is physically inside the boundary; the HUD keeps a missing catalyst visible as a blocker.</w:t>
      </w:r>
    </w:p>
    <w:p>
      <w:pPr>
        <w:pStyle w:val="ListNumber"/>
        <w:widowControl/>
      </w:pPr>
      <w:r>
        <w:t>Keep the projection tool in hand, look at the daemon, and project into it. Sealing itself costs no blood.</w:t>
      </w:r>
    </w:p>
    <w:p>
      <w:pPr>
        <w:pStyle w:val="ListNumber"/>
        <w:widowControl/>
      </w:pPr>
      <w:r>
        <w:t>The catalyst is consumed, the wave deck is prepared once, and the rite enters Ordeal.</w:t>
      </w:r>
    </w:p>
    <w:p>
      <w:pPr>
        <w:pStyle w:val="Callout"/>
        <w:spacing w:before="80" w:after="140"/>
        <w:ind w:left="173" w:right="173"/>
        <w:shd w:fill="EADDE0"/>
        <w:widowControl/>
        <w:pBdr>
          <w:left w:val="single" w:sz="18" w:space="6" w:color="711626"/>
        </w:pBdr>
      </w:pPr>
      <w:r>
        <w:rPr>
          <w:rFonts w:ascii="Calibri" w:hAnsi="Calibri"/>
          <w:b/>
          <w:color w:val="711626"/>
          <w:sz w:val="21"/>
        </w:rPr>
        <w:t xml:space="preserve">THE SEALING RULE  </w:t>
      </w:r>
      <w:r>
        <w:rPr>
          <w:rFonts w:ascii="Calibri" w:hAnsi="Calibri"/>
          <w:color w:val="4B0C18"/>
          <w:sz w:val="21"/>
        </w:rPr>
        <w:t>There is no golden seal target and no empty-hand altar interaction. The correct instruction is: “Project into the daemon to begin.”</w:t>
      </w:r>
    </w:p>
    <w:p>
      <w:pPr>
        <w:pStyle w:val="Heading2"/>
        <w:keepNext/>
        <w:widowControl/>
      </w:pPr>
      <w:r>
        <w:t>4.3 Ordeal — answer the wave deck</w:t>
      </w:r>
    </w:p>
    <w:p>
      <w:pPr>
        <w:widowControl/>
      </w:pPr>
      <w:r>
        <w:t>Each wave begins with an authored cue and has one of two completion patterns. Threat waves finish after at least two seconds when every rite-bound threat is gone and all anchors are full. Sigil waves finish when the demanded pattern is complete and all anchors are full.</w:t>
      </w:r>
    </w:p>
    <w:p>
      <w:pPr>
        <w:pStyle w:val="ListBullet"/>
        <w:widowControl/>
      </w:pPr>
      <w:r>
        <w:t>A full ceremony draws its configured number of waves from a shuffled pool after inserting guaranteed discovery waves. An abbreviated ceremony always has one wave.</w:t>
      </w:r>
    </w:p>
    <w:p>
      <w:pPr>
        <w:pStyle w:val="ListBullet"/>
        <w:widowControl/>
      </w:pPr>
      <w:r>
        <w:t>A wave times out after 360 ticks (18 seconds). Unless an Attendant catches the miss, timeout adds 12/15/18/21 instability from Minor through Grand.</w:t>
      </w:r>
    </w:p>
    <w:p>
      <w:pPr>
        <w:pStyle w:val="ListBullet"/>
        <w:widowControl/>
      </w:pPr>
      <w:r>
        <w:t>At timeout, rite threats are cleared. The ceremony advances only if all anchors are full; otherwise it waits and continues applying deficit pressure.</w:t>
      </w:r>
    </w:p>
    <w:p>
      <w:pPr>
        <w:pStyle w:val="ListBullet"/>
        <w:widowControl/>
      </w:pPr>
      <w:r>
        <w:t>Every second, missing anchor blood contributes up to 10 instability. Lesser, Greater, and Grand forms also drain anchors at 0.25, 0.5, and 0.75 ml per second.</w:t>
      </w:r>
    </w:p>
    <w:p>
      <w:pPr>
        <w:pStyle w:val="ListBullet"/>
        <w:widowControl/>
      </w:pPr>
      <w:r>
        <w:t>Rite-bound threats are exempt from the passive damage applied to ordinary entities in older rite spaces, so Bloodlickers and other ordeal enemies persist normally.</w:t>
      </w:r>
    </w:p>
    <w:p>
      <w:pPr>
        <w:pStyle w:val="Heading2"/>
        <w:keepNext/>
        <w:widowControl/>
      </w:pPr>
      <w:r>
        <w:t>4.4 Still Interval — repair before resolution</w:t>
      </w:r>
    </w:p>
    <w:p>
      <w:pPr>
        <w:widowControl/>
      </w:pPr>
      <w:r>
        <w:t>After the final scheduled wave, the ceremony pauses for 10/8/6/4 seconds from Minor through Grand. Support sockets and anchors remain active. The timer reaching zero is not enough: every cardinal station must be full before the rite can continue.</w:t>
      </w:r>
    </w:p>
    <w:p>
      <w:pPr>
        <w:pStyle w:val="ListBullet"/>
        <w:widowControl/>
      </w:pPr>
      <w:r>
        <w:t>The HUD shows time remaining, instability-damaged anchors, and dry-anchor blockers.</w:t>
      </w:r>
    </w:p>
    <w:p>
      <w:pPr>
        <w:pStyle w:val="ListBullet"/>
        <w:widowControl/>
      </w:pPr>
      <w:r>
        <w:t>Non-rank rites move from the repaired interval directly to Culmination.</w:t>
      </w:r>
    </w:p>
    <w:p>
      <w:pPr>
        <w:pStyle w:val="ListBullet"/>
        <w:widowControl/>
      </w:pPr>
      <w:r>
        <w:t>Rank rites move into their authored Profession act.</w:t>
      </w:r>
    </w:p>
    <w:p>
      <w:pPr>
        <w:pStyle w:val="Heading2"/>
        <w:keepNext/>
        <w:widowControl/>
      </w:pPr>
      <w:r>
        <w:t>4.5 Profession — the rank rite’s declaration</w:t>
      </w:r>
    </w:p>
    <w:p>
      <w:pPr>
        <w:widowControl/>
      </w:pPr>
      <w:r>
        <w:t>Only rank-up rites use Profession. The act is not a generic final click: each degree rite has an authored prompt, node arrangement, order or choice rule, and interaction method.</w:t>
      </w:r>
    </w:p>
    <w:tbl>
      <w:tblPr>
        <w:tblStyle w:val="TableGrid"/>
        <w:tblW w:type="dxa" w:w="9360"/>
        <w:jc w:val="left"/>
        <w:tblLayout w:type="fixed"/>
        <w:tblLook w:firstColumn="1" w:firstRow="1" w:lastColumn="0" w:lastRow="0" w:noHBand="0" w:noVBand="1" w:val="04A0"/>
        <w:tblInd w:w="120" w:type="dxa"/>
      </w:tblPr>
      <w:tblGrid>
        <w:gridCol w:w="1050"/>
        <w:gridCol w:w="1900"/>
        <w:gridCol w:w="4410"/>
        <w:gridCol w:w="2000"/>
      </w:tblGrid>
      <w:tr>
        <w:trPr>
          <w:tblHeader w:val="true"/>
        </w:trPr>
        <w:tc>
          <w:tcPr>
            <w:tcW w:type="dxa" w:w="1050"/>
            <w:shd w:fill="EADDE0"/>
            <w:vAlign w:val="center"/>
            <w:tcMar>
              <w:top w:w="80" w:type="dxa"/>
              <w:start w:w="120" w:type="dxa"/>
              <w:bottom w:w="80" w:type="dxa"/>
              <w:end w:w="120" w:type="dxa"/>
            </w:tcMar>
          </w:tcPr>
          <w:p>
            <w:pPr>
              <w:pStyle w:val="TableHeader"/>
              <w:keepLines/>
            </w:pPr>
            <w:r>
              <w:t>Target degree</w:t>
            </w:r>
          </w:p>
        </w:tc>
        <w:tc>
          <w:tcPr>
            <w:tcW w:type="dxa" w:w="1900"/>
            <w:shd w:fill="EADDE0"/>
            <w:vAlign w:val="center"/>
            <w:tcMar>
              <w:top w:w="80" w:type="dxa"/>
              <w:start w:w="120" w:type="dxa"/>
              <w:bottom w:w="80" w:type="dxa"/>
              <w:end w:w="120" w:type="dxa"/>
            </w:tcMar>
          </w:tcPr>
          <w:p>
            <w:pPr>
              <w:pStyle w:val="TableHeader"/>
              <w:keepLines/>
            </w:pPr>
            <w:r>
              <w:t>Profession</w:t>
            </w:r>
          </w:p>
        </w:tc>
        <w:tc>
          <w:tcPr>
            <w:tcW w:type="dxa" w:w="4410"/>
            <w:shd w:fill="EADDE0"/>
            <w:vAlign w:val="center"/>
            <w:tcMar>
              <w:top w:w="80" w:type="dxa"/>
              <w:start w:w="120" w:type="dxa"/>
              <w:bottom w:w="80" w:type="dxa"/>
              <w:end w:w="120" w:type="dxa"/>
            </w:tcMar>
          </w:tcPr>
          <w:p>
            <w:pPr>
              <w:pStyle w:val="TableHeader"/>
              <w:keepLines/>
            </w:pPr>
            <w:r>
              <w:t>Player task</w:t>
            </w:r>
          </w:p>
        </w:tc>
        <w:tc>
          <w:tcPr>
            <w:tcW w:type="dxa" w:w="2000"/>
            <w:shd w:fill="EADDE0"/>
            <w:vAlign w:val="center"/>
            <w:tcMar>
              <w:top w:w="80" w:type="dxa"/>
              <w:start w:w="120" w:type="dxa"/>
              <w:bottom w:w="80" w:type="dxa"/>
              <w:end w:w="120" w:type="dxa"/>
            </w:tcMar>
          </w:tcPr>
          <w:p>
            <w:pPr>
              <w:pStyle w:val="TableHeader"/>
              <w:keepLines/>
            </w:pPr>
            <w:r>
              <w:t>Method</w:t>
            </w:r>
          </w:p>
        </w:tc>
      </w:tr>
      <w:tr>
        <w:tc>
          <w:tcPr>
            <w:tcW w:type="dxa" w:w="1050"/>
            <w:vAlign w:val="top"/>
            <w:tcMar>
              <w:top w:w="80" w:type="dxa"/>
              <w:start w:w="120" w:type="dxa"/>
              <w:bottom w:w="80" w:type="dxa"/>
              <w:end w:w="120" w:type="dxa"/>
            </w:tcMar>
          </w:tcPr>
          <w:p>
            <w:pPr>
              <w:pStyle w:val="TableText"/>
              <w:keepLines/>
            </w:pPr>
            <w:r>
              <w:rPr>
                <w:rFonts w:ascii="Calibri" w:hAnsi="Calibri"/>
                <w:color w:val="1F1F1F"/>
                <w:sz w:val="17"/>
              </w:rPr>
              <w:t>1</w:t>
            </w:r>
          </w:p>
        </w:tc>
        <w:tc>
          <w:tcPr>
            <w:tcW w:type="dxa" w:w="1900"/>
            <w:vAlign w:val="top"/>
            <w:tcMar>
              <w:top w:w="80" w:type="dxa"/>
              <w:start w:w="120" w:type="dxa"/>
              <w:bottom w:w="80" w:type="dxa"/>
              <w:end w:w="120" w:type="dxa"/>
            </w:tcMar>
          </w:tcPr>
          <w:p>
            <w:pPr>
              <w:pStyle w:val="TableText"/>
              <w:keepLines/>
            </w:pPr>
            <w:r>
              <w:rPr>
                <w:rFonts w:ascii="Calibri" w:hAnsi="Calibri"/>
                <w:color w:val="1F1F1F"/>
                <w:sz w:val="17"/>
              </w:rPr>
              <w:t>First Circulation</w:t>
            </w:r>
          </w:p>
        </w:tc>
        <w:tc>
          <w:tcPr>
            <w:tcW w:type="dxa" w:w="4410"/>
            <w:vAlign w:val="top"/>
            <w:tcMar>
              <w:top w:w="80" w:type="dxa"/>
              <w:start w:w="120" w:type="dxa"/>
              <w:bottom w:w="80" w:type="dxa"/>
              <w:end w:w="120" w:type="dxa"/>
            </w:tcMar>
          </w:tcPr>
          <w:p>
            <w:pPr>
              <w:pStyle w:val="TableText"/>
              <w:keepLines/>
            </w:pPr>
            <w:r>
              <w:rPr>
                <w:rFonts w:ascii="Calibri" w:hAnsi="Calibri"/>
                <w:color w:val="1F1F1F"/>
                <w:sz w:val="17"/>
              </w:rPr>
              <w:t>Touch four pulses sunwise.</w:t>
            </w:r>
          </w:p>
        </w:tc>
        <w:tc>
          <w:tcPr>
            <w:tcW w:type="dxa" w:w="2000"/>
            <w:vAlign w:val="top"/>
            <w:tcMar>
              <w:top w:w="80" w:type="dxa"/>
              <w:start w:w="120" w:type="dxa"/>
              <w:bottom w:w="80" w:type="dxa"/>
              <w:end w:w="120" w:type="dxa"/>
            </w:tcMar>
          </w:tcPr>
          <w:p>
            <w:pPr>
              <w:pStyle w:val="TableText"/>
              <w:keepLines/>
            </w:pPr>
            <w:r>
              <w:rPr>
                <w:rFonts w:ascii="Calibri" w:hAnsi="Calibri"/>
                <w:color w:val="1F1F1F"/>
                <w:sz w:val="17"/>
              </w:rPr>
              <w:t>Empty-hand interaction</w:t>
            </w:r>
          </w:p>
        </w:tc>
      </w:tr>
      <w:tr>
        <w:tc>
          <w:tcPr>
            <w:tcW w:type="dxa" w:w="1050"/>
            <w:vAlign w:val="top"/>
            <w:tcMar>
              <w:top w:w="80" w:type="dxa"/>
              <w:start w:w="120" w:type="dxa"/>
              <w:bottom w:w="80" w:type="dxa"/>
              <w:end w:w="120" w:type="dxa"/>
            </w:tcMar>
          </w:tcPr>
          <w:p>
            <w:pPr>
              <w:pStyle w:val="TableText"/>
              <w:keepLines/>
            </w:pPr>
            <w:r>
              <w:rPr>
                <w:rFonts w:ascii="Calibri" w:hAnsi="Calibri"/>
                <w:color w:val="1F1F1F"/>
                <w:sz w:val="17"/>
              </w:rPr>
              <w:t>2</w:t>
            </w:r>
          </w:p>
        </w:tc>
        <w:tc>
          <w:tcPr>
            <w:tcW w:type="dxa" w:w="1900"/>
            <w:vAlign w:val="top"/>
            <w:tcMar>
              <w:top w:w="80" w:type="dxa"/>
              <w:start w:w="120" w:type="dxa"/>
              <w:bottom w:w="80" w:type="dxa"/>
              <w:end w:w="120" w:type="dxa"/>
            </w:tcMar>
          </w:tcPr>
          <w:p>
            <w:pPr>
              <w:pStyle w:val="TableText"/>
              <w:keepLines/>
            </w:pPr>
            <w:r>
              <w:rPr>
                <w:rFonts w:ascii="Calibri" w:hAnsi="Calibri"/>
                <w:color w:val="1F1F1F"/>
                <w:sz w:val="17"/>
              </w:rPr>
              <w:t>Tendency Response</w:t>
            </w:r>
          </w:p>
        </w:tc>
        <w:tc>
          <w:tcPr>
            <w:tcW w:type="dxa" w:w="4410"/>
            <w:vAlign w:val="top"/>
            <w:tcMar>
              <w:top w:w="80" w:type="dxa"/>
              <w:start w:w="120" w:type="dxa"/>
              <w:bottom w:w="80" w:type="dxa"/>
              <w:end w:w="120" w:type="dxa"/>
            </w:tcMar>
          </w:tcPr>
          <w:p>
            <w:pPr>
              <w:pStyle w:val="TableText"/>
              <w:keepLines/>
            </w:pPr>
            <w:r>
              <w:rPr>
                <w:rFonts w:ascii="Calibri" w:hAnsi="Calibri"/>
                <w:color w:val="1F1F1F"/>
                <w:sz w:val="17"/>
              </w:rPr>
              <w:t>Choose one blood answer; the direction becomes the declaration.</w:t>
            </w:r>
          </w:p>
        </w:tc>
        <w:tc>
          <w:tcPr>
            <w:tcW w:type="dxa" w:w="2000"/>
            <w:vAlign w:val="top"/>
            <w:tcMar>
              <w:top w:w="80" w:type="dxa"/>
              <w:start w:w="120" w:type="dxa"/>
              <w:bottom w:w="80" w:type="dxa"/>
              <w:end w:w="120" w:type="dxa"/>
            </w:tcMar>
          </w:tcPr>
          <w:p>
            <w:pPr>
              <w:pStyle w:val="TableText"/>
              <w:keepLines/>
            </w:pPr>
            <w:r>
              <w:rPr>
                <w:rFonts w:ascii="Calibri" w:hAnsi="Calibri"/>
                <w:color w:val="1F1F1F"/>
                <w:sz w:val="17"/>
              </w:rPr>
              <w:t>Empty-hand interaction</w:t>
            </w:r>
          </w:p>
        </w:tc>
      </w:tr>
      <w:tr>
        <w:tc>
          <w:tcPr>
            <w:tcW w:type="dxa" w:w="1050"/>
            <w:vAlign w:val="top"/>
            <w:tcMar>
              <w:top w:w="80" w:type="dxa"/>
              <w:start w:w="120" w:type="dxa"/>
              <w:bottom w:w="80" w:type="dxa"/>
              <w:end w:w="120" w:type="dxa"/>
            </w:tcMar>
          </w:tcPr>
          <w:p>
            <w:pPr>
              <w:pStyle w:val="TableText"/>
              <w:keepLines/>
            </w:pPr>
            <w:r>
              <w:rPr>
                <w:rFonts w:ascii="Calibri" w:hAnsi="Calibri"/>
                <w:color w:val="1F1F1F"/>
                <w:sz w:val="17"/>
              </w:rPr>
              <w:t>3</w:t>
            </w:r>
          </w:p>
        </w:tc>
        <w:tc>
          <w:tcPr>
            <w:tcW w:type="dxa" w:w="1900"/>
            <w:vAlign w:val="top"/>
            <w:tcMar>
              <w:top w:w="80" w:type="dxa"/>
              <w:start w:w="120" w:type="dxa"/>
              <w:bottom w:w="80" w:type="dxa"/>
              <w:end w:w="120" w:type="dxa"/>
            </w:tcMar>
          </w:tcPr>
          <w:p>
            <w:pPr>
              <w:pStyle w:val="TableText"/>
              <w:keepLines/>
            </w:pPr>
            <w:r>
              <w:rPr>
                <w:rFonts w:ascii="Calibri" w:hAnsi="Calibri"/>
                <w:color w:val="1F1F1F"/>
                <w:sz w:val="17"/>
              </w:rPr>
              <w:t>Blood Memory</w:t>
            </w:r>
          </w:p>
        </w:tc>
        <w:tc>
          <w:tcPr>
            <w:tcW w:type="dxa" w:w="4410"/>
            <w:vAlign w:val="top"/>
            <w:tcMar>
              <w:top w:w="80" w:type="dxa"/>
              <w:start w:w="120" w:type="dxa"/>
              <w:bottom w:w="80" w:type="dxa"/>
              <w:end w:w="120" w:type="dxa"/>
            </w:tcMar>
          </w:tcPr>
          <w:p>
            <w:pPr>
              <w:pStyle w:val="TableText"/>
              <w:keepLines/>
            </w:pPr>
            <w:r>
              <w:rPr>
                <w:rFonts w:ascii="Calibri" w:hAnsi="Calibri"/>
                <w:color w:val="1F1F1F"/>
                <w:sz w:val="17"/>
              </w:rPr>
              <w:t>Route moving memory from wound to heart.</w:t>
            </w:r>
          </w:p>
        </w:tc>
        <w:tc>
          <w:tcPr>
            <w:tcW w:type="dxa" w:w="2000"/>
            <w:vAlign w:val="top"/>
            <w:tcMar>
              <w:top w:w="80" w:type="dxa"/>
              <w:start w:w="120" w:type="dxa"/>
              <w:bottom w:w="80" w:type="dxa"/>
              <w:end w:w="120" w:type="dxa"/>
            </w:tcMar>
          </w:tcPr>
          <w:p>
            <w:pPr>
              <w:pStyle w:val="TableText"/>
              <w:keepLines/>
            </w:pPr>
            <w:r>
              <w:rPr>
                <w:rFonts w:ascii="Calibri" w:hAnsi="Calibri"/>
                <w:color w:val="1F1F1F"/>
                <w:sz w:val="17"/>
              </w:rPr>
              <w:t>Empty-hand interaction</w:t>
            </w:r>
          </w:p>
        </w:tc>
      </w:tr>
      <w:tr>
        <w:tc>
          <w:tcPr>
            <w:tcW w:type="dxa" w:w="1050"/>
            <w:vAlign w:val="top"/>
            <w:tcMar>
              <w:top w:w="80" w:type="dxa"/>
              <w:start w:w="120" w:type="dxa"/>
              <w:bottom w:w="80" w:type="dxa"/>
              <w:end w:w="120" w:type="dxa"/>
            </w:tcMar>
          </w:tcPr>
          <w:p>
            <w:pPr>
              <w:pStyle w:val="TableText"/>
              <w:keepLines/>
            </w:pPr>
            <w:r>
              <w:rPr>
                <w:rFonts w:ascii="Calibri" w:hAnsi="Calibri"/>
                <w:color w:val="1F1F1F"/>
                <w:sz w:val="17"/>
              </w:rPr>
              <w:t>4</w:t>
            </w:r>
          </w:p>
        </w:tc>
        <w:tc>
          <w:tcPr>
            <w:tcW w:type="dxa" w:w="1900"/>
            <w:vAlign w:val="top"/>
            <w:tcMar>
              <w:top w:w="80" w:type="dxa"/>
              <w:start w:w="120" w:type="dxa"/>
              <w:bottom w:w="80" w:type="dxa"/>
              <w:end w:w="120" w:type="dxa"/>
            </w:tcMar>
          </w:tcPr>
          <w:p>
            <w:pPr>
              <w:pStyle w:val="TableText"/>
              <w:keepLines/>
            </w:pPr>
            <w:r>
              <w:rPr>
                <w:rFonts w:ascii="Calibri" w:hAnsi="Calibri"/>
                <w:color w:val="1F1F1F"/>
                <w:sz w:val="17"/>
              </w:rPr>
              <w:t>Simulacrum Wound</w:t>
            </w:r>
          </w:p>
        </w:tc>
        <w:tc>
          <w:tcPr>
            <w:tcW w:type="dxa" w:w="4410"/>
            <w:vAlign w:val="top"/>
            <w:tcMar>
              <w:top w:w="80" w:type="dxa"/>
              <w:start w:w="120" w:type="dxa"/>
              <w:bottom w:w="80" w:type="dxa"/>
              <w:end w:w="120" w:type="dxa"/>
            </w:tcMar>
          </w:tcPr>
          <w:p>
            <w:pPr>
              <w:pStyle w:val="TableText"/>
              <w:keepLines/>
            </w:pPr>
            <w:r>
              <w:rPr>
                <w:rFonts w:ascii="Calibri" w:hAnsi="Calibri"/>
                <w:color w:val="1F1F1F"/>
                <w:sz w:val="17"/>
              </w:rPr>
              <w:t>Expose the wound, then stabilize it or make the finishing strike.</w:t>
            </w:r>
          </w:p>
        </w:tc>
        <w:tc>
          <w:tcPr>
            <w:tcW w:type="dxa" w:w="2000"/>
            <w:vAlign w:val="top"/>
            <w:tcMar>
              <w:top w:w="80" w:type="dxa"/>
              <w:start w:w="120" w:type="dxa"/>
              <w:bottom w:w="80" w:type="dxa"/>
              <w:end w:w="120" w:type="dxa"/>
            </w:tcMar>
          </w:tcPr>
          <w:p>
            <w:pPr>
              <w:pStyle w:val="TableText"/>
              <w:keepLines/>
            </w:pPr>
            <w:r>
              <w:rPr>
                <w:rFonts w:ascii="Calibri" w:hAnsi="Calibri"/>
                <w:color w:val="1F1F1F"/>
                <w:sz w:val="17"/>
              </w:rPr>
              <w:t>Empty-hand interaction</w:t>
            </w:r>
          </w:p>
        </w:tc>
      </w:tr>
      <w:tr>
        <w:tc>
          <w:tcPr>
            <w:tcW w:type="dxa" w:w="1050"/>
            <w:vAlign w:val="top"/>
            <w:tcMar>
              <w:top w:w="80" w:type="dxa"/>
              <w:start w:w="120" w:type="dxa"/>
              <w:bottom w:w="80" w:type="dxa"/>
              <w:end w:w="120" w:type="dxa"/>
            </w:tcMar>
          </w:tcPr>
          <w:p>
            <w:pPr>
              <w:pStyle w:val="TableText"/>
              <w:keepLines/>
            </w:pPr>
            <w:r>
              <w:rPr>
                <w:rFonts w:ascii="Calibri" w:hAnsi="Calibri"/>
                <w:color w:val="1F1F1F"/>
                <w:sz w:val="17"/>
              </w:rPr>
              <w:t>5</w:t>
            </w:r>
          </w:p>
        </w:tc>
        <w:tc>
          <w:tcPr>
            <w:tcW w:type="dxa" w:w="1900"/>
            <w:vAlign w:val="top"/>
            <w:tcMar>
              <w:top w:w="80" w:type="dxa"/>
              <w:start w:w="120" w:type="dxa"/>
              <w:bottom w:w="80" w:type="dxa"/>
              <w:end w:w="120" w:type="dxa"/>
            </w:tcMar>
          </w:tcPr>
          <w:p>
            <w:pPr>
              <w:pStyle w:val="TableText"/>
              <w:keepLines/>
            </w:pPr>
            <w:r>
              <w:rPr>
                <w:rFonts w:ascii="Calibri" w:hAnsi="Calibri"/>
                <w:color w:val="1F1F1F"/>
                <w:sz w:val="17"/>
              </w:rPr>
              <w:t>Fungal Root</w:t>
            </w:r>
          </w:p>
        </w:tc>
        <w:tc>
          <w:tcPr>
            <w:tcW w:type="dxa" w:w="4410"/>
            <w:vAlign w:val="top"/>
            <w:tcMar>
              <w:top w:w="80" w:type="dxa"/>
              <w:start w:w="120" w:type="dxa"/>
              <w:bottom w:w="80" w:type="dxa"/>
              <w:end w:w="120" w:type="dxa"/>
            </w:tcMar>
          </w:tcPr>
          <w:p>
            <w:pPr>
              <w:pStyle w:val="TableText"/>
              <w:keepLines/>
            </w:pPr>
            <w:r>
              <w:rPr>
                <w:rFonts w:ascii="Calibri" w:hAnsi="Calibri"/>
                <w:color w:val="1F1F1F"/>
                <w:sz w:val="17"/>
              </w:rPr>
              <w:t>Preserve the living root and reject counterfeits.</w:t>
            </w:r>
          </w:p>
        </w:tc>
        <w:tc>
          <w:tcPr>
            <w:tcW w:type="dxa" w:w="2000"/>
            <w:vAlign w:val="top"/>
            <w:tcMar>
              <w:top w:w="80" w:type="dxa"/>
              <w:start w:w="120" w:type="dxa"/>
              <w:bottom w:w="80" w:type="dxa"/>
              <w:end w:w="120" w:type="dxa"/>
            </w:tcMar>
          </w:tcPr>
          <w:p>
            <w:pPr>
              <w:pStyle w:val="TableText"/>
              <w:keepLines/>
            </w:pPr>
            <w:r>
              <w:rPr>
                <w:rFonts w:ascii="Calibri" w:hAnsi="Calibri"/>
                <w:color w:val="1F1F1F"/>
                <w:sz w:val="17"/>
              </w:rPr>
              <w:t>Empty-hand interaction</w:t>
            </w:r>
          </w:p>
        </w:tc>
      </w:tr>
      <w:tr>
        <w:tc>
          <w:tcPr>
            <w:tcW w:type="dxa" w:w="1050"/>
            <w:vAlign w:val="top"/>
            <w:tcMar>
              <w:top w:w="80" w:type="dxa"/>
              <w:start w:w="120" w:type="dxa"/>
              <w:bottom w:w="80" w:type="dxa"/>
              <w:end w:w="120" w:type="dxa"/>
            </w:tcMar>
          </w:tcPr>
          <w:p>
            <w:pPr>
              <w:pStyle w:val="TableText"/>
              <w:keepLines/>
            </w:pPr>
            <w:r>
              <w:rPr>
                <w:rFonts w:ascii="Calibri" w:hAnsi="Calibri"/>
                <w:color w:val="1F1F1F"/>
                <w:sz w:val="17"/>
              </w:rPr>
              <w:t>6</w:t>
            </w:r>
          </w:p>
        </w:tc>
        <w:tc>
          <w:tcPr>
            <w:tcW w:type="dxa" w:w="1900"/>
            <w:vAlign w:val="top"/>
            <w:tcMar>
              <w:top w:w="80" w:type="dxa"/>
              <w:start w:w="120" w:type="dxa"/>
              <w:bottom w:w="80" w:type="dxa"/>
              <w:end w:w="120" w:type="dxa"/>
            </w:tcMar>
          </w:tcPr>
          <w:p>
            <w:pPr>
              <w:pStyle w:val="TableText"/>
              <w:keepLines/>
            </w:pPr>
            <w:r>
              <w:rPr>
                <w:rFonts w:ascii="Calibri" w:hAnsi="Calibri"/>
                <w:color w:val="1F1F1F"/>
                <w:sz w:val="17"/>
              </w:rPr>
              <w:t>Covenant Currents</w:t>
            </w:r>
          </w:p>
        </w:tc>
        <w:tc>
          <w:tcPr>
            <w:tcW w:type="dxa" w:w="4410"/>
            <w:vAlign w:val="top"/>
            <w:tcMar>
              <w:top w:w="80" w:type="dxa"/>
              <w:start w:w="120" w:type="dxa"/>
              <w:bottom w:w="80" w:type="dxa"/>
              <w:end w:w="120" w:type="dxa"/>
            </w:tcMar>
          </w:tcPr>
          <w:p>
            <w:pPr>
              <w:pStyle w:val="TableText"/>
              <w:keepLines/>
            </w:pPr>
            <w:r>
              <w:rPr>
                <w:rFonts w:ascii="Calibri" w:hAnsi="Calibri"/>
                <w:color w:val="1F1F1F"/>
                <w:sz w:val="17"/>
              </w:rPr>
              <w:t>Distribute the current, then recall it without loss.</w:t>
            </w:r>
          </w:p>
        </w:tc>
        <w:tc>
          <w:tcPr>
            <w:tcW w:type="dxa" w:w="2000"/>
            <w:vAlign w:val="top"/>
            <w:tcMar>
              <w:top w:w="80" w:type="dxa"/>
              <w:start w:w="120" w:type="dxa"/>
              <w:bottom w:w="80" w:type="dxa"/>
              <w:end w:w="120" w:type="dxa"/>
            </w:tcMar>
          </w:tcPr>
          <w:p>
            <w:pPr>
              <w:pStyle w:val="TableText"/>
              <w:keepLines/>
            </w:pPr>
            <w:r>
              <w:rPr>
                <w:rFonts w:ascii="Calibri" w:hAnsi="Calibri"/>
                <w:color w:val="1F1F1F"/>
                <w:sz w:val="17"/>
              </w:rPr>
              <w:t>Empty-hand interaction</w:t>
            </w:r>
          </w:p>
        </w:tc>
      </w:tr>
      <w:tr>
        <w:tc>
          <w:tcPr>
            <w:tcW w:type="dxa" w:w="1050"/>
            <w:vAlign w:val="top"/>
            <w:tcMar>
              <w:top w:w="80" w:type="dxa"/>
              <w:start w:w="120" w:type="dxa"/>
              <w:bottom w:w="80" w:type="dxa"/>
              <w:end w:w="120" w:type="dxa"/>
            </w:tcMar>
          </w:tcPr>
          <w:p>
            <w:pPr>
              <w:pStyle w:val="TableText"/>
              <w:keepLines/>
            </w:pPr>
            <w:r>
              <w:rPr>
                <w:rFonts w:ascii="Calibri" w:hAnsi="Calibri"/>
                <w:color w:val="1F1F1F"/>
                <w:sz w:val="17"/>
              </w:rPr>
              <w:t>7</w:t>
            </w:r>
          </w:p>
        </w:tc>
        <w:tc>
          <w:tcPr>
            <w:tcW w:type="dxa" w:w="1900"/>
            <w:vAlign w:val="top"/>
            <w:tcMar>
              <w:top w:w="80" w:type="dxa"/>
              <w:start w:w="120" w:type="dxa"/>
              <w:bottom w:w="80" w:type="dxa"/>
              <w:end w:w="120" w:type="dxa"/>
            </w:tcMar>
          </w:tcPr>
          <w:p>
            <w:pPr>
              <w:pStyle w:val="TableText"/>
              <w:keepLines/>
            </w:pPr>
            <w:r>
              <w:rPr>
                <w:rFonts w:ascii="Calibri" w:hAnsi="Calibri"/>
                <w:color w:val="1F1F1F"/>
                <w:sz w:val="17"/>
              </w:rPr>
              <w:t>Trifold Judgment</w:t>
            </w:r>
          </w:p>
        </w:tc>
        <w:tc>
          <w:tcPr>
            <w:tcW w:type="dxa" w:w="4410"/>
            <w:vAlign w:val="top"/>
            <w:tcMar>
              <w:top w:w="80" w:type="dxa"/>
              <w:start w:w="120" w:type="dxa"/>
              <w:bottom w:w="80" w:type="dxa"/>
              <w:end w:w="120" w:type="dxa"/>
            </w:tcMar>
          </w:tcPr>
          <w:p>
            <w:pPr>
              <w:pStyle w:val="TableText"/>
              <w:keepLines/>
            </w:pPr>
            <w:r>
              <w:rPr>
                <w:rFonts w:ascii="Calibri" w:hAnsi="Calibri"/>
                <w:color w:val="1F1F1F"/>
                <w:sz w:val="17"/>
              </w:rPr>
              <w:t>Judge Order, blood-memory, or fungal truth from authored tells.</w:t>
            </w:r>
          </w:p>
        </w:tc>
        <w:tc>
          <w:tcPr>
            <w:tcW w:type="dxa" w:w="2000"/>
            <w:vAlign w:val="top"/>
            <w:tcMar>
              <w:top w:w="80" w:type="dxa"/>
              <w:start w:w="120" w:type="dxa"/>
              <w:bottom w:w="80" w:type="dxa"/>
              <w:end w:w="120" w:type="dxa"/>
            </w:tcMar>
          </w:tcPr>
          <w:p>
            <w:pPr>
              <w:pStyle w:val="TableText"/>
              <w:keepLines/>
            </w:pPr>
            <w:r>
              <w:rPr>
                <w:rFonts w:ascii="Calibri" w:hAnsi="Calibri"/>
                <w:color w:val="1F1F1F"/>
                <w:sz w:val="17"/>
              </w:rPr>
              <w:t>Empty-hand interaction</w:t>
            </w:r>
          </w:p>
        </w:tc>
      </w:tr>
      <w:tr>
        <w:tc>
          <w:tcPr>
            <w:tcW w:type="dxa" w:w="1050"/>
            <w:vAlign w:val="top"/>
            <w:tcMar>
              <w:top w:w="80" w:type="dxa"/>
              <w:start w:w="120" w:type="dxa"/>
              <w:bottom w:w="80" w:type="dxa"/>
              <w:end w:w="120" w:type="dxa"/>
            </w:tcMar>
          </w:tcPr>
          <w:p>
            <w:pPr>
              <w:pStyle w:val="TableText"/>
              <w:keepLines/>
            </w:pPr>
            <w:r>
              <w:rPr>
                <w:rFonts w:ascii="Calibri" w:hAnsi="Calibri"/>
                <w:color w:val="1F1F1F"/>
                <w:sz w:val="17"/>
              </w:rPr>
              <w:t>8</w:t>
            </w:r>
          </w:p>
        </w:tc>
        <w:tc>
          <w:tcPr>
            <w:tcW w:type="dxa" w:w="1900"/>
            <w:vAlign w:val="top"/>
            <w:tcMar>
              <w:top w:w="80" w:type="dxa"/>
              <w:start w:w="120" w:type="dxa"/>
              <w:bottom w:w="80" w:type="dxa"/>
              <w:end w:w="120" w:type="dxa"/>
            </w:tcMar>
          </w:tcPr>
          <w:p>
            <w:pPr>
              <w:pStyle w:val="TableText"/>
              <w:keepLines/>
            </w:pPr>
            <w:r>
              <w:rPr>
                <w:rFonts w:ascii="Calibri" w:hAnsi="Calibri"/>
                <w:color w:val="1F1F1F"/>
                <w:sz w:val="17"/>
              </w:rPr>
              <w:t>Reverse Circulation</w:t>
            </w:r>
          </w:p>
        </w:tc>
        <w:tc>
          <w:tcPr>
            <w:tcW w:type="dxa" w:w="4410"/>
            <w:vAlign w:val="top"/>
            <w:tcMar>
              <w:top w:w="80" w:type="dxa"/>
              <w:start w:w="120" w:type="dxa"/>
              <w:bottom w:w="80" w:type="dxa"/>
              <w:end w:w="120" w:type="dxa"/>
            </w:tcMar>
          </w:tcPr>
          <w:p>
            <w:pPr>
              <w:pStyle w:val="TableText"/>
              <w:keepLines/>
            </w:pPr>
            <w:r>
              <w:rPr>
                <w:rFonts w:ascii="Calibri" w:hAnsi="Calibri"/>
                <w:color w:val="1F1F1F"/>
                <w:sz w:val="17"/>
              </w:rPr>
              <w:t>Reverse every ring from outside inward; each target takes 50 ml.</w:t>
            </w:r>
          </w:p>
        </w:tc>
        <w:tc>
          <w:tcPr>
            <w:tcW w:type="dxa" w:w="2000"/>
            <w:vAlign w:val="top"/>
            <w:tcMar>
              <w:top w:w="80" w:type="dxa"/>
              <w:start w:w="120" w:type="dxa"/>
              <w:bottom w:w="80" w:type="dxa"/>
              <w:end w:w="120" w:type="dxa"/>
            </w:tcMar>
          </w:tcPr>
          <w:p>
            <w:pPr>
              <w:pStyle w:val="TableText"/>
              <w:keepLines/>
            </w:pPr>
            <w:r>
              <w:rPr>
                <w:rFonts w:ascii="Calibri" w:hAnsi="Calibri"/>
                <w:color w:val="1F1F1F"/>
                <w:sz w:val="17"/>
              </w:rPr>
              <w:t>Projection, 50 ml per target</w:t>
            </w:r>
          </w:p>
        </w:tc>
      </w:tr>
    </w:tbl>
    <w:p>
      <w:pPr>
        <w:widowControl/>
        <w:spacing w:after="0"/>
      </w:pPr>
    </w:p>
    <w:p>
      <w:pPr>
        <w:pStyle w:val="Heading2"/>
        <w:keepNext/>
        <w:widowControl/>
      </w:pPr>
      <w:r>
        <w:t>4.6 Culmination — resolution</w:t>
      </w:r>
    </w:p>
    <w:p>
      <w:pPr>
        <w:widowControl/>
      </w:pPr>
      <w:r>
        <w:t>Culmination lasts 40 ticks (2 seconds). The HUD explicitly says that the rite is resolving and no input is required. The structure is checked one final time, the daemon disperses, threats and awakened sigils are removed, and the recipe’s result, progression, or world effect is applied.</w:t>
      </w:r>
    </w:p>
    <w:p>
      <w:pPr>
        <w:pStyle w:val="Heading1"/>
        <w:keepNext/>
        <w:widowControl/>
      </w:pPr>
      <w:r>
        <w:t>5. Blood economy, projection, and physical space</w:t>
      </w:r>
    </w:p>
    <w:p>
      <w:pPr>
        <w:pStyle w:val="Heading2"/>
        <w:keepNext/>
        <w:widowControl/>
      </w:pPr>
      <w:r>
        <w:t>Blood commitments</w:t>
      </w:r>
    </w:p>
    <w:tbl>
      <w:tblPr>
        <w:tblStyle w:val="TableGrid"/>
        <w:tblW w:type="dxa" w:w="9360"/>
        <w:jc w:val="left"/>
        <w:tblLayout w:type="fixed"/>
        <w:tblLook w:firstColumn="1" w:firstRow="1" w:lastColumn="0" w:lastRow="0" w:noHBand="0" w:noVBand="1" w:val="04A0"/>
        <w:tblInd w:w="120" w:type="dxa"/>
      </w:tblPr>
      <w:tblGrid>
        <w:gridCol w:w="1900"/>
        <w:gridCol w:w="1250"/>
        <w:gridCol w:w="6210"/>
      </w:tblGrid>
      <w:tr>
        <w:trPr>
          <w:tblHeader w:val="true"/>
        </w:trPr>
        <w:tc>
          <w:tcPr>
            <w:tcW w:type="dxa" w:w="1900"/>
            <w:shd w:fill="EADDE0"/>
            <w:vAlign w:val="center"/>
            <w:tcMar>
              <w:top w:w="80" w:type="dxa"/>
              <w:start w:w="120" w:type="dxa"/>
              <w:bottom w:w="80" w:type="dxa"/>
              <w:end w:w="120" w:type="dxa"/>
            </w:tcMar>
          </w:tcPr>
          <w:p>
            <w:pPr>
              <w:pStyle w:val="TableHeader"/>
              <w:keepLines/>
            </w:pPr>
            <w:r>
              <w:t>Commitment</w:t>
            </w:r>
          </w:p>
        </w:tc>
        <w:tc>
          <w:tcPr>
            <w:tcW w:type="dxa" w:w="1250"/>
            <w:shd w:fill="EADDE0"/>
            <w:vAlign w:val="center"/>
            <w:tcMar>
              <w:top w:w="80" w:type="dxa"/>
              <w:start w:w="120" w:type="dxa"/>
              <w:bottom w:w="80" w:type="dxa"/>
              <w:end w:w="120" w:type="dxa"/>
            </w:tcMar>
          </w:tcPr>
          <w:p>
            <w:pPr>
              <w:pStyle w:val="TableHeader"/>
              <w:keepLines/>
            </w:pPr>
            <w:r>
              <w:t>Amount</w:t>
            </w:r>
          </w:p>
        </w:tc>
        <w:tc>
          <w:tcPr>
            <w:tcW w:type="dxa" w:w="6210"/>
            <w:shd w:fill="EADDE0"/>
            <w:vAlign w:val="center"/>
            <w:tcMar>
              <w:top w:w="80" w:type="dxa"/>
              <w:start w:w="120" w:type="dxa"/>
              <w:bottom w:w="80" w:type="dxa"/>
              <w:end w:w="120" w:type="dxa"/>
            </w:tcMar>
          </w:tcPr>
          <w:p>
            <w:pPr>
              <w:pStyle w:val="TableHeader"/>
              <w:keepLines/>
            </w:pPr>
            <w:r>
              <w:t>Notes</w:t>
            </w:r>
          </w:p>
        </w:tc>
      </w:tr>
      <w:tr>
        <w:tc>
          <w:tcPr>
            <w:tcW w:type="dxa" w:w="1900"/>
            <w:vAlign w:val="top"/>
            <w:tcMar>
              <w:top w:w="80" w:type="dxa"/>
              <w:start w:w="120" w:type="dxa"/>
              <w:bottom w:w="80" w:type="dxa"/>
              <w:end w:w="120" w:type="dxa"/>
            </w:tcMar>
          </w:tcPr>
          <w:p>
            <w:pPr>
              <w:pStyle w:val="TableText"/>
              <w:keepLines/>
            </w:pPr>
            <w:r>
              <w:rPr>
                <w:rFonts w:ascii="Calibri" w:hAnsi="Calibri"/>
                <w:color w:val="1F1F1F"/>
                <w:sz w:val="18"/>
              </w:rPr>
              <w:t>Boundary anchor</w:t>
            </w:r>
          </w:p>
        </w:tc>
        <w:tc>
          <w:tcPr>
            <w:tcW w:type="dxa" w:w="1250"/>
            <w:vAlign w:val="top"/>
            <w:tcMar>
              <w:top w:w="80" w:type="dxa"/>
              <w:start w:w="120" w:type="dxa"/>
              <w:bottom w:w="80" w:type="dxa"/>
              <w:end w:w="120" w:type="dxa"/>
            </w:tcMar>
          </w:tcPr>
          <w:p>
            <w:pPr>
              <w:pStyle w:val="TableText"/>
              <w:keepLines/>
            </w:pPr>
            <w:r>
              <w:rPr>
                <w:rFonts w:ascii="Calibri" w:hAnsi="Calibri"/>
                <w:color w:val="1F1F1F"/>
                <w:sz w:val="18"/>
              </w:rPr>
              <w:t>50 ml</w:t>
            </w:r>
          </w:p>
        </w:tc>
        <w:tc>
          <w:tcPr>
            <w:tcW w:type="dxa" w:w="6210"/>
            <w:vAlign w:val="top"/>
            <w:tcMar>
              <w:top w:w="80" w:type="dxa"/>
              <w:start w:w="120" w:type="dxa"/>
              <w:bottom w:w="80" w:type="dxa"/>
              <w:end w:w="120" w:type="dxa"/>
            </w:tcMar>
          </w:tcPr>
          <w:p>
            <w:pPr>
              <w:pStyle w:val="TableText"/>
              <w:keepLines/>
            </w:pPr>
            <w:r>
              <w:rPr>
                <w:rFonts w:ascii="Calibri" w:hAnsi="Calibri"/>
                <w:color w:val="1F1F1F"/>
                <w:sz w:val="18"/>
              </w:rPr>
              <w:t>Four per ring; 200 ml of mandatory boundary blood per ceremony ring.</w:t>
            </w:r>
          </w:p>
        </w:tc>
      </w:tr>
      <w:tr>
        <w:tc>
          <w:tcPr>
            <w:tcW w:type="dxa" w:w="1900"/>
            <w:vAlign w:val="top"/>
            <w:tcMar>
              <w:top w:w="80" w:type="dxa"/>
              <w:start w:w="120" w:type="dxa"/>
              <w:bottom w:w="80" w:type="dxa"/>
              <w:end w:w="120" w:type="dxa"/>
            </w:tcMar>
          </w:tcPr>
          <w:p>
            <w:pPr>
              <w:pStyle w:val="TableText"/>
              <w:keepLines/>
            </w:pPr>
            <w:r>
              <w:rPr>
                <w:rFonts w:ascii="Calibri" w:hAnsi="Calibri"/>
                <w:color w:val="1F1F1F"/>
                <w:sz w:val="18"/>
              </w:rPr>
              <w:t>Sigil node</w:t>
            </w:r>
          </w:p>
        </w:tc>
        <w:tc>
          <w:tcPr>
            <w:tcW w:type="dxa" w:w="1250"/>
            <w:vAlign w:val="top"/>
            <w:tcMar>
              <w:top w:w="80" w:type="dxa"/>
              <w:start w:w="120" w:type="dxa"/>
              <w:bottom w:w="80" w:type="dxa"/>
              <w:end w:w="120" w:type="dxa"/>
            </w:tcMar>
          </w:tcPr>
          <w:p>
            <w:pPr>
              <w:pStyle w:val="TableText"/>
              <w:keepLines/>
            </w:pPr>
            <w:r>
              <w:rPr>
                <w:rFonts w:ascii="Calibri" w:hAnsi="Calibri"/>
                <w:color w:val="1F1F1F"/>
                <w:sz w:val="18"/>
              </w:rPr>
              <w:t>50 ml</w:t>
            </w:r>
          </w:p>
        </w:tc>
        <w:tc>
          <w:tcPr>
            <w:tcW w:type="dxa" w:w="6210"/>
            <w:vAlign w:val="top"/>
            <w:tcMar>
              <w:top w:w="80" w:type="dxa"/>
              <w:start w:w="120" w:type="dxa"/>
              <w:bottom w:w="80" w:type="dxa"/>
              <w:end w:w="120" w:type="dxa"/>
            </w:tcMar>
          </w:tcPr>
          <w:p>
            <w:pPr>
              <w:pStyle w:val="TableText"/>
              <w:keepLines/>
            </w:pPr>
            <w:r>
              <w:rPr>
                <w:rFonts w:ascii="Calibri" w:hAnsi="Calibri"/>
                <w:color w:val="1F1F1F"/>
                <w:sz w:val="18"/>
              </w:rPr>
              <w:t>Total sigil cost equals node count × 50 ml.</w:t>
            </w:r>
          </w:p>
        </w:tc>
      </w:tr>
      <w:tr>
        <w:tc>
          <w:tcPr>
            <w:tcW w:type="dxa" w:w="1900"/>
            <w:vAlign w:val="top"/>
            <w:tcMar>
              <w:top w:w="80" w:type="dxa"/>
              <w:start w:w="120" w:type="dxa"/>
              <w:bottom w:w="80" w:type="dxa"/>
              <w:end w:w="120" w:type="dxa"/>
            </w:tcMar>
          </w:tcPr>
          <w:p>
            <w:pPr>
              <w:pStyle w:val="TableText"/>
              <w:keepLines/>
            </w:pPr>
            <w:r>
              <w:rPr>
                <w:rFonts w:ascii="Calibri" w:hAnsi="Calibri"/>
                <w:color w:val="1F1F1F"/>
                <w:sz w:val="18"/>
              </w:rPr>
              <w:t>Wrong sigil node</w:t>
            </w:r>
          </w:p>
        </w:tc>
        <w:tc>
          <w:tcPr>
            <w:tcW w:type="dxa" w:w="1250"/>
            <w:vAlign w:val="top"/>
            <w:tcMar>
              <w:top w:w="80" w:type="dxa"/>
              <w:start w:w="120" w:type="dxa"/>
              <w:bottom w:w="80" w:type="dxa"/>
              <w:end w:w="120" w:type="dxa"/>
            </w:tcMar>
          </w:tcPr>
          <w:p>
            <w:pPr>
              <w:pStyle w:val="TableText"/>
              <w:keepLines/>
            </w:pPr>
            <w:r>
              <w:rPr>
                <w:rFonts w:ascii="Calibri" w:hAnsi="Calibri"/>
                <w:color w:val="1F1F1F"/>
                <w:sz w:val="18"/>
              </w:rPr>
              <w:t>Up to 5 ml</w:t>
            </w:r>
          </w:p>
        </w:tc>
        <w:tc>
          <w:tcPr>
            <w:tcW w:type="dxa" w:w="6210"/>
            <w:vAlign w:val="top"/>
            <w:tcMar>
              <w:top w:w="80" w:type="dxa"/>
              <w:start w:w="120" w:type="dxa"/>
              <w:bottom w:w="80" w:type="dxa"/>
              <w:end w:w="120" w:type="dxa"/>
            </w:tcMar>
          </w:tcPr>
          <w:p>
            <w:pPr>
              <w:pStyle w:val="TableText"/>
              <w:keepLines/>
            </w:pPr>
            <w:r>
              <w:rPr>
                <w:rFonts w:ascii="Calibri" w:hAnsi="Calibri"/>
                <w:color w:val="1F1F1F"/>
                <w:sz w:val="18"/>
              </w:rPr>
              <w:t>Adds 1 instability, with a 20-tick cooldown per wrong node; an Attendant can catch it.</w:t>
            </w:r>
          </w:p>
        </w:tc>
      </w:tr>
      <w:tr>
        <w:tc>
          <w:tcPr>
            <w:tcW w:type="dxa" w:w="1900"/>
            <w:vAlign w:val="top"/>
            <w:tcMar>
              <w:top w:w="80" w:type="dxa"/>
              <w:start w:w="120" w:type="dxa"/>
              <w:bottom w:w="80" w:type="dxa"/>
              <w:end w:w="120" w:type="dxa"/>
            </w:tcMar>
          </w:tcPr>
          <w:p>
            <w:pPr>
              <w:pStyle w:val="TableText"/>
              <w:keepLines/>
            </w:pPr>
            <w:r>
              <w:rPr>
                <w:rFonts w:ascii="Calibri" w:hAnsi="Calibri"/>
                <w:color w:val="1F1F1F"/>
                <w:sz w:val="18"/>
              </w:rPr>
              <w:t>Instability repair</w:t>
            </w:r>
          </w:p>
        </w:tc>
        <w:tc>
          <w:tcPr>
            <w:tcW w:type="dxa" w:w="1250"/>
            <w:vAlign w:val="top"/>
            <w:tcMar>
              <w:top w:w="80" w:type="dxa"/>
              <w:start w:w="120" w:type="dxa"/>
              <w:bottom w:w="80" w:type="dxa"/>
              <w:end w:w="120" w:type="dxa"/>
            </w:tcMar>
          </w:tcPr>
          <w:p>
            <w:pPr>
              <w:pStyle w:val="TableText"/>
              <w:keepLines/>
            </w:pPr>
            <w:r>
              <w:rPr>
                <w:rFonts w:ascii="Calibri" w:hAnsi="Calibri"/>
                <w:color w:val="1F1F1F"/>
                <w:sz w:val="18"/>
              </w:rPr>
              <w:t>50 ml</w:t>
            </w:r>
          </w:p>
        </w:tc>
        <w:tc>
          <w:tcPr>
            <w:tcW w:type="dxa" w:w="6210"/>
            <w:vAlign w:val="top"/>
            <w:tcMar>
              <w:top w:w="80" w:type="dxa"/>
              <w:start w:w="120" w:type="dxa"/>
              <w:bottom w:w="80" w:type="dxa"/>
              <w:end w:w="120" w:type="dxa"/>
            </w:tcMar>
          </w:tcPr>
          <w:p>
            <w:pPr>
              <w:pStyle w:val="TableText"/>
              <w:keepLines/>
            </w:pPr>
            <w:r>
              <w:rPr>
                <w:rFonts w:ascii="Calibri" w:hAnsi="Calibri"/>
                <w:color w:val="1F1F1F"/>
                <w:sz w:val="18"/>
              </w:rPr>
              <w:t>Repairs the selected damaged section and lowers instability by ceil(100 / anchor count).</w:t>
            </w:r>
          </w:p>
        </w:tc>
      </w:tr>
      <w:tr>
        <w:tc>
          <w:tcPr>
            <w:tcW w:type="dxa" w:w="1900"/>
            <w:vAlign w:val="top"/>
            <w:tcMar>
              <w:top w:w="80" w:type="dxa"/>
              <w:start w:w="120" w:type="dxa"/>
              <w:bottom w:w="80" w:type="dxa"/>
              <w:end w:w="120" w:type="dxa"/>
            </w:tcMar>
          </w:tcPr>
          <w:p>
            <w:pPr>
              <w:pStyle w:val="TableText"/>
              <w:keepLines/>
            </w:pPr>
            <w:r>
              <w:rPr>
                <w:rFonts w:ascii="Calibri" w:hAnsi="Calibri"/>
                <w:color w:val="1F1F1F"/>
                <w:sz w:val="18"/>
              </w:rPr>
              <w:t>Apotheos profession node</w:t>
            </w:r>
          </w:p>
        </w:tc>
        <w:tc>
          <w:tcPr>
            <w:tcW w:type="dxa" w:w="1250"/>
            <w:vAlign w:val="top"/>
            <w:tcMar>
              <w:top w:w="80" w:type="dxa"/>
              <w:start w:w="120" w:type="dxa"/>
              <w:bottom w:w="80" w:type="dxa"/>
              <w:end w:w="120" w:type="dxa"/>
            </w:tcMar>
          </w:tcPr>
          <w:p>
            <w:pPr>
              <w:pStyle w:val="TableText"/>
              <w:keepLines/>
            </w:pPr>
            <w:r>
              <w:rPr>
                <w:rFonts w:ascii="Calibri" w:hAnsi="Calibri"/>
                <w:color w:val="1F1F1F"/>
                <w:sz w:val="18"/>
              </w:rPr>
              <w:t>50 ml</w:t>
            </w:r>
          </w:p>
        </w:tc>
        <w:tc>
          <w:tcPr>
            <w:tcW w:type="dxa" w:w="6210"/>
            <w:vAlign w:val="top"/>
            <w:tcMar>
              <w:top w:w="80" w:type="dxa"/>
              <w:start w:w="120" w:type="dxa"/>
              <w:bottom w:w="80" w:type="dxa"/>
              <w:end w:w="120" w:type="dxa"/>
            </w:tcMar>
          </w:tcPr>
          <w:p>
            <w:pPr>
              <w:pStyle w:val="TableText"/>
              <w:keepLines/>
            </w:pPr>
            <w:r>
              <w:rPr>
                <w:rFonts w:ascii="Calibri" w:hAnsi="Calibri"/>
                <w:color w:val="1F1F1F"/>
                <w:sz w:val="18"/>
              </w:rPr>
              <w:t>Reverse circulation, outermost to innermost.</w:t>
            </w:r>
          </w:p>
        </w:tc>
      </w:tr>
      <w:tr>
        <w:tc>
          <w:tcPr>
            <w:tcW w:type="dxa" w:w="1900"/>
            <w:vAlign w:val="top"/>
            <w:tcMar>
              <w:top w:w="80" w:type="dxa"/>
              <w:start w:w="120" w:type="dxa"/>
              <w:bottom w:w="80" w:type="dxa"/>
              <w:end w:w="120" w:type="dxa"/>
            </w:tcMar>
          </w:tcPr>
          <w:p>
            <w:pPr>
              <w:pStyle w:val="TableText"/>
              <w:keepLines/>
            </w:pPr>
            <w:r>
              <w:rPr>
                <w:rFonts w:ascii="Calibri" w:hAnsi="Calibri"/>
                <w:color w:val="1F1F1F"/>
                <w:sz w:val="18"/>
              </w:rPr>
              <w:t>Daemon seal</w:t>
            </w:r>
          </w:p>
        </w:tc>
        <w:tc>
          <w:tcPr>
            <w:tcW w:type="dxa" w:w="1250"/>
            <w:vAlign w:val="top"/>
            <w:tcMar>
              <w:top w:w="80" w:type="dxa"/>
              <w:start w:w="120" w:type="dxa"/>
              <w:bottom w:w="80" w:type="dxa"/>
              <w:end w:w="120" w:type="dxa"/>
            </w:tcMar>
          </w:tcPr>
          <w:p>
            <w:pPr>
              <w:pStyle w:val="TableText"/>
              <w:keepLines/>
            </w:pPr>
            <w:r>
              <w:rPr>
                <w:rFonts w:ascii="Calibri" w:hAnsi="Calibri"/>
                <w:color w:val="1F1F1F"/>
                <w:sz w:val="18"/>
              </w:rPr>
              <w:t>0 ml</w:t>
            </w:r>
          </w:p>
        </w:tc>
        <w:tc>
          <w:tcPr>
            <w:tcW w:type="dxa" w:w="6210"/>
            <w:vAlign w:val="top"/>
            <w:tcMar>
              <w:top w:w="80" w:type="dxa"/>
              <w:start w:w="120" w:type="dxa"/>
              <w:bottom w:w="80" w:type="dxa"/>
              <w:end w:w="120" w:type="dxa"/>
            </w:tcMar>
          </w:tcPr>
          <w:p>
            <w:pPr>
              <w:pStyle w:val="TableText"/>
              <w:keepLines/>
            </w:pPr>
            <w:r>
              <w:rPr>
                <w:rFonts w:ascii="Calibri" w:hAnsi="Calibri"/>
                <w:color w:val="1F1F1F"/>
                <w:sz w:val="18"/>
              </w:rPr>
              <w:t>A commitment interaction; required special catalysts are separate.</w:t>
            </w:r>
          </w:p>
        </w:tc>
      </w:tr>
    </w:tbl>
    <w:p>
      <w:pPr>
        <w:widowControl/>
        <w:spacing w:after="0"/>
      </w:pPr>
    </w:p>
    <w:p>
      <w:pPr>
        <w:widowControl/>
      </w:pPr>
      <w:r>
        <w:t>Projected blood is drawn in order from carried Unsettled Ichor, the projecting player’s blood volume, and then shared blood access where the participant has opted in. Reservoir storage can replace blood stolen by Bloodlickers before a loss becomes instability.</w:t>
      </w:r>
    </w:p>
    <w:p>
      <w:pPr>
        <w:pStyle w:val="Heading2"/>
        <w:keepNext/>
        <w:widowControl/>
      </w:pPr>
      <w:r>
        <w:t>Virtual targeting and surface alignment</w:t>
      </w:r>
    </w:p>
    <w:p>
      <w:pPr>
        <w:pStyle w:val="ListBullet"/>
        <w:widowControl/>
      </w:pPr>
      <w:r>
        <w:t>The player’s look ray is tested against active virtual targets within the normal 5.5-block projection range before the ordinary block hit is considered.</w:t>
      </w:r>
    </w:p>
    <w:p>
      <w:pPr>
        <w:pStyle w:val="ListBullet"/>
        <w:widowControl/>
      </w:pPr>
      <w:r>
        <w:t>The closest target along the ray wins—not the target physically closest to the player—so aligned nodes do not cause a nearer off-crosshair node to steal the stroke.</w:t>
      </w:r>
    </w:p>
    <w:p>
      <w:pPr>
        <w:pStyle w:val="ListBullet"/>
        <w:widowControl/>
      </w:pPr>
      <w:r>
        <w:t>The same aim-point rules drive server interaction and client rendering.</w:t>
      </w:r>
    </w:p>
    <w:p>
      <w:pPr>
        <w:pStyle w:val="ListBullet"/>
        <w:widowControl/>
      </w:pPr>
      <w:r>
        <w:t>Sigil nodes resolve to air immediately above the highest solid surface near their authored position, while still remaining clickable if that position itself is air.</w:t>
      </w:r>
    </w:p>
    <w:p>
      <w:pPr>
        <w:pStyle w:val="ListBullet"/>
        <w:widowControl/>
      </w:pPr>
      <w:r>
        <w:t>Support and response placements maintain at least two blocks of node clearance from anchors and other sigils; colliding sigils are shifted to the nearest safe footprint.</w:t>
      </w:r>
    </w:p>
    <w:p>
      <w:pPr>
        <w:pStyle w:val="Heading2"/>
        <w:keepNext/>
        <w:widowControl/>
      </w:pPr>
      <w:r>
        <w:t>Footprint, Fane shell, and caster leash</w:t>
      </w:r>
    </w:p>
    <w:p>
      <w:pPr>
        <w:widowControl/>
      </w:pPr>
      <w:r>
        <w:t>The ritual footprint is the farthest horizontal extent of every boundary anchor and every resolved sigil node, plus 0.75 blocks of visual clearance. The Fane exterior renders at this full fixed radius instead of stopping at the currently completed ring. Rite-effect bounds and the caster leash are never smaller than that footprint.</w:t>
      </w:r>
    </w:p>
    <w:p>
      <w:pPr>
        <w:pStyle w:val="ListBullet"/>
        <w:widowControl/>
      </w:pPr>
      <w:r>
        <w:t>Awakened sigils orbit inside the complete footprint, not inside a fixed 3 × 3 area.</w:t>
      </w:r>
    </w:p>
    <w:p>
      <w:pPr>
        <w:pStyle w:val="ListBullet"/>
        <w:widowControl/>
      </w:pPr>
      <w:r>
        <w:t>The normal caster leash is three times the calculated ritual radius, expanded further when the full footprint demands it.</w:t>
      </w:r>
    </w:p>
    <w:p>
      <w:pPr>
        <w:pStyle w:val="ListBullet"/>
        <w:widowControl/>
      </w:pPr>
      <w:r>
        <w:t>Leaving the caster bounds deals 1 damage and drains 25 ml every tick, shows a return warning, and pauses ceremony advancement until the caster returns.</w:t>
      </w:r>
    </w:p>
    <w:p>
      <w:pPr>
        <w:pStyle w:val="Heading1"/>
        <w:keepNext/>
        <w:widowControl/>
      </w:pPr>
      <w:r>
        <w:t>6. Boundary integrity and instability</w:t>
      </w:r>
    </w:p>
    <w:p>
      <w:pPr>
        <w:widowControl/>
      </w:pPr>
      <w:r>
        <w:t>Anchor blood and instability damage are related but distinct. A dry anchor is below 50 ml. An instability-damaged anchor is a broken or flickering section selected by the global instability percentage. Both can block progress, and a damaged section may require repair even if its stored anchor blood is otherwise full.</w:t>
      </w:r>
    </w:p>
    <w:tbl>
      <w:tblPr>
        <w:tblStyle w:val="TableGrid"/>
        <w:tblW w:type="dxa" w:w="9360"/>
        <w:jc w:val="left"/>
        <w:tblLayout w:type="fixed"/>
        <w:tblLook w:firstColumn="1" w:firstRow="1" w:lastColumn="0" w:lastRow="0" w:noHBand="0" w:noVBand="1" w:val="04A0"/>
        <w:tblInd w:w="120" w:type="dxa"/>
      </w:tblPr>
      <w:tblGrid>
        <w:gridCol w:w="1300"/>
        <w:gridCol w:w="1450"/>
        <w:gridCol w:w="6610"/>
      </w:tblGrid>
      <w:tr>
        <w:trPr>
          <w:tblHeader w:val="true"/>
        </w:trPr>
        <w:tc>
          <w:tcPr>
            <w:tcW w:type="dxa" w:w="1300"/>
            <w:shd w:fill="EADDE0"/>
            <w:vAlign w:val="center"/>
            <w:tcMar>
              <w:top w:w="80" w:type="dxa"/>
              <w:start w:w="120" w:type="dxa"/>
              <w:bottom w:w="80" w:type="dxa"/>
              <w:end w:w="120" w:type="dxa"/>
            </w:tcMar>
          </w:tcPr>
          <w:p>
            <w:pPr>
              <w:pStyle w:val="TableHeader"/>
              <w:keepLines/>
            </w:pPr>
            <w:r>
              <w:t>Instability</w:t>
            </w:r>
          </w:p>
        </w:tc>
        <w:tc>
          <w:tcPr>
            <w:tcW w:type="dxa" w:w="1450"/>
            <w:shd w:fill="EADDE0"/>
            <w:vAlign w:val="center"/>
            <w:tcMar>
              <w:top w:w="80" w:type="dxa"/>
              <w:start w:w="120" w:type="dxa"/>
              <w:bottom w:w="80" w:type="dxa"/>
              <w:end w:w="120" w:type="dxa"/>
            </w:tcMar>
          </w:tcPr>
          <w:p>
            <w:pPr>
              <w:pStyle w:val="TableHeader"/>
              <w:keepLines/>
            </w:pPr>
            <w:r>
              <w:t>Band</w:t>
            </w:r>
          </w:p>
        </w:tc>
        <w:tc>
          <w:tcPr>
            <w:tcW w:type="dxa" w:w="6610"/>
            <w:shd w:fill="EADDE0"/>
            <w:vAlign w:val="center"/>
            <w:tcMar>
              <w:top w:w="80" w:type="dxa"/>
              <w:start w:w="120" w:type="dxa"/>
              <w:bottom w:w="80" w:type="dxa"/>
              <w:end w:w="120" w:type="dxa"/>
            </w:tcMar>
          </w:tcPr>
          <w:p>
            <w:pPr>
              <w:pStyle w:val="TableHeader"/>
              <w:keepLines/>
            </w:pPr>
            <w:r>
              <w:t>Boundary behavior</w:t>
            </w:r>
          </w:p>
        </w:tc>
      </w:tr>
      <w:tr>
        <w:tc>
          <w:tcPr>
            <w:tcW w:type="dxa" w:w="1300"/>
            <w:vAlign w:val="top"/>
            <w:tcMar>
              <w:top w:w="80" w:type="dxa"/>
              <w:start w:w="120" w:type="dxa"/>
              <w:bottom w:w="80" w:type="dxa"/>
              <w:end w:w="120" w:type="dxa"/>
            </w:tcMar>
          </w:tcPr>
          <w:p>
            <w:pPr>
              <w:pStyle w:val="TableText"/>
              <w:keepLines/>
            </w:pPr>
            <w:r>
              <w:rPr>
                <w:rFonts w:ascii="Calibri" w:hAnsi="Calibri"/>
                <w:color w:val="1F1F1F"/>
                <w:sz w:val="18"/>
              </w:rPr>
              <w:t>0–39</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8"/>
              </w:rPr>
              <w:t>Stable</w:t>
            </w:r>
          </w:p>
        </w:tc>
        <w:tc>
          <w:tcPr>
            <w:tcW w:type="dxa" w:w="6610"/>
            <w:vAlign w:val="top"/>
            <w:tcMar>
              <w:top w:w="80" w:type="dxa"/>
              <w:start w:w="120" w:type="dxa"/>
              <w:bottom w:w="80" w:type="dxa"/>
              <w:end w:w="120" w:type="dxa"/>
            </w:tcMar>
          </w:tcPr>
          <w:p>
            <w:pPr>
              <w:pStyle w:val="TableText"/>
              <w:keepLines/>
            </w:pPr>
            <w:r>
              <w:rPr>
                <w:rFonts w:ascii="Calibri" w:hAnsi="Calibri"/>
                <w:color w:val="1F1F1F"/>
                <w:sz w:val="18"/>
              </w:rPr>
              <w:t>No named warning band, though individual section flicker can begin as percentage crosses anchor fractions.</w:t>
            </w:r>
          </w:p>
        </w:tc>
      </w:tr>
      <w:tr>
        <w:tc>
          <w:tcPr>
            <w:tcW w:type="dxa" w:w="1300"/>
            <w:vAlign w:val="top"/>
            <w:tcMar>
              <w:top w:w="80" w:type="dxa"/>
              <w:start w:w="120" w:type="dxa"/>
              <w:bottom w:w="80" w:type="dxa"/>
              <w:end w:w="120" w:type="dxa"/>
            </w:tcMar>
          </w:tcPr>
          <w:p>
            <w:pPr>
              <w:pStyle w:val="TableText"/>
              <w:keepLines/>
            </w:pPr>
            <w:r>
              <w:rPr>
                <w:rFonts w:ascii="Calibri" w:hAnsi="Calibri"/>
                <w:color w:val="1F1F1F"/>
                <w:sz w:val="18"/>
              </w:rPr>
              <w:t>40–69</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8"/>
              </w:rPr>
              <w:t>Strained</w:t>
            </w:r>
          </w:p>
        </w:tc>
        <w:tc>
          <w:tcPr>
            <w:tcW w:type="dxa" w:w="6610"/>
            <w:vAlign w:val="top"/>
            <w:tcMar>
              <w:top w:w="80" w:type="dxa"/>
              <w:start w:w="120" w:type="dxa"/>
              <w:bottom w:w="80" w:type="dxa"/>
              <w:end w:w="120" w:type="dxa"/>
            </w:tcMar>
          </w:tcPr>
          <w:p>
            <w:pPr>
              <w:pStyle w:val="TableText"/>
              <w:keepLines/>
            </w:pPr>
            <w:r>
              <w:rPr>
                <w:rFonts w:ascii="Calibri" w:hAnsi="Calibri"/>
                <w:color w:val="1F1F1F"/>
                <w:sz w:val="18"/>
              </w:rPr>
              <w:t>More of the boundary visibly threatens or breaks.</w:t>
            </w:r>
          </w:p>
        </w:tc>
      </w:tr>
      <w:tr>
        <w:tc>
          <w:tcPr>
            <w:tcW w:type="dxa" w:w="1300"/>
            <w:vAlign w:val="top"/>
            <w:tcMar>
              <w:top w:w="80" w:type="dxa"/>
              <w:start w:w="120" w:type="dxa"/>
              <w:bottom w:w="80" w:type="dxa"/>
              <w:end w:w="120" w:type="dxa"/>
            </w:tcMar>
          </w:tcPr>
          <w:p>
            <w:pPr>
              <w:pStyle w:val="TableText"/>
              <w:keepLines/>
            </w:pPr>
            <w:r>
              <w:rPr>
                <w:rFonts w:ascii="Calibri" w:hAnsi="Calibri"/>
                <w:color w:val="1F1F1F"/>
                <w:sz w:val="18"/>
              </w:rPr>
              <w:t>70–99</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8"/>
              </w:rPr>
              <w:t>Rupturing</w:t>
            </w:r>
          </w:p>
        </w:tc>
        <w:tc>
          <w:tcPr>
            <w:tcW w:type="dxa" w:w="6610"/>
            <w:vAlign w:val="top"/>
            <w:tcMar>
              <w:top w:w="80" w:type="dxa"/>
              <w:start w:w="120" w:type="dxa"/>
              <w:bottom w:w="80" w:type="dxa"/>
              <w:end w:w="120" w:type="dxa"/>
            </w:tcMar>
          </w:tcPr>
          <w:p>
            <w:pPr>
              <w:pStyle w:val="TableText"/>
              <w:keepLines/>
            </w:pPr>
            <w:r>
              <w:rPr>
                <w:rFonts w:ascii="Calibri" w:hAnsi="Calibri"/>
                <w:color w:val="1F1F1F"/>
                <w:sz w:val="18"/>
              </w:rPr>
              <w:t>The layered defense is close to total failure.</w:t>
            </w:r>
          </w:p>
        </w:tc>
      </w:tr>
      <w:tr>
        <w:tc>
          <w:tcPr>
            <w:tcW w:type="dxa" w:w="1300"/>
            <w:vAlign w:val="top"/>
            <w:tcMar>
              <w:top w:w="80" w:type="dxa"/>
              <w:start w:w="120" w:type="dxa"/>
              <w:bottom w:w="80" w:type="dxa"/>
              <w:end w:w="120" w:type="dxa"/>
            </w:tcMar>
          </w:tcPr>
          <w:p>
            <w:pPr>
              <w:pStyle w:val="TableText"/>
              <w:keepLines/>
            </w:pPr>
            <w:r>
              <w:rPr>
                <w:rFonts w:ascii="Calibri" w:hAnsi="Calibri"/>
                <w:color w:val="1F1F1F"/>
                <w:sz w:val="18"/>
              </w:rPr>
              <w:t>100</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8"/>
              </w:rPr>
              <w:t>Collapsed</w:t>
            </w:r>
          </w:p>
        </w:tc>
        <w:tc>
          <w:tcPr>
            <w:tcW w:type="dxa" w:w="6610"/>
            <w:vAlign w:val="top"/>
            <w:tcMar>
              <w:top w:w="80" w:type="dxa"/>
              <w:start w:w="120" w:type="dxa"/>
              <w:bottom w:w="80" w:type="dxa"/>
              <w:end w:w="120" w:type="dxa"/>
            </w:tcMar>
          </w:tcPr>
          <w:p>
            <w:pPr>
              <w:pStyle w:val="TableText"/>
              <w:keepLines/>
            </w:pPr>
            <w:r>
              <w:rPr>
                <w:rFonts w:ascii="Calibri" w:hAnsi="Calibri"/>
                <w:color w:val="1F1F1F"/>
                <w:sz w:val="18"/>
              </w:rPr>
              <w:t>The ceremony terminates in backlash.</w:t>
            </w:r>
          </w:p>
        </w:tc>
      </w:tr>
    </w:tbl>
    <w:p>
      <w:pPr>
        <w:widowControl/>
        <w:spacing w:after="0"/>
      </w:pPr>
    </w:p>
    <w:p>
      <w:pPr>
        <w:pStyle w:val="ListBullet"/>
        <w:widowControl/>
      </w:pPr>
      <w:r>
        <w:t>Instability deterioration follows authored anchor metadata: highest ring first, then stable order within that ring.</w:t>
      </w:r>
    </w:p>
    <w:p>
      <w:pPr>
        <w:pStyle w:val="ListBullet"/>
        <w:widowControl/>
      </w:pPr>
      <w:r>
        <w:t>Every section of an outer ring flickers and breaks before deterioration reaches the next inner ring.</w:t>
      </w:r>
    </w:p>
    <w:p>
      <w:pPr>
        <w:pStyle w:val="ListBullet"/>
        <w:widowControl/>
      </w:pPr>
      <w:r>
        <w:t>Repairing a chosen section restores that section and lowers global instability; it does not arbitrarily move the same damage somewhere else.</w:t>
      </w:r>
    </w:p>
    <w:p>
      <w:pPr>
        <w:pStyle w:val="ListBullet"/>
        <w:widowControl/>
      </w:pPr>
      <w:r>
        <w:t>Physical threats still act locally. Bloodlickers attack their nearest anchor; only instability-driven deterioration obeys the outside-in defense order.</w:t>
      </w:r>
    </w:p>
    <w:p>
      <w:pPr>
        <w:pStyle w:val="ListBullet"/>
        <w:widowControl/>
      </w:pPr>
      <w:r>
        <w:t>At collapse, the caster takes form-scaled magic damage. Greater and Grand failures can also damage vascular sections, and authored fragile blocks may be destroyed.</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EADDE0"/>
            <w:vAlign w:val="center"/>
            <w:tcMar>
              <w:top w:w="80" w:type="dxa"/>
              <w:start w:w="120" w:type="dxa"/>
              <w:bottom w:w="80" w:type="dxa"/>
              <w:end w:w="120" w:type="dxa"/>
            </w:tcMar>
          </w:tcPr>
          <w:p>
            <w:pPr>
              <w:pStyle w:val="TableHeader"/>
              <w:keepLines/>
            </w:pPr>
            <w:r>
              <w:t>Form</w:t>
            </w:r>
          </w:p>
        </w:tc>
        <w:tc>
          <w:tcPr>
            <w:tcW w:type="dxa" w:w="7860"/>
            <w:shd w:fill="EADDE0"/>
            <w:vAlign w:val="center"/>
            <w:tcMar>
              <w:top w:w="80" w:type="dxa"/>
              <w:start w:w="120" w:type="dxa"/>
              <w:bottom w:w="80" w:type="dxa"/>
              <w:end w:w="120" w:type="dxa"/>
            </w:tcMar>
          </w:tcPr>
          <w:p>
            <w:pPr>
              <w:pStyle w:val="TableHeader"/>
              <w:keepLines/>
            </w:pPr>
            <w:r>
              <w:t>Collapse backlash</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Minor</w:t>
            </w:r>
          </w:p>
        </w:tc>
        <w:tc>
          <w:tcPr>
            <w:tcW w:type="dxa" w:w="7860"/>
            <w:vAlign w:val="top"/>
            <w:tcMar>
              <w:top w:w="80" w:type="dxa"/>
              <w:start w:w="120" w:type="dxa"/>
              <w:bottom w:w="80" w:type="dxa"/>
              <w:end w:w="120" w:type="dxa"/>
            </w:tcMar>
          </w:tcPr>
          <w:p>
            <w:pPr>
              <w:pStyle w:val="TableText"/>
              <w:keepLines/>
            </w:pPr>
            <w:r>
              <w:rPr>
                <w:rFonts w:ascii="Calibri" w:hAnsi="Calibri"/>
                <w:color w:val="1F1F1F"/>
                <w:sz w:val="18"/>
              </w:rPr>
              <w:t>1 heart; no fragile blocks</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Lesser</w:t>
            </w:r>
          </w:p>
        </w:tc>
        <w:tc>
          <w:tcPr>
            <w:tcW w:type="dxa" w:w="7860"/>
            <w:vAlign w:val="top"/>
            <w:tcMar>
              <w:top w:w="80" w:type="dxa"/>
              <w:start w:w="120" w:type="dxa"/>
              <w:bottom w:w="80" w:type="dxa"/>
              <w:end w:w="120" w:type="dxa"/>
            </w:tcMar>
          </w:tcPr>
          <w:p>
            <w:pPr>
              <w:pStyle w:val="TableText"/>
              <w:keepLines/>
            </w:pPr>
            <w:r>
              <w:rPr>
                <w:rFonts w:ascii="Calibri" w:hAnsi="Calibri"/>
                <w:color w:val="1F1F1F"/>
                <w:sz w:val="18"/>
              </w:rPr>
              <w:t>2 hearts; up to 1 fragile block</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Greater</w:t>
            </w:r>
          </w:p>
        </w:tc>
        <w:tc>
          <w:tcPr>
            <w:tcW w:type="dxa" w:w="7860"/>
            <w:vAlign w:val="top"/>
            <w:tcMar>
              <w:top w:w="80" w:type="dxa"/>
              <w:start w:w="120" w:type="dxa"/>
              <w:bottom w:w="80" w:type="dxa"/>
              <w:end w:w="120" w:type="dxa"/>
            </w:tcMar>
          </w:tcPr>
          <w:p>
            <w:pPr>
              <w:pStyle w:val="TableText"/>
              <w:keepLines/>
            </w:pPr>
            <w:r>
              <w:rPr>
                <w:rFonts w:ascii="Calibri" w:hAnsi="Calibri"/>
                <w:color w:val="1F1F1F"/>
                <w:sz w:val="18"/>
              </w:rPr>
              <w:t>3 hearts; up to 2 fragile blocks</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Grand</w:t>
            </w:r>
          </w:p>
        </w:tc>
        <w:tc>
          <w:tcPr>
            <w:tcW w:type="dxa" w:w="7860"/>
            <w:vAlign w:val="top"/>
            <w:tcMar>
              <w:top w:w="80" w:type="dxa"/>
              <w:start w:w="120" w:type="dxa"/>
              <w:bottom w:w="80" w:type="dxa"/>
              <w:end w:w="120" w:type="dxa"/>
            </w:tcMar>
          </w:tcPr>
          <w:p>
            <w:pPr>
              <w:pStyle w:val="TableText"/>
              <w:keepLines/>
            </w:pPr>
            <w:r>
              <w:rPr>
                <w:rFonts w:ascii="Calibri" w:hAnsi="Calibri"/>
                <w:color w:val="1F1F1F"/>
                <w:sz w:val="18"/>
              </w:rPr>
              <w:t>4 hearts; up to 3 fragile blocks</w:t>
            </w:r>
          </w:p>
        </w:tc>
      </w:tr>
    </w:tbl>
    <w:p>
      <w:pPr>
        <w:widowControl/>
        <w:spacing w:after="0"/>
      </w:pPr>
    </w:p>
    <w:p>
      <w:pPr>
        <w:pStyle w:val="Heading1"/>
        <w:keepNext/>
        <w:widowControl/>
      </w:pPr>
      <w:r>
        <w:t>7. Ichorian sigils and the awakened brood</w:t>
      </w:r>
    </w:p>
    <w:p>
      <w:pPr>
        <w:widowControl/>
      </w:pPr>
      <w:r>
        <w:t>Ichorian sigils begin as rigid, surface-bound diagrams. Nodes must be fed in authored order. Completed connections remain visible without revealing unfinished lines, and the current node grows smoothly and organically as blood enters it.</w:t>
      </w:r>
    </w:p>
    <w:p>
      <w:pPr>
        <w:pStyle w:val="ListBullet"/>
        <w:widowControl/>
      </w:pPr>
      <w:r>
        <w:t>A correct partial feed produces growing node feedback; a completed node appears only after the full 50 ml is committed.</w:t>
      </w:r>
    </w:p>
    <w:p>
      <w:pPr>
        <w:pStyle w:val="ListBullet"/>
        <w:widowControl/>
      </w:pPr>
      <w:r>
        <w:t>Touching a future node is a false stroke: it takes at most 5 ml, adds only 1 instability, and emits short black-and-purple lightning bolts.</w:t>
      </w:r>
    </w:p>
    <w:p>
      <w:pPr>
        <w:pStyle w:val="ListBullet"/>
        <w:widowControl/>
      </w:pPr>
      <w:r>
        <w:t>Completing an unknown discovery sigil records its shape and color in that player’s Rites knowledge.</w:t>
      </w:r>
    </w:p>
    <w:p>
      <w:pPr>
        <w:pStyle w:val="ListBullet"/>
        <w:widowControl/>
      </w:pPr>
      <w:r>
        <w:t>When the last node completes, the sigil applies its stability value, stores any defined capacity, and awakens.</w:t>
      </w:r>
    </w:p>
    <w:p>
      <w:pPr>
        <w:pStyle w:val="ListBullet"/>
        <w:widowControl/>
      </w:pPr>
      <w:r>
        <w:t>Awakening is a continuous anatomical unfolding: the ground path peels upward, nodes migrate into joints, eyes, organs, valves, hooks, ribs, ganglia, or limb tips, and vessels stretch between them.</w:t>
      </w:r>
    </w:p>
    <w:p>
      <w:pPr>
        <w:pStyle w:val="ListBullet"/>
        <w:widowControl/>
      </w:pPr>
      <w:r>
        <w:t>Every caste shares one central dark-crimson eye but uses a distinct anatomical rig and movement style. The body is rendered as bounded geometry rather than a dense particle cloud.</w:t>
      </w:r>
    </w:p>
    <w:tbl>
      <w:tblPr>
        <w:tblStyle w:val="TableGrid"/>
        <w:tblW w:type="dxa" w:w="9360"/>
        <w:jc w:val="left"/>
        <w:tblLayout w:type="fixed"/>
        <w:tblLook w:firstColumn="1" w:firstRow="1" w:lastColumn="0" w:lastRow="0" w:noHBand="0" w:noVBand="1" w:val="04A0"/>
        <w:tblInd w:w="120" w:type="dxa"/>
      </w:tblPr>
      <w:tblGrid>
        <w:gridCol w:w="1200"/>
        <w:gridCol w:w="1350"/>
        <w:gridCol w:w="1150"/>
        <w:gridCol w:w="3820"/>
        <w:gridCol w:w="1840"/>
      </w:tblGrid>
      <w:tr>
        <w:trPr>
          <w:tblHeader w:val="true"/>
        </w:trPr>
        <w:tc>
          <w:tcPr>
            <w:tcW w:type="dxa" w:w="1200"/>
            <w:shd w:fill="EADDE0"/>
            <w:vAlign w:val="center"/>
            <w:tcMar>
              <w:top w:w="80" w:type="dxa"/>
              <w:start w:w="120" w:type="dxa"/>
              <w:bottom w:w="80" w:type="dxa"/>
              <w:end w:w="120" w:type="dxa"/>
            </w:tcMar>
          </w:tcPr>
          <w:p>
            <w:pPr>
              <w:pStyle w:val="TableHeader"/>
              <w:keepLines/>
            </w:pPr>
            <w:r>
              <w:t>Tier / kind</w:t>
            </w:r>
          </w:p>
        </w:tc>
        <w:tc>
          <w:tcPr>
            <w:tcW w:type="dxa" w:w="1350"/>
            <w:shd w:fill="EADDE0"/>
            <w:vAlign w:val="center"/>
            <w:tcMar>
              <w:top w:w="80" w:type="dxa"/>
              <w:start w:w="120" w:type="dxa"/>
              <w:bottom w:w="80" w:type="dxa"/>
              <w:end w:w="120" w:type="dxa"/>
            </w:tcMar>
          </w:tcPr>
          <w:p>
            <w:pPr>
              <w:pStyle w:val="TableHeader"/>
              <w:keepLines/>
            </w:pPr>
            <w:r>
              <w:t>Sigil</w:t>
            </w:r>
          </w:p>
        </w:tc>
        <w:tc>
          <w:tcPr>
            <w:tcW w:type="dxa" w:w="1150"/>
            <w:shd w:fill="EADDE0"/>
            <w:vAlign w:val="center"/>
            <w:tcMar>
              <w:top w:w="80" w:type="dxa"/>
              <w:start w:w="120" w:type="dxa"/>
              <w:bottom w:w="80" w:type="dxa"/>
              <w:end w:w="120" w:type="dxa"/>
            </w:tcMar>
          </w:tcPr>
          <w:p>
            <w:pPr>
              <w:pStyle w:val="TableHeader"/>
              <w:keepLines/>
            </w:pPr>
            <w:r>
              <w:t>Trace</w:t>
            </w:r>
          </w:p>
        </w:tc>
        <w:tc>
          <w:tcPr>
            <w:tcW w:type="dxa" w:w="3820"/>
            <w:shd w:fill="EADDE0"/>
            <w:vAlign w:val="center"/>
            <w:tcMar>
              <w:top w:w="80" w:type="dxa"/>
              <w:start w:w="120" w:type="dxa"/>
              <w:bottom w:w="80" w:type="dxa"/>
              <w:end w:w="120" w:type="dxa"/>
            </w:tcMar>
          </w:tcPr>
          <w:p>
            <w:pPr>
              <w:pStyle w:val="TableHeader"/>
              <w:keepLines/>
            </w:pPr>
            <w:r>
              <w:t>Ritual purpose</w:t>
            </w:r>
          </w:p>
        </w:tc>
        <w:tc>
          <w:tcPr>
            <w:tcW w:type="dxa" w:w="1840"/>
            <w:shd w:fill="EADDE0"/>
            <w:vAlign w:val="center"/>
            <w:tcMar>
              <w:top w:w="80" w:type="dxa"/>
              <w:start w:w="120" w:type="dxa"/>
              <w:bottom w:w="80" w:type="dxa"/>
              <w:end w:w="120" w:type="dxa"/>
            </w:tcMar>
          </w:tcPr>
          <w:p>
            <w:pPr>
              <w:pStyle w:val="TableHeader"/>
              <w:keepLines/>
            </w:pPr>
            <w:r>
              <w:t>Living caste</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6"/>
              </w:rPr>
              <w:t>1 / Support</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6"/>
              </w:rPr>
              <w:t>Reservoir</w:t>
            </w:r>
          </w:p>
        </w:tc>
        <w:tc>
          <w:tcPr>
            <w:tcW w:type="dxa" w:w="1150"/>
            <w:vAlign w:val="top"/>
            <w:tcMar>
              <w:top w:w="80" w:type="dxa"/>
              <w:start w:w="120" w:type="dxa"/>
              <w:bottom w:w="80" w:type="dxa"/>
              <w:end w:w="120" w:type="dxa"/>
            </w:tcMar>
          </w:tcPr>
          <w:p>
            <w:pPr>
              <w:pStyle w:val="TableText"/>
              <w:keepLines/>
            </w:pPr>
            <w:r>
              <w:rPr>
                <w:rFonts w:ascii="Calibri" w:hAnsi="Calibri"/>
                <w:color w:val="1F1F1F"/>
                <w:sz w:val="16"/>
              </w:rPr>
              <w:t>4 nodes</w:t>
              <w:br/>
              <w:t>200 ml</w:t>
            </w:r>
          </w:p>
        </w:tc>
        <w:tc>
          <w:tcPr>
            <w:tcW w:type="dxa" w:w="3820"/>
            <w:vAlign w:val="top"/>
            <w:tcMar>
              <w:top w:w="80" w:type="dxa"/>
              <w:start w:w="120" w:type="dxa"/>
              <w:bottom w:w="80" w:type="dxa"/>
              <w:end w:w="120" w:type="dxa"/>
            </w:tcMar>
          </w:tcPr>
          <w:p>
            <w:pPr>
              <w:pStyle w:val="TableText"/>
              <w:keepLines/>
            </w:pPr>
            <w:r>
              <w:rPr>
                <w:rFonts w:ascii="Calibri" w:hAnsi="Calibri"/>
                <w:color w:val="1F1F1F"/>
                <w:sz w:val="16"/>
              </w:rPr>
              <w:t>Stores 200ml of supplemental blood for repairs and responses. Capacity: 200 ml.</w:t>
            </w:r>
          </w:p>
        </w:tc>
        <w:tc>
          <w:tcPr>
            <w:tcW w:type="dxa" w:w="1840"/>
            <w:vAlign w:val="top"/>
            <w:tcMar>
              <w:top w:w="80" w:type="dxa"/>
              <w:start w:w="120" w:type="dxa"/>
              <w:bottom w:w="80" w:type="dxa"/>
              <w:end w:w="120" w:type="dxa"/>
            </w:tcMar>
          </w:tcPr>
          <w:p>
            <w:pPr>
              <w:pStyle w:val="TableText"/>
              <w:keepLines/>
            </w:pPr>
            <w:r>
              <w:rPr>
                <w:rFonts w:ascii="Calibri" w:hAnsi="Calibri"/>
                <w:color w:val="1F1F1F"/>
                <w:sz w:val="16"/>
              </w:rPr>
              <w:t>Pendulous ampulla</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6"/>
              </w:rPr>
              <w:t>1 / Response</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6"/>
              </w:rPr>
              <w:t>Suture</w:t>
            </w:r>
          </w:p>
        </w:tc>
        <w:tc>
          <w:tcPr>
            <w:tcW w:type="dxa" w:w="1150"/>
            <w:vAlign w:val="top"/>
            <w:tcMar>
              <w:top w:w="80" w:type="dxa"/>
              <w:start w:w="120" w:type="dxa"/>
              <w:bottom w:w="80" w:type="dxa"/>
              <w:end w:w="120" w:type="dxa"/>
            </w:tcMar>
          </w:tcPr>
          <w:p>
            <w:pPr>
              <w:pStyle w:val="TableText"/>
              <w:keepLines/>
            </w:pPr>
            <w:r>
              <w:rPr>
                <w:rFonts w:ascii="Calibri" w:hAnsi="Calibri"/>
                <w:color w:val="1F1F1F"/>
                <w:sz w:val="16"/>
              </w:rPr>
              <w:t>4 nodes</w:t>
              <w:br/>
              <w:t>200 ml</w:t>
            </w:r>
          </w:p>
        </w:tc>
        <w:tc>
          <w:tcPr>
            <w:tcW w:type="dxa" w:w="3820"/>
            <w:vAlign w:val="top"/>
            <w:tcMar>
              <w:top w:w="80" w:type="dxa"/>
              <w:start w:w="120" w:type="dxa"/>
              <w:bottom w:w="80" w:type="dxa"/>
              <w:end w:w="120" w:type="dxa"/>
            </w:tcMar>
          </w:tcPr>
          <w:p>
            <w:pPr>
              <w:pStyle w:val="TableText"/>
              <w:keepLines/>
            </w:pPr>
            <w:r>
              <w:rPr>
                <w:rFonts w:ascii="Calibri" w:hAnsi="Calibri"/>
                <w:color w:val="1F1F1F"/>
                <w:sz w:val="16"/>
              </w:rPr>
              <w:t>Closes a ruptured boundary segment. Completes with −10 instability.</w:t>
            </w:r>
          </w:p>
        </w:tc>
        <w:tc>
          <w:tcPr>
            <w:tcW w:type="dxa" w:w="1840"/>
            <w:vAlign w:val="top"/>
            <w:tcMar>
              <w:top w:w="80" w:type="dxa"/>
              <w:start w:w="120" w:type="dxa"/>
              <w:bottom w:w="80" w:type="dxa"/>
              <w:end w:w="120" w:type="dxa"/>
            </w:tcMar>
          </w:tcPr>
          <w:p>
            <w:pPr>
              <w:pStyle w:val="TableText"/>
              <w:keepLines/>
            </w:pPr>
            <w:r>
              <w:rPr>
                <w:rFonts w:ascii="Calibri" w:hAnsi="Calibri"/>
                <w:color w:val="1F1F1F"/>
                <w:sz w:val="16"/>
              </w:rPr>
              <w:t>Needle-thread</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6"/>
              </w:rPr>
              <w:t>2 / Support</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6"/>
              </w:rPr>
              <w:t>Bastion</w:t>
            </w:r>
          </w:p>
        </w:tc>
        <w:tc>
          <w:tcPr>
            <w:tcW w:type="dxa" w:w="1150"/>
            <w:vAlign w:val="top"/>
            <w:tcMar>
              <w:top w:w="80" w:type="dxa"/>
              <w:start w:w="120" w:type="dxa"/>
              <w:bottom w:w="80" w:type="dxa"/>
              <w:end w:w="120" w:type="dxa"/>
            </w:tcMar>
          </w:tcPr>
          <w:p>
            <w:pPr>
              <w:pStyle w:val="TableText"/>
              <w:keepLines/>
            </w:pPr>
            <w:r>
              <w:rPr>
                <w:rFonts w:ascii="Calibri" w:hAnsi="Calibri"/>
                <w:color w:val="1F1F1F"/>
                <w:sz w:val="16"/>
              </w:rPr>
              <w:t>6 nodes</w:t>
              <w:br/>
              <w:t>300 ml</w:t>
            </w:r>
          </w:p>
        </w:tc>
        <w:tc>
          <w:tcPr>
            <w:tcW w:type="dxa" w:w="3820"/>
            <w:vAlign w:val="top"/>
            <w:tcMar>
              <w:top w:w="80" w:type="dxa"/>
              <w:start w:w="120" w:type="dxa"/>
              <w:bottom w:w="80" w:type="dxa"/>
              <w:end w:w="120" w:type="dxa"/>
            </w:tcMar>
          </w:tcPr>
          <w:p>
            <w:pPr>
              <w:pStyle w:val="TableText"/>
              <w:keepLines/>
            </w:pPr>
            <w:r>
              <w:rPr>
                <w:rFonts w:ascii="Calibri" w:hAnsi="Calibri"/>
                <w:color w:val="1F1F1F"/>
                <w:sz w:val="16"/>
              </w:rPr>
              <w:t>Repels rite-bound enemies from the cardinal station. Completes with −8 instability.</w:t>
            </w:r>
          </w:p>
        </w:tc>
        <w:tc>
          <w:tcPr>
            <w:tcW w:type="dxa" w:w="1840"/>
            <w:vAlign w:val="top"/>
            <w:tcMar>
              <w:top w:w="80" w:type="dxa"/>
              <w:start w:w="120" w:type="dxa"/>
              <w:bottom w:w="80" w:type="dxa"/>
              <w:end w:w="120" w:type="dxa"/>
            </w:tcMar>
          </w:tcPr>
          <w:p>
            <w:pPr>
              <w:pStyle w:val="TableText"/>
              <w:keepLines/>
            </w:pPr>
            <w:r>
              <w:rPr>
                <w:rFonts w:ascii="Calibri" w:hAnsi="Calibri"/>
                <w:color w:val="1F1F1F"/>
                <w:sz w:val="16"/>
              </w:rPr>
              <w:t>Contractile shield</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6"/>
              </w:rPr>
              <w:t>2 / Response</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6"/>
              </w:rPr>
              <w:t>Shunt</w:t>
            </w:r>
          </w:p>
        </w:tc>
        <w:tc>
          <w:tcPr>
            <w:tcW w:type="dxa" w:w="1150"/>
            <w:vAlign w:val="top"/>
            <w:tcMar>
              <w:top w:w="80" w:type="dxa"/>
              <w:start w:w="120" w:type="dxa"/>
              <w:bottom w:w="80" w:type="dxa"/>
              <w:end w:w="120" w:type="dxa"/>
            </w:tcMar>
          </w:tcPr>
          <w:p>
            <w:pPr>
              <w:pStyle w:val="TableText"/>
              <w:keepLines/>
            </w:pPr>
            <w:r>
              <w:rPr>
                <w:rFonts w:ascii="Calibri" w:hAnsi="Calibri"/>
                <w:color w:val="1F1F1F"/>
                <w:sz w:val="16"/>
              </w:rPr>
              <w:t>5 nodes</w:t>
              <w:br/>
              <w:t>250 ml</w:t>
            </w:r>
          </w:p>
        </w:tc>
        <w:tc>
          <w:tcPr>
            <w:tcW w:type="dxa" w:w="3820"/>
            <w:vAlign w:val="top"/>
            <w:tcMar>
              <w:top w:w="80" w:type="dxa"/>
              <w:start w:w="120" w:type="dxa"/>
              <w:bottom w:w="80" w:type="dxa"/>
              <w:end w:w="120" w:type="dxa"/>
            </w:tcMar>
          </w:tcPr>
          <w:p>
            <w:pPr>
              <w:pStyle w:val="TableText"/>
              <w:keepLines/>
            </w:pPr>
            <w:r>
              <w:rPr>
                <w:rFonts w:ascii="Calibri" w:hAnsi="Calibri"/>
                <w:color w:val="1F1F1F"/>
                <w:sz w:val="16"/>
              </w:rPr>
              <w:t>Redirects blood away from a threatened anchor. Completes with −8 instability.</w:t>
            </w:r>
          </w:p>
        </w:tc>
        <w:tc>
          <w:tcPr>
            <w:tcW w:type="dxa" w:w="1840"/>
            <w:vAlign w:val="top"/>
            <w:tcMar>
              <w:top w:w="80" w:type="dxa"/>
              <w:start w:w="120" w:type="dxa"/>
              <w:bottom w:w="80" w:type="dxa"/>
              <w:end w:w="120" w:type="dxa"/>
            </w:tcMar>
          </w:tcPr>
          <w:p>
            <w:pPr>
              <w:pStyle w:val="TableText"/>
              <w:keepLines/>
            </w:pPr>
            <w:r>
              <w:rPr>
                <w:rFonts w:ascii="Calibri" w:hAnsi="Calibri"/>
                <w:color w:val="1F1F1F"/>
                <w:sz w:val="16"/>
              </w:rPr>
              <w:t>Arterial fork</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6"/>
              </w:rPr>
              <w:t>3 / Support</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6"/>
              </w:rPr>
              <w:t>Mnemonic</w:t>
            </w:r>
          </w:p>
        </w:tc>
        <w:tc>
          <w:tcPr>
            <w:tcW w:type="dxa" w:w="1150"/>
            <w:vAlign w:val="top"/>
            <w:tcMar>
              <w:top w:w="80" w:type="dxa"/>
              <w:start w:w="120" w:type="dxa"/>
              <w:bottom w:w="80" w:type="dxa"/>
              <w:end w:w="120" w:type="dxa"/>
            </w:tcMar>
          </w:tcPr>
          <w:p>
            <w:pPr>
              <w:pStyle w:val="TableText"/>
              <w:keepLines/>
            </w:pPr>
            <w:r>
              <w:rPr>
                <w:rFonts w:ascii="Calibri" w:hAnsi="Calibri"/>
                <w:color w:val="1F1F1F"/>
                <w:sz w:val="16"/>
              </w:rPr>
              <w:t>8 nodes</w:t>
              <w:br/>
              <w:t>400 ml</w:t>
            </w:r>
          </w:p>
        </w:tc>
        <w:tc>
          <w:tcPr>
            <w:tcW w:type="dxa" w:w="3820"/>
            <w:vAlign w:val="top"/>
            <w:tcMar>
              <w:top w:w="80" w:type="dxa"/>
              <w:start w:w="120" w:type="dxa"/>
              <w:bottom w:w="80" w:type="dxa"/>
              <w:end w:w="120" w:type="dxa"/>
            </w:tcMar>
          </w:tcPr>
          <w:p>
            <w:pPr>
              <w:pStyle w:val="TableText"/>
              <w:keepLines/>
            </w:pPr>
            <w:r>
              <w:rPr>
                <w:rFonts w:ascii="Calibri" w:hAnsi="Calibri"/>
                <w:color w:val="1F1F1F"/>
                <w:sz w:val="16"/>
              </w:rPr>
              <w:t>Exposes false anchors, counterfeit omens, and puppeteer deceptions. Completes with −12 instability.</w:t>
            </w:r>
          </w:p>
        </w:tc>
        <w:tc>
          <w:tcPr>
            <w:tcW w:type="dxa" w:w="1840"/>
            <w:vAlign w:val="top"/>
            <w:tcMar>
              <w:top w:w="80" w:type="dxa"/>
              <w:start w:w="120" w:type="dxa"/>
              <w:bottom w:w="80" w:type="dxa"/>
              <w:end w:w="120" w:type="dxa"/>
            </w:tcMar>
          </w:tcPr>
          <w:p>
            <w:pPr>
              <w:pStyle w:val="TableText"/>
              <w:keepLines/>
            </w:pPr>
            <w:r>
              <w:rPr>
                <w:rFonts w:ascii="Calibri" w:hAnsi="Calibri"/>
                <w:color w:val="1F1F1F"/>
                <w:sz w:val="16"/>
              </w:rPr>
              <w:t>Recall ribbon</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6"/>
              </w:rPr>
              <w:t>3 / Response</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6"/>
              </w:rPr>
              <w:t>Seal</w:t>
            </w:r>
          </w:p>
        </w:tc>
        <w:tc>
          <w:tcPr>
            <w:tcW w:type="dxa" w:w="1150"/>
            <w:vAlign w:val="top"/>
            <w:tcMar>
              <w:top w:w="80" w:type="dxa"/>
              <w:start w:w="120" w:type="dxa"/>
              <w:bottom w:w="80" w:type="dxa"/>
              <w:end w:w="120" w:type="dxa"/>
            </w:tcMar>
          </w:tcPr>
          <w:p>
            <w:pPr>
              <w:pStyle w:val="TableText"/>
              <w:keepLines/>
            </w:pPr>
            <w:r>
              <w:rPr>
                <w:rFonts w:ascii="Calibri" w:hAnsi="Calibri"/>
                <w:color w:val="1F1F1F"/>
                <w:sz w:val="16"/>
              </w:rPr>
              <w:t>6 nodes</w:t>
              <w:br/>
              <w:t>300 ml</w:t>
            </w:r>
          </w:p>
        </w:tc>
        <w:tc>
          <w:tcPr>
            <w:tcW w:type="dxa" w:w="3820"/>
            <w:vAlign w:val="top"/>
            <w:tcMar>
              <w:top w:w="80" w:type="dxa"/>
              <w:start w:w="120" w:type="dxa"/>
              <w:bottom w:w="80" w:type="dxa"/>
              <w:end w:w="120" w:type="dxa"/>
            </w:tcMar>
          </w:tcPr>
          <w:p>
            <w:pPr>
              <w:pStyle w:val="TableText"/>
              <w:keepLines/>
            </w:pPr>
            <w:r>
              <w:rPr>
                <w:rFonts w:ascii="Calibri" w:hAnsi="Calibri"/>
                <w:color w:val="1F1F1F"/>
                <w:sz w:val="16"/>
              </w:rPr>
              <w:t>Silences a rogue will's interference. Completes with −12 instability.</w:t>
            </w:r>
          </w:p>
        </w:tc>
        <w:tc>
          <w:tcPr>
            <w:tcW w:type="dxa" w:w="1840"/>
            <w:vAlign w:val="top"/>
            <w:tcMar>
              <w:top w:w="80" w:type="dxa"/>
              <w:start w:w="120" w:type="dxa"/>
              <w:bottom w:w="80" w:type="dxa"/>
              <w:end w:w="120" w:type="dxa"/>
            </w:tcMar>
          </w:tcPr>
          <w:p>
            <w:pPr>
              <w:pStyle w:val="TableText"/>
              <w:keepLines/>
            </w:pPr>
            <w:r>
              <w:rPr>
                <w:rFonts w:ascii="Calibri" w:hAnsi="Calibri"/>
                <w:color w:val="1F1F1F"/>
                <w:sz w:val="16"/>
              </w:rPr>
              <w:t>Five-lipped shutter</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6"/>
              </w:rPr>
              <w:t>4 / Response</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6"/>
              </w:rPr>
              <w:t>Cage</w:t>
            </w:r>
          </w:p>
        </w:tc>
        <w:tc>
          <w:tcPr>
            <w:tcW w:type="dxa" w:w="1150"/>
            <w:vAlign w:val="top"/>
            <w:tcMar>
              <w:top w:w="80" w:type="dxa"/>
              <w:start w:w="120" w:type="dxa"/>
              <w:bottom w:w="80" w:type="dxa"/>
              <w:end w:w="120" w:type="dxa"/>
            </w:tcMar>
          </w:tcPr>
          <w:p>
            <w:pPr>
              <w:pStyle w:val="TableText"/>
              <w:keepLines/>
            </w:pPr>
            <w:r>
              <w:rPr>
                <w:rFonts w:ascii="Calibri" w:hAnsi="Calibri"/>
                <w:color w:val="1F1F1F"/>
                <w:sz w:val="16"/>
              </w:rPr>
              <w:t>7 nodes</w:t>
              <w:br/>
              <w:t>350 ml</w:t>
            </w:r>
          </w:p>
        </w:tc>
        <w:tc>
          <w:tcPr>
            <w:tcW w:type="dxa" w:w="3820"/>
            <w:vAlign w:val="top"/>
            <w:tcMar>
              <w:top w:w="80" w:type="dxa"/>
              <w:start w:w="120" w:type="dxa"/>
              <w:bottom w:w="80" w:type="dxa"/>
              <w:end w:w="120" w:type="dxa"/>
            </w:tcMar>
          </w:tcPr>
          <w:p>
            <w:pPr>
              <w:pStyle w:val="TableText"/>
              <w:keepLines/>
            </w:pPr>
            <w:r>
              <w:rPr>
                <w:rFonts w:ascii="Calibri" w:hAnsi="Calibri"/>
                <w:color w:val="1F1F1F"/>
                <w:sz w:val="16"/>
              </w:rPr>
              <w:t>Binds a manifested rite threat in place. Completes with −15 instability.</w:t>
            </w:r>
          </w:p>
        </w:tc>
        <w:tc>
          <w:tcPr>
            <w:tcW w:type="dxa" w:w="1840"/>
            <w:vAlign w:val="top"/>
            <w:tcMar>
              <w:top w:w="80" w:type="dxa"/>
              <w:start w:w="120" w:type="dxa"/>
              <w:bottom w:w="80" w:type="dxa"/>
              <w:end w:w="120" w:type="dxa"/>
            </w:tcMar>
          </w:tcPr>
          <w:p>
            <w:pPr>
              <w:pStyle w:val="TableText"/>
              <w:keepLines/>
            </w:pPr>
            <w:r>
              <w:rPr>
                <w:rFonts w:ascii="Calibri" w:hAnsi="Calibri"/>
                <w:color w:val="1F1F1F"/>
                <w:sz w:val="16"/>
              </w:rPr>
              <w:t>Walking rib tower</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6"/>
              </w:rPr>
              <w:t>4 / Support</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6"/>
              </w:rPr>
              <w:t>Hematic Lattice</w:t>
            </w:r>
          </w:p>
        </w:tc>
        <w:tc>
          <w:tcPr>
            <w:tcW w:type="dxa" w:w="1150"/>
            <w:vAlign w:val="top"/>
            <w:tcMar>
              <w:top w:w="80" w:type="dxa"/>
              <w:start w:w="120" w:type="dxa"/>
              <w:bottom w:w="80" w:type="dxa"/>
              <w:end w:w="120" w:type="dxa"/>
            </w:tcMar>
          </w:tcPr>
          <w:p>
            <w:pPr>
              <w:pStyle w:val="TableText"/>
              <w:keepLines/>
            </w:pPr>
            <w:r>
              <w:rPr>
                <w:rFonts w:ascii="Calibri" w:hAnsi="Calibri"/>
                <w:color w:val="1F1F1F"/>
                <w:sz w:val="16"/>
              </w:rPr>
              <w:t>12 nodes</w:t>
              <w:br/>
              <w:t>600 ml</w:t>
            </w:r>
          </w:p>
        </w:tc>
        <w:tc>
          <w:tcPr>
            <w:tcW w:type="dxa" w:w="3820"/>
            <w:vAlign w:val="top"/>
            <w:tcMar>
              <w:top w:w="80" w:type="dxa"/>
              <w:start w:w="120" w:type="dxa"/>
              <w:bottom w:w="80" w:type="dxa"/>
              <w:end w:w="120" w:type="dxa"/>
            </w:tcMar>
          </w:tcPr>
          <w:p>
            <w:pPr>
              <w:pStyle w:val="TableText"/>
              <w:keepLines/>
            </w:pPr>
            <w:r>
              <w:rPr>
                <w:rFonts w:ascii="Calibri" w:hAnsi="Calibri"/>
                <w:color w:val="1F1F1F"/>
                <w:sz w:val="16"/>
              </w:rPr>
              <w:t>Distributes blood and instability evenly across every completed ring. Completes with −20 instability.</w:t>
            </w:r>
          </w:p>
        </w:tc>
        <w:tc>
          <w:tcPr>
            <w:tcW w:type="dxa" w:w="1840"/>
            <w:vAlign w:val="top"/>
            <w:tcMar>
              <w:top w:w="80" w:type="dxa"/>
              <w:start w:w="120" w:type="dxa"/>
              <w:bottom w:w="80" w:type="dxa"/>
              <w:end w:w="120" w:type="dxa"/>
            </w:tcMar>
          </w:tcPr>
          <w:p>
            <w:pPr>
              <w:pStyle w:val="TableText"/>
              <w:keepLines/>
            </w:pPr>
            <w:r>
              <w:rPr>
                <w:rFonts w:ascii="Calibri" w:hAnsi="Calibri"/>
                <w:color w:val="1F1F1F"/>
                <w:sz w:val="16"/>
              </w:rPr>
              <w:t>Vascular arbor</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6"/>
              </w:rPr>
              <w:t>5 / Response</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6"/>
              </w:rPr>
              <w:t>Lens</w:t>
            </w:r>
          </w:p>
        </w:tc>
        <w:tc>
          <w:tcPr>
            <w:tcW w:type="dxa" w:w="1150"/>
            <w:vAlign w:val="top"/>
            <w:tcMar>
              <w:top w:w="80" w:type="dxa"/>
              <w:start w:w="120" w:type="dxa"/>
              <w:bottom w:w="80" w:type="dxa"/>
              <w:end w:w="120" w:type="dxa"/>
            </w:tcMar>
          </w:tcPr>
          <w:p>
            <w:pPr>
              <w:pStyle w:val="TableText"/>
              <w:keepLines/>
            </w:pPr>
            <w:r>
              <w:rPr>
                <w:rFonts w:ascii="Calibri" w:hAnsi="Calibri"/>
                <w:color w:val="1F1F1F"/>
                <w:sz w:val="16"/>
              </w:rPr>
              <w:t>9 nodes</w:t>
              <w:br/>
              <w:t>450 ml</w:t>
            </w:r>
          </w:p>
        </w:tc>
        <w:tc>
          <w:tcPr>
            <w:tcW w:type="dxa" w:w="3820"/>
            <w:vAlign w:val="top"/>
            <w:tcMar>
              <w:top w:w="80" w:type="dxa"/>
              <w:start w:w="120" w:type="dxa"/>
              <w:bottom w:w="80" w:type="dxa"/>
              <w:end w:w="120" w:type="dxa"/>
            </w:tcMar>
          </w:tcPr>
          <w:p>
            <w:pPr>
              <w:pStyle w:val="TableText"/>
              <w:keepLines/>
            </w:pPr>
            <w:r>
              <w:rPr>
                <w:rFonts w:ascii="Calibri" w:hAnsi="Calibri"/>
                <w:color w:val="1F1F1F"/>
                <w:sz w:val="16"/>
              </w:rPr>
              <w:t>Reveals the true node among illusory anchors. Completes with −18 instability.</w:t>
            </w:r>
          </w:p>
        </w:tc>
        <w:tc>
          <w:tcPr>
            <w:tcW w:type="dxa" w:w="1840"/>
            <w:vAlign w:val="top"/>
            <w:tcMar>
              <w:top w:w="80" w:type="dxa"/>
              <w:start w:w="120" w:type="dxa"/>
              <w:bottom w:w="80" w:type="dxa"/>
              <w:end w:w="120" w:type="dxa"/>
            </w:tcMar>
          </w:tcPr>
          <w:p>
            <w:pPr>
              <w:pStyle w:val="TableText"/>
              <w:keepLines/>
            </w:pPr>
            <w:r>
              <w:rPr>
                <w:rFonts w:ascii="Calibri" w:hAnsi="Calibri"/>
                <w:color w:val="1F1F1F"/>
                <w:sz w:val="16"/>
              </w:rPr>
              <w:t>Optic stalk and veil</w:t>
            </w:r>
          </w:p>
        </w:tc>
      </w:tr>
    </w:tbl>
    <w:p>
      <w:pPr>
        <w:widowControl/>
        <w:spacing w:after="0"/>
      </w:pPr>
    </w:p>
    <w:p>
      <w:pPr>
        <w:widowControl/>
      </w:pPr>
      <w:r>
        <w:t>Current support behavior is concrete: Reservoir stores blood; Bastion pulses damage into rite-bound threats; Mnemonic makes false omens visually distinct; Hematic Lattice balances anchor blood. Response sigils primarily satisfy their demanded wave and stabilize the rite; their authored purposes describe the ritual answer represented by that stabilization.</w:t>
      </w:r>
    </w:p>
    <w:p>
      <w:pPr>
        <w:pStyle w:val="Heading1"/>
        <w:keepNext/>
        <w:widowControl/>
      </w:pPr>
      <w:r>
        <w:t>8. Ordeals and allies</w:t>
      </w:r>
    </w:p>
    <w:p>
      <w:pPr>
        <w:pStyle w:val="Heading2"/>
        <w:keepNext/>
        <w:widowControl/>
      </w:pPr>
      <w:r>
        <w:t>Ordeal families</w:t>
      </w:r>
    </w:p>
    <w:tbl>
      <w:tblPr>
        <w:tblStyle w:val="TableGrid"/>
        <w:tblW w:type="dxa" w:w="9360"/>
        <w:jc w:val="left"/>
        <w:tblLayout w:type="fixed"/>
        <w:tblLook w:firstColumn="1" w:firstRow="1" w:lastColumn="0" w:lastRow="0" w:noHBand="0" w:noVBand="1" w:val="04A0"/>
        <w:tblInd w:w="120" w:type="dxa"/>
      </w:tblPr>
      <w:tblGrid>
        <w:gridCol w:w="1500"/>
        <w:gridCol w:w="5010"/>
        <w:gridCol w:w="2850"/>
      </w:tblGrid>
      <w:tr>
        <w:trPr>
          <w:tblHeader w:val="true"/>
        </w:trPr>
        <w:tc>
          <w:tcPr>
            <w:tcW w:type="dxa" w:w="1500"/>
            <w:shd w:fill="EADDE0"/>
            <w:vAlign w:val="center"/>
            <w:tcMar>
              <w:top w:w="80" w:type="dxa"/>
              <w:start w:w="120" w:type="dxa"/>
              <w:bottom w:w="80" w:type="dxa"/>
              <w:end w:w="120" w:type="dxa"/>
            </w:tcMar>
          </w:tcPr>
          <w:p>
            <w:pPr>
              <w:pStyle w:val="TableHeader"/>
              <w:keepLines/>
            </w:pPr>
            <w:r>
              <w:t>Wave</w:t>
            </w:r>
          </w:p>
        </w:tc>
        <w:tc>
          <w:tcPr>
            <w:tcW w:type="dxa" w:w="5010"/>
            <w:shd w:fill="EADDE0"/>
            <w:vAlign w:val="center"/>
            <w:tcMar>
              <w:top w:w="80" w:type="dxa"/>
              <w:start w:w="120" w:type="dxa"/>
              <w:bottom w:w="80" w:type="dxa"/>
              <w:end w:w="120" w:type="dxa"/>
            </w:tcMar>
          </w:tcPr>
          <w:p>
            <w:pPr>
              <w:pStyle w:val="TableHeader"/>
              <w:keepLines/>
            </w:pPr>
            <w:r>
              <w:t>Pressure</w:t>
            </w:r>
          </w:p>
        </w:tc>
        <w:tc>
          <w:tcPr>
            <w:tcW w:type="dxa" w:w="2850"/>
            <w:shd w:fill="EADDE0"/>
            <w:vAlign w:val="center"/>
            <w:tcMar>
              <w:top w:w="80" w:type="dxa"/>
              <w:start w:w="120" w:type="dxa"/>
              <w:bottom w:w="80" w:type="dxa"/>
              <w:end w:w="120" w:type="dxa"/>
            </w:tcMar>
          </w:tcPr>
          <w:p>
            <w:pPr>
              <w:pStyle w:val="TableHeader"/>
              <w:keepLines/>
            </w:pPr>
            <w:r>
              <w:t>How it ends</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7"/>
              </w:rPr>
              <w:t>Bloodlicker Siphon</w:t>
            </w:r>
          </w:p>
        </w:tc>
        <w:tc>
          <w:tcPr>
            <w:tcW w:type="dxa" w:w="5010"/>
            <w:vAlign w:val="top"/>
            <w:tcMar>
              <w:top w:w="80" w:type="dxa"/>
              <w:start w:w="120" w:type="dxa"/>
              <w:bottom w:w="80" w:type="dxa"/>
              <w:end w:w="120" w:type="dxa"/>
            </w:tcMar>
          </w:tcPr>
          <w:p>
            <w:pPr>
              <w:pStyle w:val="TableText"/>
              <w:keepLines/>
            </w:pPr>
            <w:r>
              <w:rPr>
                <w:rFonts w:ascii="Calibri" w:hAnsi="Calibri"/>
                <w:color w:val="1F1F1F"/>
                <w:sz w:val="17"/>
              </w:rPr>
              <w:t>Bloodlickers navigate to their nearest anchor and steal 5 ml per second. Reservoir blood refills the loss first; escaped blood becomes Unsettled Ichor and instability.</w:t>
            </w:r>
          </w:p>
        </w:tc>
        <w:tc>
          <w:tcPr>
            <w:tcW w:type="dxa" w:w="2850"/>
            <w:vAlign w:val="top"/>
            <w:tcMar>
              <w:top w:w="80" w:type="dxa"/>
              <w:start w:w="120" w:type="dxa"/>
              <w:bottom w:w="80" w:type="dxa"/>
              <w:end w:w="120" w:type="dxa"/>
            </w:tcMar>
          </w:tcPr>
          <w:p>
            <w:pPr>
              <w:pStyle w:val="TableText"/>
              <w:keepLines/>
            </w:pPr>
            <w:r>
              <w:rPr>
                <w:rFonts w:ascii="Calibri" w:hAnsi="Calibri"/>
                <w:color w:val="1F1F1F"/>
                <w:sz w:val="17"/>
              </w:rPr>
              <w:t>Kill all rite-bound Bloodlickers and restore every anchor.</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7"/>
              </w:rPr>
              <w:t>Fargone Dive</w:t>
            </w:r>
          </w:p>
        </w:tc>
        <w:tc>
          <w:tcPr>
            <w:tcW w:type="dxa" w:w="5010"/>
            <w:vAlign w:val="top"/>
            <w:tcMar>
              <w:top w:w="80" w:type="dxa"/>
              <w:start w:w="120" w:type="dxa"/>
              <w:bottom w:w="80" w:type="dxa"/>
              <w:end w:w="120" w:type="dxa"/>
            </w:tcMar>
          </w:tcPr>
          <w:p>
            <w:pPr>
              <w:pStyle w:val="TableText"/>
              <w:keepLines/>
            </w:pPr>
            <w:r>
              <w:rPr>
                <w:rFonts w:ascii="Calibri" w:hAnsi="Calibri"/>
                <w:color w:val="1F1F1F"/>
                <w:sz w:val="17"/>
              </w:rPr>
              <w:t>Fargone attack the caster; each one within 3 blocks drains 5 ml from the caster per second.</w:t>
            </w:r>
          </w:p>
        </w:tc>
        <w:tc>
          <w:tcPr>
            <w:tcW w:type="dxa" w:w="2850"/>
            <w:vAlign w:val="top"/>
            <w:tcMar>
              <w:top w:w="80" w:type="dxa"/>
              <w:start w:w="120" w:type="dxa"/>
              <w:bottom w:w="80" w:type="dxa"/>
              <w:end w:w="120" w:type="dxa"/>
            </w:tcMar>
          </w:tcPr>
          <w:p>
            <w:pPr>
              <w:pStyle w:val="TableText"/>
              <w:keepLines/>
            </w:pPr>
            <w:r>
              <w:rPr>
                <w:rFonts w:ascii="Calibri" w:hAnsi="Calibri"/>
                <w:color w:val="1F1F1F"/>
                <w:sz w:val="17"/>
              </w:rPr>
              <w:t>Defeat the Fargone and keep the boundary full.</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7"/>
              </w:rPr>
              <w:t>Rogue Will</w:t>
            </w:r>
          </w:p>
        </w:tc>
        <w:tc>
          <w:tcPr>
            <w:tcW w:type="dxa" w:w="5010"/>
            <w:vAlign w:val="top"/>
            <w:tcMar>
              <w:top w:w="80" w:type="dxa"/>
              <w:start w:w="120" w:type="dxa"/>
              <w:bottom w:w="80" w:type="dxa"/>
              <w:end w:w="120" w:type="dxa"/>
            </w:tcMar>
          </w:tcPr>
          <w:p>
            <w:pPr>
              <w:pStyle w:val="TableText"/>
              <w:keepLines/>
            </w:pPr>
            <w:r>
              <w:rPr>
                <w:rFonts w:ascii="Calibri" w:hAnsi="Calibri"/>
                <w:color w:val="1F1F1F"/>
                <w:sz w:val="17"/>
              </w:rPr>
              <w:t>Each living rogue will adds 1 instability per second.</w:t>
            </w:r>
          </w:p>
        </w:tc>
        <w:tc>
          <w:tcPr>
            <w:tcW w:type="dxa" w:w="2850"/>
            <w:vAlign w:val="top"/>
            <w:tcMar>
              <w:top w:w="80" w:type="dxa"/>
              <w:start w:w="120" w:type="dxa"/>
              <w:bottom w:w="80" w:type="dxa"/>
              <w:end w:w="120" w:type="dxa"/>
            </w:tcMar>
          </w:tcPr>
          <w:p>
            <w:pPr>
              <w:pStyle w:val="TableText"/>
              <w:keepLines/>
            </w:pPr>
            <w:r>
              <w:rPr>
                <w:rFonts w:ascii="Calibri" w:hAnsi="Calibri"/>
                <w:color w:val="1F1F1F"/>
                <w:sz w:val="17"/>
              </w:rPr>
              <w:t>Drive out every will and keep anchors full.</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7"/>
              </w:rPr>
              <w:t>False Omens</w:t>
            </w:r>
          </w:p>
        </w:tc>
        <w:tc>
          <w:tcPr>
            <w:tcW w:type="dxa" w:w="5010"/>
            <w:vAlign w:val="top"/>
            <w:tcMar>
              <w:top w:w="80" w:type="dxa"/>
              <w:start w:w="120" w:type="dxa"/>
              <w:bottom w:w="80" w:type="dxa"/>
              <w:end w:w="120" w:type="dxa"/>
            </w:tcMar>
          </w:tcPr>
          <w:p>
            <w:pPr>
              <w:pStyle w:val="TableText"/>
              <w:keepLines/>
            </w:pPr>
            <w:r>
              <w:rPr>
                <w:rFonts w:ascii="Calibri" w:hAnsi="Calibri"/>
                <w:color w:val="1F1F1F"/>
                <w:sz w:val="17"/>
              </w:rPr>
              <w:t>A Blood-Drunk Puppeteer sustains three counterfeit anchors. False projections cost blood and add 6 instability; Mnemonic reduces their visual insistence.</w:t>
            </w:r>
          </w:p>
        </w:tc>
        <w:tc>
          <w:tcPr>
            <w:tcW w:type="dxa" w:w="2850"/>
            <w:vAlign w:val="top"/>
            <w:tcMar>
              <w:top w:w="80" w:type="dxa"/>
              <w:start w:w="120" w:type="dxa"/>
              <w:bottom w:w="80" w:type="dxa"/>
              <w:end w:w="120" w:type="dxa"/>
            </w:tcMar>
          </w:tcPr>
          <w:p>
            <w:pPr>
              <w:pStyle w:val="TableText"/>
              <w:keepLines/>
            </w:pPr>
            <w:r>
              <w:rPr>
                <w:rFonts w:ascii="Calibri" w:hAnsi="Calibri"/>
                <w:color w:val="1F1F1F"/>
                <w:sz w:val="17"/>
              </w:rPr>
              <w:t>Find and kill the puppeteer; ignore the fakes; keep anchors full.</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7"/>
              </w:rPr>
              <w:t>Response Sigil</w:t>
            </w:r>
          </w:p>
        </w:tc>
        <w:tc>
          <w:tcPr>
            <w:tcW w:type="dxa" w:w="5010"/>
            <w:vAlign w:val="top"/>
            <w:tcMar>
              <w:top w:w="80" w:type="dxa"/>
              <w:start w:w="120" w:type="dxa"/>
              <w:bottom w:w="80" w:type="dxa"/>
              <w:end w:w="120" w:type="dxa"/>
            </w:tcMar>
          </w:tcPr>
          <w:p>
            <w:pPr>
              <w:pStyle w:val="TableText"/>
              <w:keepLines/>
            </w:pPr>
            <w:r>
              <w:rPr>
                <w:rFonts w:ascii="Calibri" w:hAnsi="Calibri"/>
                <w:color w:val="1F1F1F"/>
                <w:sz w:val="17"/>
              </w:rPr>
              <w:t>One of Suture, Shunt, Seal, Cage, or Lens is selected deterministically for the wave/degree.</w:t>
            </w:r>
          </w:p>
        </w:tc>
        <w:tc>
          <w:tcPr>
            <w:tcW w:type="dxa" w:w="2850"/>
            <w:vAlign w:val="top"/>
            <w:tcMar>
              <w:top w:w="80" w:type="dxa"/>
              <w:start w:w="120" w:type="dxa"/>
              <w:bottom w:w="80" w:type="dxa"/>
              <w:end w:w="120" w:type="dxa"/>
            </w:tcMar>
          </w:tcPr>
          <w:p>
            <w:pPr>
              <w:pStyle w:val="TableText"/>
              <w:keepLines/>
            </w:pPr>
            <w:r>
              <w:rPr>
                <w:rFonts w:ascii="Calibri" w:hAnsi="Calibri"/>
                <w:color w:val="1F1F1F"/>
                <w:sz w:val="17"/>
              </w:rPr>
              <w:t>Trace the demanded ordered pattern and restore every anchor.</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7"/>
              </w:rPr>
              <w:t>Discovery Sigil</w:t>
            </w:r>
          </w:p>
        </w:tc>
        <w:tc>
          <w:tcPr>
            <w:tcW w:type="dxa" w:w="5010"/>
            <w:vAlign w:val="top"/>
            <w:tcMar>
              <w:top w:w="80" w:type="dxa"/>
              <w:start w:w="120" w:type="dxa"/>
              <w:bottom w:w="80" w:type="dxa"/>
              <w:end w:w="120" w:type="dxa"/>
            </w:tcMar>
          </w:tcPr>
          <w:p>
            <w:pPr>
              <w:pStyle w:val="TableText"/>
              <w:keepLines/>
            </w:pPr>
            <w:r>
              <w:rPr>
                <w:rFonts w:ascii="Calibri" w:hAnsi="Calibri"/>
                <w:color w:val="1F1F1F"/>
                <w:sz w:val="17"/>
              </w:rPr>
              <w:t>A guaranteed support pattern appears without revealing its full route.</w:t>
            </w:r>
          </w:p>
        </w:tc>
        <w:tc>
          <w:tcPr>
            <w:tcW w:type="dxa" w:w="2850"/>
            <w:vAlign w:val="top"/>
            <w:tcMar>
              <w:top w:w="80" w:type="dxa"/>
              <w:start w:w="120" w:type="dxa"/>
              <w:bottom w:w="80" w:type="dxa"/>
              <w:end w:w="120" w:type="dxa"/>
            </w:tcMar>
          </w:tcPr>
          <w:p>
            <w:pPr>
              <w:pStyle w:val="TableText"/>
              <w:keepLines/>
            </w:pPr>
            <w:r>
              <w:rPr>
                <w:rFonts w:ascii="Calibri" w:hAnsi="Calibri"/>
                <w:color w:val="1F1F1F"/>
                <w:sz w:val="17"/>
              </w:rPr>
              <w:t>Experimentally trace it, learn it, awaken it, and restore every anchor.</w:t>
            </w:r>
          </w:p>
        </w:tc>
      </w:tr>
    </w:tbl>
    <w:p>
      <w:pPr>
        <w:widowControl/>
        <w:spacing w:after="0"/>
      </w:pPr>
    </w:p>
    <w:p>
      <w:pPr>
        <w:widowControl/>
      </w:pPr>
      <w:r>
        <w:t>Threat count is max(1, 1 + ceremony degree ÷ 3), using integer division. Threats spawn just outside the recipe-size boundary and are tagged as rite-bound so the ritual’s passive entity damage cannot immediately kill its own ordeal.</w:t>
      </w:r>
    </w:p>
    <w:p>
      <w:pPr>
        <w:pStyle w:val="Heading2"/>
        <w:keepNext/>
        <w:widowControl/>
      </w:pPr>
      <w:r>
        <w:t>Ally stations</w:t>
      </w:r>
    </w:p>
    <w:p>
      <w:pPr>
        <w:widowControl/>
      </w:pPr>
      <w:r>
        <w:t>Allies are optional and appear only from Degree Five onward: one ally at Degree Five, two at Degree Six, and three at Degree Seven or Eight. A player ally must already belong to the caster’s bloodline. Recruited bloodline NPCs can also be assigned.</w:t>
      </w:r>
    </w:p>
    <w:tbl>
      <w:tblPr>
        <w:tblStyle w:val="TableGrid"/>
        <w:tblW w:type="dxa" w:w="9360"/>
        <w:jc w:val="left"/>
        <w:tblLayout w:type="fixed"/>
        <w:tblLook w:firstColumn="1" w:firstRow="1" w:lastColumn="0" w:lastRow="0" w:noHBand="0" w:noVBand="1" w:val="04A0"/>
        <w:tblInd w:w="120" w:type="dxa"/>
      </w:tblPr>
      <w:tblGrid>
        <w:gridCol w:w="1500"/>
        <w:gridCol w:w="4660"/>
        <w:gridCol w:w="3200"/>
      </w:tblGrid>
      <w:tr>
        <w:trPr>
          <w:tblHeader w:val="true"/>
        </w:trPr>
        <w:tc>
          <w:tcPr>
            <w:tcW w:type="dxa" w:w="1500"/>
            <w:shd w:fill="EADDE0"/>
            <w:vAlign w:val="center"/>
            <w:tcMar>
              <w:top w:w="80" w:type="dxa"/>
              <w:start w:w="120" w:type="dxa"/>
              <w:bottom w:w="80" w:type="dxa"/>
              <w:end w:w="120" w:type="dxa"/>
            </w:tcMar>
          </w:tcPr>
          <w:p>
            <w:pPr>
              <w:pStyle w:val="TableHeader"/>
              <w:keepLines/>
            </w:pPr>
            <w:r>
              <w:t>Role</w:t>
            </w:r>
          </w:p>
        </w:tc>
        <w:tc>
          <w:tcPr>
            <w:tcW w:type="dxa" w:w="4660"/>
            <w:shd w:fill="EADDE0"/>
            <w:vAlign w:val="center"/>
            <w:tcMar>
              <w:top w:w="80" w:type="dxa"/>
              <w:start w:w="120" w:type="dxa"/>
              <w:bottom w:w="80" w:type="dxa"/>
              <w:end w:w="120" w:type="dxa"/>
            </w:tcMar>
          </w:tcPr>
          <w:p>
            <w:pPr>
              <w:pStyle w:val="TableHeader"/>
              <w:keepLines/>
            </w:pPr>
            <w:r>
              <w:t>Function</w:t>
            </w:r>
          </w:p>
        </w:tc>
        <w:tc>
          <w:tcPr>
            <w:tcW w:type="dxa" w:w="3200"/>
            <w:shd w:fill="EADDE0"/>
            <w:vAlign w:val="center"/>
            <w:tcMar>
              <w:top w:w="80" w:type="dxa"/>
              <w:start w:w="120" w:type="dxa"/>
              <w:bottom w:w="80" w:type="dxa"/>
              <w:end w:w="120" w:type="dxa"/>
            </w:tcMar>
          </w:tcPr>
          <w:p>
            <w:pPr>
              <w:pStyle w:val="TableHeader"/>
              <w:keepLines/>
            </w:pPr>
            <w:r>
              <w:t>Blood behavior</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Anchor</w:t>
            </w:r>
          </w:p>
        </w:tc>
        <w:tc>
          <w:tcPr>
            <w:tcW w:type="dxa" w:w="4660"/>
            <w:vAlign w:val="top"/>
            <w:tcMar>
              <w:top w:w="80" w:type="dxa"/>
              <w:start w:w="120" w:type="dxa"/>
              <w:bottom w:w="80" w:type="dxa"/>
              <w:end w:w="120" w:type="dxa"/>
            </w:tcMar>
          </w:tcPr>
          <w:p>
            <w:pPr>
              <w:pStyle w:val="TableText"/>
              <w:keepLines/>
            </w:pPr>
            <w:r>
              <w:rPr>
                <w:rFonts w:ascii="Calibri" w:hAnsi="Calibri"/>
                <w:color w:val="1F1F1F"/>
                <w:sz w:val="18"/>
              </w:rPr>
              <w:t>Once per second, seeks a dry anchor in its assigned ring and supplies up to 10 ml.</w:t>
            </w:r>
          </w:p>
        </w:tc>
        <w:tc>
          <w:tcPr>
            <w:tcW w:type="dxa" w:w="3200"/>
            <w:vAlign w:val="top"/>
            <w:tcMar>
              <w:top w:w="80" w:type="dxa"/>
              <w:start w:w="120" w:type="dxa"/>
              <w:bottom w:w="80" w:type="dxa"/>
              <w:end w:w="120" w:type="dxa"/>
            </w:tcMar>
          </w:tcPr>
          <w:p>
            <w:pPr>
              <w:pStyle w:val="TableText"/>
              <w:keepLines/>
            </w:pPr>
            <w:r>
              <w:rPr>
                <w:rFonts w:ascii="Calibri" w:hAnsi="Calibri"/>
                <w:color w:val="1F1F1F"/>
                <w:sz w:val="18"/>
              </w:rPr>
              <w:t>Uses available shared/NPC reserve blood.</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Attendant</w:t>
            </w:r>
          </w:p>
        </w:tc>
        <w:tc>
          <w:tcPr>
            <w:tcW w:type="dxa" w:w="4660"/>
            <w:vAlign w:val="top"/>
            <w:tcMar>
              <w:top w:w="80" w:type="dxa"/>
              <w:start w:w="120" w:type="dxa"/>
              <w:bottom w:w="80" w:type="dxa"/>
              <w:end w:w="120" w:type="dxa"/>
            </w:tcMar>
          </w:tcPr>
          <w:p>
            <w:pPr>
              <w:pStyle w:val="TableText"/>
              <w:keepLines/>
            </w:pPr>
            <w:r>
              <w:rPr>
                <w:rFonts w:ascii="Calibri" w:hAnsi="Calibri"/>
                <w:color w:val="1F1F1F"/>
                <w:sz w:val="18"/>
              </w:rPr>
              <w:t>Catches one missed response, wrong sigil stroke, timeout, or profession error.</w:t>
            </w:r>
          </w:p>
        </w:tc>
        <w:tc>
          <w:tcPr>
            <w:tcW w:type="dxa" w:w="3200"/>
            <w:vAlign w:val="top"/>
            <w:tcMar>
              <w:top w:w="80" w:type="dxa"/>
              <w:start w:w="120" w:type="dxa"/>
              <w:bottom w:w="80" w:type="dxa"/>
              <w:end w:w="120" w:type="dxa"/>
            </w:tcMar>
          </w:tcPr>
          <w:p>
            <w:pPr>
              <w:pStyle w:val="TableText"/>
              <w:keepLines/>
            </w:pPr>
            <w:r>
              <w:rPr>
                <w:rFonts w:ascii="Calibri" w:hAnsi="Calibri"/>
                <w:color w:val="1F1F1F"/>
                <w:sz w:val="18"/>
              </w:rPr>
              <w:t>A catch costs 50 ml and is used once per assigned ally.</w:t>
            </w:r>
          </w:p>
        </w:tc>
      </w:tr>
      <w:tr>
        <w:tc>
          <w:tcPr>
            <w:tcW w:type="dxa" w:w="1500"/>
            <w:vAlign w:val="top"/>
            <w:tcMar>
              <w:top w:w="80" w:type="dxa"/>
              <w:start w:w="120" w:type="dxa"/>
              <w:bottom w:w="80" w:type="dxa"/>
              <w:end w:w="120" w:type="dxa"/>
            </w:tcMar>
          </w:tcPr>
          <w:p>
            <w:pPr>
              <w:pStyle w:val="TableText"/>
              <w:keepLines/>
            </w:pPr>
            <w:r>
              <w:rPr>
                <w:rFonts w:ascii="Calibri" w:hAnsi="Calibri"/>
                <w:color w:val="1F1F1F"/>
                <w:sz w:val="18"/>
              </w:rPr>
              <w:t>Warden</w:t>
            </w:r>
          </w:p>
        </w:tc>
        <w:tc>
          <w:tcPr>
            <w:tcW w:type="dxa" w:w="4660"/>
            <w:vAlign w:val="top"/>
            <w:tcMar>
              <w:top w:w="80" w:type="dxa"/>
              <w:start w:w="120" w:type="dxa"/>
              <w:bottom w:w="80" w:type="dxa"/>
              <w:end w:w="120" w:type="dxa"/>
            </w:tcMar>
          </w:tcPr>
          <w:p>
            <w:pPr>
              <w:pStyle w:val="TableText"/>
              <w:keepLines/>
            </w:pPr>
            <w:r>
              <w:rPr>
                <w:rFonts w:ascii="Calibri" w:hAnsi="Calibri"/>
                <w:color w:val="1F1F1F"/>
                <w:sz w:val="18"/>
              </w:rPr>
              <w:t>Every five seconds, applies strong slowing to one rite-bound enemy.</w:t>
            </w:r>
          </w:p>
        </w:tc>
        <w:tc>
          <w:tcPr>
            <w:tcW w:type="dxa" w:w="3200"/>
            <w:vAlign w:val="top"/>
            <w:tcMar>
              <w:top w:w="80" w:type="dxa"/>
              <w:start w:w="120" w:type="dxa"/>
              <w:bottom w:w="80" w:type="dxa"/>
              <w:end w:w="120" w:type="dxa"/>
            </w:tcMar>
          </w:tcPr>
          <w:p>
            <w:pPr>
              <w:pStyle w:val="TableText"/>
              <w:keepLines/>
            </w:pPr>
            <w:r>
              <w:rPr>
                <w:rFonts w:ascii="Calibri" w:hAnsi="Calibri"/>
                <w:color w:val="1F1F1F"/>
                <w:sz w:val="18"/>
              </w:rPr>
              <w:t>Each intervention costs 25 ml.</w:t>
            </w:r>
          </w:p>
        </w:tc>
      </w:tr>
    </w:tbl>
    <w:p>
      <w:pPr>
        <w:widowControl/>
        <w:spacing w:after="0"/>
      </w:pPr>
    </w:p>
    <w:p>
      <w:pPr>
        <w:pStyle w:val="ListBullet"/>
        <w:widowControl/>
      </w:pPr>
      <w:r>
        <w:t>Player allies empty-hand interact with a colored station during Inscription. Shift-interacting toggles permission to use the shared blood pool.</w:t>
      </w:r>
    </w:p>
    <w:p>
      <w:pPr>
        <w:pStyle w:val="ListBullet"/>
        <w:widowControl/>
      </w:pPr>
      <w:r>
        <w:t>The caster empty-hand interacts with a recruited NPC to cycle Anchor → Attendant → Warden.</w:t>
      </w:r>
    </w:p>
    <w:p>
      <w:pPr>
        <w:pStyle w:val="ListBullet"/>
        <w:widowControl/>
      </w:pPr>
      <w:r>
        <w:t>NPCs spend the shared pool first, then their 1,000 ml private rite reserve. Emptying both makes the NPC Bloodspent for one full Minecraft day.</w:t>
      </w:r>
    </w:p>
    <w:p>
      <w:pPr>
        <w:pStyle w:val="Heading1"/>
        <w:keepNext/>
        <w:widowControl/>
      </w:pPr>
      <w:r>
        <w:t>9. Failure, persistence, feedback, and completion</w:t>
      </w:r>
    </w:p>
    <w:p>
      <w:pPr>
        <w:pStyle w:val="Heading2"/>
        <w:keepNext/>
        <w:widowControl/>
      </w:pPr>
      <w:r>
        <w:t>Profession mistakes scale with degree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ADDE0"/>
            <w:vAlign w:val="center"/>
            <w:tcMar>
              <w:top w:w="80" w:type="dxa"/>
              <w:start w:w="120" w:type="dxa"/>
              <w:bottom w:w="80" w:type="dxa"/>
              <w:end w:w="120" w:type="dxa"/>
            </w:tcMar>
          </w:tcPr>
          <w:p>
            <w:pPr>
              <w:pStyle w:val="TableHeader"/>
              <w:keepLines/>
            </w:pPr>
            <w:r>
              <w:t>Ceremony degree</w:t>
            </w:r>
          </w:p>
        </w:tc>
        <w:tc>
          <w:tcPr>
            <w:tcW w:type="dxa" w:w="7460"/>
            <w:shd w:fill="EADDE0"/>
            <w:vAlign w:val="center"/>
            <w:tcMar>
              <w:top w:w="80" w:type="dxa"/>
              <w:start w:w="120" w:type="dxa"/>
              <w:bottom w:w="80" w:type="dxa"/>
              <w:end w:w="120" w:type="dxa"/>
            </w:tcMar>
          </w:tcPr>
          <w:p>
            <w:pPr>
              <w:pStyle w:val="TableHeader"/>
              <w:keepLines/>
            </w:pPr>
            <w:r>
              <w:t>Failure result</w:t>
            </w:r>
          </w:p>
        </w:tc>
      </w:tr>
      <w:tr>
        <w:tc>
          <w:tcPr>
            <w:tcW w:type="dxa" w:w="1900"/>
            <w:vAlign w:val="top"/>
            <w:tcMar>
              <w:top w:w="80" w:type="dxa"/>
              <w:start w:w="120" w:type="dxa"/>
              <w:bottom w:w="80" w:type="dxa"/>
              <w:end w:w="120" w:type="dxa"/>
            </w:tcMar>
          </w:tcPr>
          <w:p>
            <w:pPr>
              <w:pStyle w:val="TableText"/>
              <w:keepLines/>
            </w:pPr>
            <w:r>
              <w:rPr>
                <w:rFonts w:ascii="Calibri" w:hAnsi="Calibri"/>
                <w:color w:val="1F1F1F"/>
                <w:sz w:val="18"/>
              </w:rPr>
              <w:t>1–2</w:t>
            </w:r>
          </w:p>
        </w:tc>
        <w:tc>
          <w:tcPr>
            <w:tcW w:type="dxa" w:w="7460"/>
            <w:vAlign w:val="top"/>
            <w:tcMar>
              <w:top w:w="80" w:type="dxa"/>
              <w:start w:w="120" w:type="dxa"/>
              <w:bottom w:w="80" w:type="dxa"/>
              <w:end w:w="120" w:type="dxa"/>
            </w:tcMar>
          </w:tcPr>
          <w:p>
            <w:pPr>
              <w:pStyle w:val="TableText"/>
              <w:keepLines/>
            </w:pPr>
            <w:r>
              <w:rPr>
                <w:rFonts w:ascii="Calibri" w:hAnsi="Calibri"/>
                <w:color w:val="1F1F1F"/>
                <w:sz w:val="18"/>
              </w:rPr>
              <w:t>Retry the act and gain 8 instability.</w:t>
            </w:r>
          </w:p>
        </w:tc>
      </w:tr>
      <w:tr>
        <w:tc>
          <w:tcPr>
            <w:tcW w:type="dxa" w:w="1900"/>
            <w:vAlign w:val="top"/>
            <w:tcMar>
              <w:top w:w="80" w:type="dxa"/>
              <w:start w:w="120" w:type="dxa"/>
              <w:bottom w:w="80" w:type="dxa"/>
              <w:end w:w="120" w:type="dxa"/>
            </w:tcMar>
          </w:tcPr>
          <w:p>
            <w:pPr>
              <w:pStyle w:val="TableText"/>
              <w:keepLines/>
            </w:pPr>
            <w:r>
              <w:rPr>
                <w:rFonts w:ascii="Calibri" w:hAnsi="Calibri"/>
                <w:color w:val="1F1F1F"/>
                <w:sz w:val="18"/>
              </w:rPr>
              <w:t>3–4</w:t>
            </w:r>
          </w:p>
        </w:tc>
        <w:tc>
          <w:tcPr>
            <w:tcW w:type="dxa" w:w="7460"/>
            <w:vAlign w:val="top"/>
            <w:tcMar>
              <w:top w:w="80" w:type="dxa"/>
              <w:start w:w="120" w:type="dxa"/>
              <w:bottom w:w="80" w:type="dxa"/>
              <w:end w:w="120" w:type="dxa"/>
            </w:tcMar>
          </w:tcPr>
          <w:p>
            <w:pPr>
              <w:pStyle w:val="TableText"/>
              <w:keepLines/>
            </w:pPr>
            <w:r>
              <w:rPr>
                <w:rFonts w:ascii="Calibri" w:hAnsi="Calibri"/>
                <w:color w:val="1F1F1F"/>
                <w:sz w:val="18"/>
              </w:rPr>
              <w:t>Return to an additional recovery wave and gain 10 instability.</w:t>
            </w:r>
          </w:p>
        </w:tc>
      </w:tr>
      <w:tr>
        <w:tc>
          <w:tcPr>
            <w:tcW w:type="dxa" w:w="1900"/>
            <w:vAlign w:val="top"/>
            <w:tcMar>
              <w:top w:w="80" w:type="dxa"/>
              <w:start w:w="120" w:type="dxa"/>
              <w:bottom w:w="80" w:type="dxa"/>
              <w:end w:w="120" w:type="dxa"/>
            </w:tcMar>
          </w:tcPr>
          <w:p>
            <w:pPr>
              <w:pStyle w:val="TableText"/>
              <w:keepLines/>
            </w:pPr>
            <w:r>
              <w:rPr>
                <w:rFonts w:ascii="Calibri" w:hAnsi="Calibri"/>
                <w:color w:val="1F1F1F"/>
                <w:sz w:val="18"/>
              </w:rPr>
              <w:t>5–6</w:t>
            </w:r>
          </w:p>
        </w:tc>
        <w:tc>
          <w:tcPr>
            <w:tcW w:type="dxa" w:w="7460"/>
            <w:vAlign w:val="top"/>
            <w:tcMar>
              <w:top w:w="80" w:type="dxa"/>
              <w:start w:w="120" w:type="dxa"/>
              <w:bottom w:w="80" w:type="dxa"/>
              <w:end w:w="120" w:type="dxa"/>
            </w:tcMar>
          </w:tcPr>
          <w:p>
            <w:pPr>
              <w:pStyle w:val="TableText"/>
              <w:keepLines/>
            </w:pPr>
            <w:r>
              <w:rPr>
                <w:rFonts w:ascii="Calibri" w:hAnsi="Calibri"/>
                <w:color w:val="1F1F1F"/>
                <w:sz w:val="18"/>
              </w:rPr>
              <w:t>Return to a severe recovery wave and gain 20 instability.</w:t>
            </w:r>
          </w:p>
        </w:tc>
      </w:tr>
      <w:tr>
        <w:tc>
          <w:tcPr>
            <w:tcW w:type="dxa" w:w="1900"/>
            <w:vAlign w:val="top"/>
            <w:tcMar>
              <w:top w:w="80" w:type="dxa"/>
              <w:start w:w="120" w:type="dxa"/>
              <w:bottom w:w="80" w:type="dxa"/>
              <w:end w:w="120" w:type="dxa"/>
            </w:tcMar>
          </w:tcPr>
          <w:p>
            <w:pPr>
              <w:pStyle w:val="TableText"/>
              <w:keepLines/>
            </w:pPr>
            <w:r>
              <w:rPr>
                <w:rFonts w:ascii="Calibri" w:hAnsi="Calibri"/>
                <w:color w:val="1F1F1F"/>
                <w:sz w:val="18"/>
              </w:rPr>
              <w:t>7–8</w:t>
            </w:r>
          </w:p>
        </w:tc>
        <w:tc>
          <w:tcPr>
            <w:tcW w:type="dxa" w:w="7460"/>
            <w:vAlign w:val="top"/>
            <w:tcMar>
              <w:top w:w="80" w:type="dxa"/>
              <w:start w:w="120" w:type="dxa"/>
              <w:bottom w:w="80" w:type="dxa"/>
              <w:end w:w="120" w:type="dxa"/>
            </w:tcMar>
          </w:tcPr>
          <w:p>
            <w:pPr>
              <w:pStyle w:val="TableText"/>
              <w:keepLines/>
            </w:pPr>
            <w:r>
              <w:rPr>
                <w:rFonts w:ascii="Calibri" w:hAnsi="Calibri"/>
                <w:color w:val="1F1F1F"/>
                <w:sz w:val="18"/>
              </w:rPr>
              <w:t>Immediate collapse; no second attempt.</w:t>
            </w:r>
          </w:p>
        </w:tc>
      </w:tr>
    </w:tbl>
    <w:p>
      <w:pPr>
        <w:widowControl/>
        <w:spacing w:after="0"/>
      </w:pPr>
    </w:p>
    <w:p>
      <w:pPr>
        <w:widowControl/>
      </w:pPr>
      <w:r>
        <w:t>An available Attendant can intercept the mistake before the tiered failure is applied.</w:t>
      </w:r>
    </w:p>
    <w:p>
      <w:pPr>
        <w:pStyle w:val="Heading2"/>
        <w:keepNext/>
        <w:widowControl/>
      </w:pPr>
      <w:r>
        <w:t>Other collapse paths</w:t>
      </w:r>
    </w:p>
    <w:p>
      <w:pPr>
        <w:pStyle w:val="ListBullet"/>
        <w:widowControl/>
      </w:pPr>
      <w:r>
        <w:t>Instability reaches 100.</w:t>
      </w:r>
    </w:p>
    <w:p>
      <w:pPr>
        <w:pStyle w:val="ListBullet"/>
        <w:widowControl/>
      </w:pPr>
      <w:r>
        <w:t>The caster leaves the dimension or disconnects for more than 200 ticks (10 seconds).</w:t>
      </w:r>
    </w:p>
    <w:p>
      <w:pPr>
        <w:pStyle w:val="ListBullet"/>
        <w:widowControl/>
      </w:pPr>
      <w:r>
        <w:t>Consecration receives no successful anchor input for 10 minutes.</w:t>
      </w:r>
    </w:p>
    <w:p>
      <w:pPr>
        <w:pStyle w:val="ListBullet"/>
        <w:widowControl/>
      </w:pPr>
      <w:r>
        <w:t>The structure repeatedly fails its once-per-second integrity check, adding 5 instability each time.</w:t>
      </w:r>
    </w:p>
    <w:p>
      <w:pPr>
        <w:pStyle w:val="ListBullet"/>
        <w:widowControl/>
      </w:pPr>
      <w:r>
        <w:t>A Degree Seven or Eight profession input is wrong.</w:t>
      </w:r>
    </w:p>
    <w:p>
      <w:pPr>
        <w:widowControl/>
      </w:pPr>
      <w:r>
        <w:t>Active rites are server-authoritative and saved with phase, anchors, instability ordering, repairs, sigil progress, awakened states, allies, reserves, threats, and wave deck. Existing legacy rites deserialize normally. The short disconnect grace prevents an immediate loss from a transient logout while still preventing abandoned ceremonies from persisting forever.</w:t>
      </w:r>
    </w:p>
    <w:p>
      <w:pPr>
        <w:pStyle w:val="Heading2"/>
        <w:keepNext/>
        <w:widowControl/>
      </w:pPr>
      <w:r>
        <w:t>Actionable HUD and visual language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EADDE0"/>
            <w:vAlign w:val="center"/>
            <w:tcMar>
              <w:top w:w="80" w:type="dxa"/>
              <w:start w:w="120" w:type="dxa"/>
              <w:bottom w:w="80" w:type="dxa"/>
              <w:end w:w="120" w:type="dxa"/>
            </w:tcMar>
          </w:tcPr>
          <w:p>
            <w:pPr>
              <w:pStyle w:val="TableHeader"/>
              <w:keepLines/>
            </w:pPr>
            <w:r>
              <w:t>Phase</w:t>
            </w:r>
          </w:p>
        </w:tc>
        <w:tc>
          <w:tcPr>
            <w:tcW w:type="dxa" w:w="7660"/>
            <w:shd w:fill="EADDE0"/>
            <w:vAlign w:val="center"/>
            <w:tcMar>
              <w:top w:w="80" w:type="dxa"/>
              <w:start w:w="120" w:type="dxa"/>
              <w:bottom w:w="80" w:type="dxa"/>
              <w:end w:w="120" w:type="dxa"/>
            </w:tcMar>
          </w:tcPr>
          <w:p>
            <w:pPr>
              <w:pStyle w:val="TableHeader"/>
              <w:keepLines/>
            </w:pPr>
            <w:r>
              <w:t>Persistent information</w:t>
            </w:r>
          </w:p>
        </w:tc>
      </w:tr>
      <w:tr>
        <w:tc>
          <w:tcPr>
            <w:tcW w:type="dxa" w:w="1700"/>
            <w:vAlign w:val="top"/>
            <w:tcMar>
              <w:top w:w="80" w:type="dxa"/>
              <w:start w:w="120" w:type="dxa"/>
              <w:bottom w:w="80" w:type="dxa"/>
              <w:end w:w="120" w:type="dxa"/>
            </w:tcMar>
          </w:tcPr>
          <w:p>
            <w:pPr>
              <w:pStyle w:val="TableText"/>
              <w:keepLines/>
            </w:pPr>
            <w:r>
              <w:rPr>
                <w:rFonts w:ascii="Calibri" w:hAnsi="Calibri"/>
                <w:color w:val="1F1F1F"/>
                <w:sz w:val="18"/>
              </w:rPr>
              <w:t>Consecration</w:t>
            </w:r>
          </w:p>
        </w:tc>
        <w:tc>
          <w:tcPr>
            <w:tcW w:type="dxa" w:w="7660"/>
            <w:vAlign w:val="top"/>
            <w:tcMar>
              <w:top w:w="80" w:type="dxa"/>
              <w:start w:w="120" w:type="dxa"/>
              <w:bottom w:w="80" w:type="dxa"/>
              <w:end w:w="120" w:type="dxa"/>
            </w:tcMar>
          </w:tcPr>
          <w:p>
            <w:pPr>
              <w:pStyle w:val="TableText"/>
              <w:keepLines/>
            </w:pPr>
            <w:r>
              <w:rPr>
                <w:rFonts w:ascii="Calibri" w:hAnsi="Calibri"/>
                <w:color w:val="1F1F1F"/>
                <w:sz w:val="18"/>
              </w:rPr>
              <w:t>Completed rings, anchors remaining, projection instruction.</w:t>
            </w:r>
          </w:p>
        </w:tc>
      </w:tr>
      <w:tr>
        <w:tc>
          <w:tcPr>
            <w:tcW w:type="dxa" w:w="1700"/>
            <w:vAlign w:val="top"/>
            <w:tcMar>
              <w:top w:w="80" w:type="dxa"/>
              <w:start w:w="120" w:type="dxa"/>
              <w:bottom w:w="80" w:type="dxa"/>
              <w:end w:w="120" w:type="dxa"/>
            </w:tcMar>
          </w:tcPr>
          <w:p>
            <w:pPr>
              <w:pStyle w:val="TableText"/>
              <w:keepLines/>
            </w:pPr>
            <w:r>
              <w:rPr>
                <w:rFonts w:ascii="Calibri" w:hAnsi="Calibri"/>
                <w:color w:val="1F1F1F"/>
                <w:sz w:val="18"/>
              </w:rPr>
              <w:t>Inscription</w:t>
            </w:r>
          </w:p>
        </w:tc>
        <w:tc>
          <w:tcPr>
            <w:tcW w:type="dxa" w:w="7660"/>
            <w:vAlign w:val="top"/>
            <w:tcMar>
              <w:top w:w="80" w:type="dxa"/>
              <w:start w:w="120" w:type="dxa"/>
              <w:bottom w:w="80" w:type="dxa"/>
              <w:end w:w="120" w:type="dxa"/>
            </w:tcMar>
          </w:tcPr>
          <w:p>
            <w:pPr>
              <w:pStyle w:val="TableText"/>
              <w:keepLines/>
            </w:pPr>
            <w:r>
              <w:rPr>
                <w:rFonts w:ascii="Calibri" w:hAnsi="Calibri"/>
                <w:color w:val="1F1F1F"/>
                <w:sz w:val="18"/>
              </w:rPr>
              <w:t>Optional sigil progress, optional allies, catalyst state, daemon instruction.</w:t>
            </w:r>
          </w:p>
        </w:tc>
      </w:tr>
      <w:tr>
        <w:tc>
          <w:tcPr>
            <w:tcW w:type="dxa" w:w="1700"/>
            <w:vAlign w:val="top"/>
            <w:tcMar>
              <w:top w:w="80" w:type="dxa"/>
              <w:start w:w="120" w:type="dxa"/>
              <w:bottom w:w="80" w:type="dxa"/>
              <w:end w:w="120" w:type="dxa"/>
            </w:tcMar>
          </w:tcPr>
          <w:p>
            <w:pPr>
              <w:pStyle w:val="TableText"/>
              <w:keepLines/>
            </w:pPr>
            <w:r>
              <w:rPr>
                <w:rFonts w:ascii="Calibri" w:hAnsi="Calibri"/>
                <w:color w:val="1F1F1F"/>
                <w:sz w:val="18"/>
              </w:rPr>
              <w:t>Ordeal</w:t>
            </w:r>
          </w:p>
        </w:tc>
        <w:tc>
          <w:tcPr>
            <w:tcW w:type="dxa" w:w="7660"/>
            <w:vAlign w:val="top"/>
            <w:tcMar>
              <w:top w:w="80" w:type="dxa"/>
              <w:start w:w="120" w:type="dxa"/>
              <w:bottom w:w="80" w:type="dxa"/>
              <w:end w:w="120" w:type="dxa"/>
            </w:tcMar>
          </w:tcPr>
          <w:p>
            <w:pPr>
              <w:pStyle w:val="TableText"/>
              <w:keepLines/>
            </w:pPr>
            <w:r>
              <w:rPr>
                <w:rFonts w:ascii="Calibri" w:hAnsi="Calibri"/>
                <w:color w:val="1F1F1F"/>
                <w:sz w:val="18"/>
              </w:rPr>
              <w:t>Wave number, readable objective, damaged anchors, dry anchors.</w:t>
            </w:r>
          </w:p>
        </w:tc>
      </w:tr>
      <w:tr>
        <w:tc>
          <w:tcPr>
            <w:tcW w:type="dxa" w:w="1700"/>
            <w:vAlign w:val="top"/>
            <w:tcMar>
              <w:top w:w="80" w:type="dxa"/>
              <w:start w:w="120" w:type="dxa"/>
              <w:bottom w:w="80" w:type="dxa"/>
              <w:end w:w="120" w:type="dxa"/>
            </w:tcMar>
          </w:tcPr>
          <w:p>
            <w:pPr>
              <w:pStyle w:val="TableText"/>
              <w:keepLines/>
            </w:pPr>
            <w:r>
              <w:rPr>
                <w:rFonts w:ascii="Calibri" w:hAnsi="Calibri"/>
                <w:color w:val="1F1F1F"/>
                <w:sz w:val="18"/>
              </w:rPr>
              <w:t>Still Interval</w:t>
            </w:r>
          </w:p>
        </w:tc>
        <w:tc>
          <w:tcPr>
            <w:tcW w:type="dxa" w:w="7660"/>
            <w:vAlign w:val="top"/>
            <w:tcMar>
              <w:top w:w="80" w:type="dxa"/>
              <w:start w:w="120" w:type="dxa"/>
              <w:bottom w:w="80" w:type="dxa"/>
              <w:end w:w="120" w:type="dxa"/>
            </w:tcMar>
          </w:tcPr>
          <w:p>
            <w:pPr>
              <w:pStyle w:val="TableText"/>
              <w:keepLines/>
            </w:pPr>
            <w:r>
              <w:rPr>
                <w:rFonts w:ascii="Calibri" w:hAnsi="Calibri"/>
                <w:color w:val="1F1F1F"/>
                <w:sz w:val="18"/>
              </w:rPr>
              <w:t>Seconds remaining plus repair and reinforcement blockers.</w:t>
            </w:r>
          </w:p>
        </w:tc>
      </w:tr>
      <w:tr>
        <w:tc>
          <w:tcPr>
            <w:tcW w:type="dxa" w:w="1700"/>
            <w:vAlign w:val="top"/>
            <w:tcMar>
              <w:top w:w="80" w:type="dxa"/>
              <w:start w:w="120" w:type="dxa"/>
              <w:bottom w:w="80" w:type="dxa"/>
              <w:end w:w="120" w:type="dxa"/>
            </w:tcMar>
          </w:tcPr>
          <w:p>
            <w:pPr>
              <w:pStyle w:val="TableText"/>
              <w:keepLines/>
            </w:pPr>
            <w:r>
              <w:rPr>
                <w:rFonts w:ascii="Calibri" w:hAnsi="Calibri"/>
                <w:color w:val="1F1F1F"/>
                <w:sz w:val="18"/>
              </w:rPr>
              <w:t>Profession</w:t>
            </w:r>
          </w:p>
        </w:tc>
        <w:tc>
          <w:tcPr>
            <w:tcW w:type="dxa" w:w="7660"/>
            <w:vAlign w:val="top"/>
            <w:tcMar>
              <w:top w:w="80" w:type="dxa"/>
              <w:start w:w="120" w:type="dxa"/>
              <w:bottom w:w="80" w:type="dxa"/>
              <w:end w:w="120" w:type="dxa"/>
            </w:tcMar>
          </w:tcPr>
          <w:p>
            <w:pPr>
              <w:pStyle w:val="TableText"/>
              <w:keepLines/>
            </w:pPr>
            <w:r>
              <w:rPr>
                <w:rFonts w:ascii="Calibri" w:hAnsi="Calibri"/>
                <w:color w:val="1F1F1F"/>
                <w:sz w:val="18"/>
              </w:rPr>
              <w:t>Authored prompt, response progress, and interaction method.</w:t>
            </w:r>
          </w:p>
        </w:tc>
      </w:tr>
      <w:tr>
        <w:tc>
          <w:tcPr>
            <w:tcW w:type="dxa" w:w="1700"/>
            <w:vAlign w:val="top"/>
            <w:tcMar>
              <w:top w:w="80" w:type="dxa"/>
              <w:start w:w="120" w:type="dxa"/>
              <w:bottom w:w="80" w:type="dxa"/>
              <w:end w:w="120" w:type="dxa"/>
            </w:tcMar>
          </w:tcPr>
          <w:p>
            <w:pPr>
              <w:pStyle w:val="TableText"/>
              <w:keepLines/>
            </w:pPr>
            <w:r>
              <w:rPr>
                <w:rFonts w:ascii="Calibri" w:hAnsi="Calibri"/>
                <w:color w:val="1F1F1F"/>
                <w:sz w:val="18"/>
              </w:rPr>
              <w:t>Culmination</w:t>
            </w:r>
          </w:p>
        </w:tc>
        <w:tc>
          <w:tcPr>
            <w:tcW w:type="dxa" w:w="7660"/>
            <w:vAlign w:val="top"/>
            <w:tcMar>
              <w:top w:w="80" w:type="dxa"/>
              <w:start w:w="120" w:type="dxa"/>
              <w:bottom w:w="80" w:type="dxa"/>
              <w:end w:w="120" w:type="dxa"/>
            </w:tcMar>
          </w:tcPr>
          <w:p>
            <w:pPr>
              <w:pStyle w:val="TableText"/>
              <w:keepLines/>
            </w:pPr>
            <w:r>
              <w:rPr>
                <w:rFonts w:ascii="Calibri" w:hAnsi="Calibri"/>
                <w:color w:val="1F1F1F"/>
                <w:sz w:val="18"/>
              </w:rPr>
              <w:t>Resolution in progress; no input required.</w:t>
            </w:r>
          </w:p>
        </w:tc>
      </w:tr>
    </w:tbl>
    <w:p>
      <w:pPr>
        <w:widowControl/>
        <w:spacing w:after="0"/>
      </w:pPr>
    </w:p>
    <w:p>
      <w:pPr>
        <w:widowControl/>
      </w:pPr>
      <w:r>
        <w:t>Internal identifiers such as response_sigil are translated into player-readable objectives. Growing nodes, traced vessels, boundary arcs, outside-in damage, the full Fane shell, and the daemon all reinforce the same checklist state in world space.</w:t>
      </w:r>
    </w:p>
    <w:p>
      <w:pPr>
        <w:pStyle w:val="Heading1"/>
        <w:keepNext/>
        <w:widowControl/>
      </w:pPr>
      <w:r>
        <w:t>10. Ceremony authoring model</w:t>
      </w:r>
    </w:p>
    <w:p>
      <w:pPr>
        <w:widowControl/>
      </w:pPr>
      <w:r>
        <w:t>Harbinger ceremony behavior is attached to Cardinal Rite recipes. Explicit ceremony JSON may author every field; when it is absent, built-in rites receive a deterministic converted definition so older datapacks remain usable.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ADDE0"/>
            <w:vAlign w:val="center"/>
            <w:tcMar>
              <w:top w:w="80" w:type="dxa"/>
              <w:start w:w="120" w:type="dxa"/>
              <w:bottom w:w="80" w:type="dxa"/>
              <w:end w:w="120" w:type="dxa"/>
            </w:tcMar>
          </w:tcPr>
          <w:p>
            <w:pPr>
              <w:pStyle w:val="TableHeader"/>
              <w:keepLines/>
            </w:pPr>
            <w:r>
              <w:t>Recipe field</w:t>
            </w:r>
          </w:p>
        </w:tc>
        <w:tc>
          <w:tcPr>
            <w:tcW w:type="dxa" w:w="6760"/>
            <w:shd w:fill="EADDE0"/>
            <w:vAlign w:val="center"/>
            <w:tcMar>
              <w:top w:w="80" w:type="dxa"/>
              <w:start w:w="120" w:type="dxa"/>
              <w:bottom w:w="80" w:type="dxa"/>
              <w:end w:w="120" w:type="dxa"/>
            </w:tcMar>
          </w:tcPr>
          <w:p>
            <w:pPr>
              <w:pStyle w:val="TableHeader"/>
              <w:keepLines/>
            </w:pPr>
            <w:r>
              <w:t>Meaning</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bloodCost</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Retained recipe/legacy value. It is not charged as an upfront cost for an interactive ceremony.</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riteType</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minor / lesser / greater / grand form tuning.</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required_degree</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Path access requirement; rank rites target required degree + 1.</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required_purity / required_clarity</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Optional Unstained thresholds beyond the stage gate.</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unstained</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Selects the Unstained path and retained countdown model.</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rankup</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Adds Profession and applies mapped degree advancement on successful production rites.</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breakBlocksOnCreation</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Controls whether the matched structure is consumed on completion.</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ceremony.profile</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full or abbreviated.</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ceremony.anchors</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Explicit x/y/z offsets plus ring and stable order metadata.</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ceremony.layout / rotation</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Generates four anchors per ring using Cardinal, Diagonal, Crooked, or Serpentine geometry.</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ceremony.support_sockets</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Suggested support sigil origins; runtime placement resolves overlap safely.</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ceremony.waves</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Shuffleable ordeal pool.</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ceremony.guaranteed_waves</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Inserted before shuffled waves, normally discovery content.</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ceremony.signature</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Authored profession handler.</w:t>
            </w:r>
          </w:p>
        </w:tc>
      </w:tr>
      <w:tr>
        <w:tc>
          <w:tcPr>
            <w:tcW w:type="dxa" w:w="2600"/>
            <w:vAlign w:val="top"/>
            <w:tcMar>
              <w:top w:w="80" w:type="dxa"/>
              <w:start w:w="120" w:type="dxa"/>
              <w:bottom w:w="80" w:type="dxa"/>
              <w:end w:w="120" w:type="dxa"/>
            </w:tcMar>
          </w:tcPr>
          <w:p>
            <w:pPr>
              <w:pStyle w:val="TableText"/>
              <w:keepLines/>
            </w:pPr>
            <w:r>
              <w:rPr>
                <w:rFonts w:ascii="Calibri" w:hAnsi="Calibri"/>
                <w:color w:val="1F1F1F"/>
                <w:sz w:val="17"/>
              </w:rPr>
              <w:t>ceremony.fragile_offsets</w:t>
            </w:r>
          </w:p>
        </w:tc>
        <w:tc>
          <w:tcPr>
            <w:tcW w:type="dxa" w:w="6760"/>
            <w:vAlign w:val="top"/>
            <w:tcMar>
              <w:top w:w="80" w:type="dxa"/>
              <w:start w:w="120" w:type="dxa"/>
              <w:bottom w:w="80" w:type="dxa"/>
              <w:end w:w="120" w:type="dxa"/>
            </w:tcMar>
          </w:tcPr>
          <w:p>
            <w:pPr>
              <w:pStyle w:val="TableText"/>
              <w:keepLines/>
            </w:pPr>
            <w:r>
              <w:rPr>
                <w:rFonts w:ascii="Calibri" w:hAnsi="Calibri"/>
                <w:color w:val="1F1F1F"/>
                <w:sz w:val="17"/>
              </w:rPr>
              <w:t>Eligible low-hardness blocks for form-scaled collapse damage.</w:t>
            </w:r>
          </w:p>
        </w:tc>
      </w:tr>
    </w:tbl>
    <w:p>
      <w:pPr>
        <w:widowControl/>
        <w:spacing w:after="0"/>
      </w:pPr>
    </w:p>
    <w:p>
      <w:pPr>
        <w:widowControl/>
      </w:pPr>
      <w:r>
        <w:t>Converted ceremonies use four support sockets—Bastion, Reservoir, Mnemonic, and Hematic Lattice—placed beyond the ring count. Their default wave pool contains all five standard ordeal families, and the guaranteed discovery advances by form: Reservoir, Bastion, Mnemonic, then Hematic Lattice.</w:t>
      </w:r>
    </w:p>
    <w:p>
      <w:pPr>
        <w:pStyle w:val="Heading2"/>
        <w:keepNext/>
        <w:widowControl/>
      </w:pPr>
      <w:r>
        <w:t>Authored layout families</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shd w:fill="EADDE0"/>
            <w:vAlign w:val="center"/>
            <w:tcMar>
              <w:top w:w="80" w:type="dxa"/>
              <w:start w:w="120" w:type="dxa"/>
              <w:bottom w:w="80" w:type="dxa"/>
              <w:end w:w="120" w:type="dxa"/>
            </w:tcMar>
          </w:tcPr>
          <w:p>
            <w:pPr>
              <w:pStyle w:val="TableHeader"/>
              <w:keepLines/>
            </w:pPr>
            <w:r>
              <w:t>Layout</w:t>
            </w:r>
          </w:p>
        </w:tc>
        <w:tc>
          <w:tcPr>
            <w:tcW w:type="dxa" w:w="7760"/>
            <w:shd w:fill="EADDE0"/>
            <w:vAlign w:val="center"/>
            <w:tcMar>
              <w:top w:w="80" w:type="dxa"/>
              <w:start w:w="120" w:type="dxa"/>
              <w:bottom w:w="80" w:type="dxa"/>
              <w:end w:w="120" w:type="dxa"/>
            </w:tcMar>
          </w:tcPr>
          <w:p>
            <w:pPr>
              <w:pStyle w:val="TableHeader"/>
              <w:keepLines/>
            </w:pPr>
            <w:r>
              <w:t>Character</w:t>
            </w:r>
          </w:p>
        </w:tc>
      </w:tr>
      <w:tr>
        <w:tc>
          <w:tcPr>
            <w:tcW w:type="dxa" w:w="1600"/>
            <w:vAlign w:val="top"/>
            <w:tcMar>
              <w:top w:w="80" w:type="dxa"/>
              <w:start w:w="120" w:type="dxa"/>
              <w:bottom w:w="80" w:type="dxa"/>
              <w:end w:w="120" w:type="dxa"/>
            </w:tcMar>
          </w:tcPr>
          <w:p>
            <w:pPr>
              <w:pStyle w:val="TableText"/>
              <w:keepLines/>
            </w:pPr>
            <w:r>
              <w:rPr>
                <w:rFonts w:ascii="Calibri" w:hAnsi="Calibri"/>
                <w:color w:val="1F1F1F"/>
                <w:sz w:val="18"/>
              </w:rPr>
              <w:t>Cardinal</w:t>
            </w:r>
          </w:p>
        </w:tc>
        <w:tc>
          <w:tcPr>
            <w:tcW w:type="dxa" w:w="7760"/>
            <w:vAlign w:val="top"/>
            <w:tcMar>
              <w:top w:w="80" w:type="dxa"/>
              <w:start w:w="120" w:type="dxa"/>
              <w:bottom w:w="80" w:type="dxa"/>
              <w:end w:w="120" w:type="dxa"/>
            </w:tcMar>
          </w:tcPr>
          <w:p>
            <w:pPr>
              <w:pStyle w:val="TableText"/>
              <w:keepLines/>
            </w:pPr>
            <w:r>
              <w:rPr>
                <w:rFonts w:ascii="Calibri" w:hAnsi="Calibri"/>
                <w:color w:val="1F1F1F"/>
                <w:sz w:val="18"/>
              </w:rPr>
              <w:t>Four axis-aligned stations; the clearest conventional circulation.</w:t>
            </w:r>
          </w:p>
        </w:tc>
      </w:tr>
      <w:tr>
        <w:tc>
          <w:tcPr>
            <w:tcW w:type="dxa" w:w="1600"/>
            <w:vAlign w:val="top"/>
            <w:tcMar>
              <w:top w:w="80" w:type="dxa"/>
              <w:start w:w="120" w:type="dxa"/>
              <w:bottom w:w="80" w:type="dxa"/>
              <w:end w:w="120" w:type="dxa"/>
            </w:tcMar>
          </w:tcPr>
          <w:p>
            <w:pPr>
              <w:pStyle w:val="TableText"/>
              <w:keepLines/>
            </w:pPr>
            <w:r>
              <w:rPr>
                <w:rFonts w:ascii="Calibri" w:hAnsi="Calibri"/>
                <w:color w:val="1F1F1F"/>
                <w:sz w:val="18"/>
              </w:rPr>
              <w:t>Diagonal</w:t>
            </w:r>
          </w:p>
        </w:tc>
        <w:tc>
          <w:tcPr>
            <w:tcW w:type="dxa" w:w="7760"/>
            <w:vAlign w:val="top"/>
            <w:tcMar>
              <w:top w:w="80" w:type="dxa"/>
              <w:start w:w="120" w:type="dxa"/>
              <w:bottom w:w="80" w:type="dxa"/>
              <w:end w:w="120" w:type="dxa"/>
            </w:tcMar>
          </w:tcPr>
          <w:p>
            <w:pPr>
              <w:pStyle w:val="TableText"/>
              <w:keepLines/>
            </w:pPr>
            <w:r>
              <w:rPr>
                <w:rFonts w:ascii="Calibri" w:hAnsi="Calibri"/>
                <w:color w:val="1F1F1F"/>
                <w:sz w:val="18"/>
              </w:rPr>
              <w:t>Four corner stations; visually offsets successive defenses.</w:t>
            </w:r>
          </w:p>
        </w:tc>
      </w:tr>
      <w:tr>
        <w:tc>
          <w:tcPr>
            <w:tcW w:type="dxa" w:w="1600"/>
            <w:vAlign w:val="top"/>
            <w:tcMar>
              <w:top w:w="80" w:type="dxa"/>
              <w:start w:w="120" w:type="dxa"/>
              <w:bottom w:w="80" w:type="dxa"/>
              <w:end w:w="120" w:type="dxa"/>
            </w:tcMar>
          </w:tcPr>
          <w:p>
            <w:pPr>
              <w:pStyle w:val="TableText"/>
              <w:keepLines/>
            </w:pPr>
            <w:r>
              <w:rPr>
                <w:rFonts w:ascii="Calibri" w:hAnsi="Calibri"/>
                <w:color w:val="1F1F1F"/>
                <w:sz w:val="18"/>
              </w:rPr>
              <w:t>Crooked</w:t>
            </w:r>
          </w:p>
        </w:tc>
        <w:tc>
          <w:tcPr>
            <w:tcW w:type="dxa" w:w="7760"/>
            <w:vAlign w:val="top"/>
            <w:tcMar>
              <w:top w:w="80" w:type="dxa"/>
              <w:start w:w="120" w:type="dxa"/>
              <w:bottom w:w="80" w:type="dxa"/>
              <w:end w:w="120" w:type="dxa"/>
            </w:tcMar>
          </w:tcPr>
          <w:p>
            <w:pPr>
              <w:pStyle w:val="TableText"/>
              <w:keepLines/>
            </w:pPr>
            <w:r>
              <w:rPr>
                <w:rFonts w:ascii="Calibri" w:hAnsi="Calibri"/>
                <w:color w:val="1F1F1F"/>
                <w:sz w:val="18"/>
              </w:rPr>
              <w:t>Axis stations with deliberate one-block skew.</w:t>
            </w:r>
          </w:p>
        </w:tc>
      </w:tr>
      <w:tr>
        <w:tc>
          <w:tcPr>
            <w:tcW w:type="dxa" w:w="1600"/>
            <w:vAlign w:val="top"/>
            <w:tcMar>
              <w:top w:w="80" w:type="dxa"/>
              <w:start w:w="120" w:type="dxa"/>
              <w:bottom w:w="80" w:type="dxa"/>
              <w:end w:w="120" w:type="dxa"/>
            </w:tcMar>
          </w:tcPr>
          <w:p>
            <w:pPr>
              <w:pStyle w:val="TableText"/>
              <w:keepLines/>
            </w:pPr>
            <w:r>
              <w:rPr>
                <w:rFonts w:ascii="Calibri" w:hAnsi="Calibri"/>
                <w:color w:val="1F1F1F"/>
                <w:sz w:val="18"/>
              </w:rPr>
              <w:t>Serpentine</w:t>
            </w:r>
          </w:p>
        </w:tc>
        <w:tc>
          <w:tcPr>
            <w:tcW w:type="dxa" w:w="7760"/>
            <w:vAlign w:val="top"/>
            <w:tcMar>
              <w:top w:w="80" w:type="dxa"/>
              <w:start w:w="120" w:type="dxa"/>
              <w:bottom w:w="80" w:type="dxa"/>
              <w:end w:w="120" w:type="dxa"/>
            </w:tcMar>
          </w:tcPr>
          <w:p>
            <w:pPr>
              <w:pStyle w:val="TableText"/>
              <w:keepLines/>
            </w:pPr>
            <w:r>
              <w:rPr>
                <w:rFonts w:ascii="Calibri" w:hAnsi="Calibri"/>
                <w:color w:val="1F1F1F"/>
                <w:sz w:val="18"/>
              </w:rPr>
              <w:t>Alternating skew that creates a winding circulation.</w:t>
            </w:r>
          </w:p>
        </w:tc>
      </w:tr>
    </w:tbl>
    <w:p>
      <w:pPr>
        <w:widowControl/>
        <w:spacing w:after="0"/>
      </w:pPr>
    </w:p>
    <w:p>
      <w:pPr>
        <w:pStyle w:val="Heading1"/>
        <w:keepNext/>
        <w:widowControl/>
      </w:pPr>
      <w:r>
        <w:t>11. The Unstained Cardinal Rite branch</w:t>
      </w:r>
    </w:p>
    <w:p>
      <w:pPr>
        <w:widowControl/>
      </w:pPr>
      <w:r>
        <w:t>Unstained rites share the recipe, multiblock matching, rite-size boundary, progression gate, structure verification, and completion dispatch infrastructure. They intentionally remain outside the interactive blood ceremony: no Harbinger anchors, sigils, ordeals, daemon seal, allies, instability ladder, still interval, or profession act is created.</w:t>
      </w:r>
    </w:p>
    <w:p>
      <w:pPr>
        <w:pStyle w:val="ListBullet"/>
        <w:widowControl/>
      </w:pPr>
      <w:r>
        <w:t>Activation uses the Blood Crafting key rather than a Sanguine Formation or Living Staff.</w:t>
      </w:r>
    </w:p>
    <w:p>
      <w:pPr>
        <w:pStyle w:val="ListBullet"/>
        <w:widowControl/>
      </w:pPr>
      <w:r>
        <w:t>The rites have zero blood cost by design and draw their meaning from purity, clarity, and authored prerequisites.</w:t>
      </w:r>
    </w:p>
    <w:p>
      <w:pPr>
        <w:pStyle w:val="ListBullet"/>
        <w:widowControl/>
      </w:pPr>
      <w:r>
        <w:t>Access is expressed as Unstained stages 0–8, with optional numeric purity or clarity thresholds.</w:t>
      </w:r>
    </w:p>
    <w:p>
      <w:pPr>
        <w:pStyle w:val="ListBullet"/>
        <w:widowControl/>
      </w:pPr>
      <w:r>
        <w:t>The form’s 5/10/20/40-second countdown remains meaningful here.</w:t>
      </w:r>
    </w:p>
    <w:p>
      <w:pPr>
        <w:pStyle w:val="ListBullet"/>
        <w:widowControl/>
      </w:pPr>
      <w:r>
        <w:t>Completion effects include purification progression, defensive wards, anti-blood domains, area cleansing, clarity bursts, environmental protection, and path-specific capstones.</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shd w:fill="EADDE0"/>
            <w:vAlign w:val="center"/>
            <w:tcMar>
              <w:top w:w="80" w:type="dxa"/>
              <w:start w:w="120" w:type="dxa"/>
              <w:bottom w:w="80" w:type="dxa"/>
              <w:end w:w="120" w:type="dxa"/>
            </w:tcMar>
          </w:tcPr>
          <w:p>
            <w:pPr>
              <w:pStyle w:val="TableHeader"/>
              <w:keepLines/>
            </w:pPr>
            <w:r>
              <w:t>Level</w:t>
            </w:r>
          </w:p>
        </w:tc>
        <w:tc>
          <w:tcPr>
            <w:tcW w:type="dxa" w:w="8160"/>
            <w:shd w:fill="EADDE0"/>
            <w:vAlign w:val="center"/>
            <w:tcMar>
              <w:top w:w="80" w:type="dxa"/>
              <w:start w:w="120" w:type="dxa"/>
              <w:bottom w:w="80" w:type="dxa"/>
              <w:end w:w="120" w:type="dxa"/>
            </w:tcMar>
          </w:tcPr>
          <w:p>
            <w:pPr>
              <w:pStyle w:val="TableHeader"/>
              <w:keepLines/>
            </w:pPr>
            <w:r>
              <w:t>Unstained stage</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8"/>
              </w:rPr>
              <w:t>0</w:t>
            </w:r>
          </w:p>
        </w:tc>
        <w:tc>
          <w:tcPr>
            <w:tcW w:type="dxa" w:w="8160"/>
            <w:vAlign w:val="top"/>
            <w:tcMar>
              <w:top w:w="80" w:type="dxa"/>
              <w:start w:w="120" w:type="dxa"/>
              <w:bottom w:w="80" w:type="dxa"/>
              <w:end w:w="120" w:type="dxa"/>
            </w:tcMar>
          </w:tcPr>
          <w:p>
            <w:pPr>
              <w:pStyle w:val="TableText"/>
              <w:keepLines/>
            </w:pPr>
            <w:r>
              <w:rPr>
                <w:rFonts w:ascii="Calibri" w:hAnsi="Calibri"/>
                <w:color w:val="1F1F1F"/>
                <w:sz w:val="18"/>
              </w:rPr>
              <w:t>Unbegun</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8"/>
              </w:rPr>
              <w:t>1</w:t>
            </w:r>
          </w:p>
        </w:tc>
        <w:tc>
          <w:tcPr>
            <w:tcW w:type="dxa" w:w="8160"/>
            <w:vAlign w:val="top"/>
            <w:tcMar>
              <w:top w:w="80" w:type="dxa"/>
              <w:start w:w="120" w:type="dxa"/>
              <w:bottom w:w="80" w:type="dxa"/>
              <w:end w:w="120" w:type="dxa"/>
            </w:tcMar>
          </w:tcPr>
          <w:p>
            <w:pPr>
              <w:pStyle w:val="TableText"/>
              <w:keepLines/>
            </w:pPr>
            <w:r>
              <w:rPr>
                <w:rFonts w:ascii="Calibri" w:hAnsi="Calibri"/>
                <w:color w:val="1F1F1F"/>
                <w:sz w:val="18"/>
              </w:rPr>
              <w:t>Begun</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8"/>
              </w:rPr>
              <w:t>2</w:t>
            </w:r>
          </w:p>
        </w:tc>
        <w:tc>
          <w:tcPr>
            <w:tcW w:type="dxa" w:w="8160"/>
            <w:vAlign w:val="top"/>
            <w:tcMar>
              <w:top w:w="80" w:type="dxa"/>
              <w:start w:w="120" w:type="dxa"/>
              <w:bottom w:w="80" w:type="dxa"/>
              <w:end w:w="120" w:type="dxa"/>
            </w:tcMar>
          </w:tcPr>
          <w:p>
            <w:pPr>
              <w:pStyle w:val="TableText"/>
              <w:keepLines/>
            </w:pPr>
            <w:r>
              <w:rPr>
                <w:rFonts w:ascii="Calibri" w:hAnsi="Calibri"/>
                <w:color w:val="1F1F1F"/>
                <w:sz w:val="18"/>
              </w:rPr>
              <w:t>Tainted</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8"/>
              </w:rPr>
              <w:t>3</w:t>
            </w:r>
          </w:p>
        </w:tc>
        <w:tc>
          <w:tcPr>
            <w:tcW w:type="dxa" w:w="8160"/>
            <w:vAlign w:val="top"/>
            <w:tcMar>
              <w:top w:w="80" w:type="dxa"/>
              <w:start w:w="120" w:type="dxa"/>
              <w:bottom w:w="80" w:type="dxa"/>
              <w:end w:w="120" w:type="dxa"/>
            </w:tcMar>
          </w:tcPr>
          <w:p>
            <w:pPr>
              <w:pStyle w:val="TableText"/>
              <w:keepLines/>
            </w:pPr>
            <w:r>
              <w:rPr>
                <w:rFonts w:ascii="Calibri" w:hAnsi="Calibri"/>
                <w:color w:val="1F1F1F"/>
                <w:sz w:val="18"/>
              </w:rPr>
              <w:t>Cleansing</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8"/>
              </w:rPr>
              <w:t>4</w:t>
            </w:r>
          </w:p>
        </w:tc>
        <w:tc>
          <w:tcPr>
            <w:tcW w:type="dxa" w:w="8160"/>
            <w:vAlign w:val="top"/>
            <w:tcMar>
              <w:top w:w="80" w:type="dxa"/>
              <w:start w:w="120" w:type="dxa"/>
              <w:bottom w:w="80" w:type="dxa"/>
              <w:end w:w="120" w:type="dxa"/>
            </w:tcMar>
          </w:tcPr>
          <w:p>
            <w:pPr>
              <w:pStyle w:val="TableText"/>
              <w:keepLines/>
            </w:pPr>
            <w:r>
              <w:rPr>
                <w:rFonts w:ascii="Calibri" w:hAnsi="Calibri"/>
                <w:color w:val="1F1F1F"/>
                <w:sz w:val="18"/>
              </w:rPr>
              <w:t>Absolved</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8"/>
              </w:rPr>
              <w:t>5</w:t>
            </w:r>
          </w:p>
        </w:tc>
        <w:tc>
          <w:tcPr>
            <w:tcW w:type="dxa" w:w="8160"/>
            <w:vAlign w:val="top"/>
            <w:tcMar>
              <w:top w:w="80" w:type="dxa"/>
              <w:start w:w="120" w:type="dxa"/>
              <w:bottom w:w="80" w:type="dxa"/>
              <w:end w:w="120" w:type="dxa"/>
            </w:tcMar>
          </w:tcPr>
          <w:p>
            <w:pPr>
              <w:pStyle w:val="TableText"/>
              <w:keepLines/>
            </w:pPr>
            <w:r>
              <w:rPr>
                <w:rFonts w:ascii="Calibri" w:hAnsi="Calibri"/>
                <w:color w:val="1F1F1F"/>
                <w:sz w:val="18"/>
              </w:rPr>
              <w:t>Purified</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8"/>
              </w:rPr>
              <w:t>6</w:t>
            </w:r>
          </w:p>
        </w:tc>
        <w:tc>
          <w:tcPr>
            <w:tcW w:type="dxa" w:w="8160"/>
            <w:vAlign w:val="top"/>
            <w:tcMar>
              <w:top w:w="80" w:type="dxa"/>
              <w:start w:w="120" w:type="dxa"/>
              <w:bottom w:w="80" w:type="dxa"/>
              <w:end w:w="120" w:type="dxa"/>
            </w:tcMar>
          </w:tcPr>
          <w:p>
            <w:pPr>
              <w:pStyle w:val="TableText"/>
              <w:keepLines/>
            </w:pPr>
            <w:r>
              <w:rPr>
                <w:rFonts w:ascii="Calibri" w:hAnsi="Calibri"/>
                <w:color w:val="1F1F1F"/>
                <w:sz w:val="18"/>
              </w:rPr>
              <w:t>Discerning</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8"/>
              </w:rPr>
              <w:t>7</w:t>
            </w:r>
          </w:p>
        </w:tc>
        <w:tc>
          <w:tcPr>
            <w:tcW w:type="dxa" w:w="8160"/>
            <w:vAlign w:val="top"/>
            <w:tcMar>
              <w:top w:w="80" w:type="dxa"/>
              <w:start w:w="120" w:type="dxa"/>
              <w:bottom w:w="80" w:type="dxa"/>
              <w:end w:w="120" w:type="dxa"/>
            </w:tcMar>
          </w:tcPr>
          <w:p>
            <w:pPr>
              <w:pStyle w:val="TableText"/>
              <w:keepLines/>
            </w:pPr>
            <w:r>
              <w:rPr>
                <w:rFonts w:ascii="Calibri" w:hAnsi="Calibri"/>
                <w:color w:val="1F1F1F"/>
                <w:sz w:val="18"/>
              </w:rPr>
              <w:t>Vigilant</w:t>
            </w:r>
          </w:p>
        </w:tc>
      </w:tr>
      <w:tr>
        <w:tc>
          <w:tcPr>
            <w:tcW w:type="dxa" w:w="1200"/>
            <w:vAlign w:val="top"/>
            <w:tcMar>
              <w:top w:w="80" w:type="dxa"/>
              <w:start w:w="120" w:type="dxa"/>
              <w:bottom w:w="80" w:type="dxa"/>
              <w:end w:w="120" w:type="dxa"/>
            </w:tcMar>
          </w:tcPr>
          <w:p>
            <w:pPr>
              <w:pStyle w:val="TableText"/>
              <w:keepLines/>
            </w:pPr>
            <w:r>
              <w:rPr>
                <w:rFonts w:ascii="Calibri" w:hAnsi="Calibri"/>
                <w:color w:val="1F1F1F"/>
                <w:sz w:val="18"/>
              </w:rPr>
              <w:t>8</w:t>
            </w:r>
          </w:p>
        </w:tc>
        <w:tc>
          <w:tcPr>
            <w:tcW w:type="dxa" w:w="8160"/>
            <w:vAlign w:val="top"/>
            <w:tcMar>
              <w:top w:w="80" w:type="dxa"/>
              <w:start w:w="120" w:type="dxa"/>
              <w:bottom w:w="80" w:type="dxa"/>
              <w:end w:w="120" w:type="dxa"/>
            </w:tcMar>
          </w:tcPr>
          <w:p>
            <w:pPr>
              <w:pStyle w:val="TableText"/>
              <w:keepLines/>
            </w:pPr>
            <w:r>
              <w:rPr>
                <w:rFonts w:ascii="Calibri" w:hAnsi="Calibri"/>
                <w:color w:val="1F1F1F"/>
                <w:sz w:val="18"/>
              </w:rPr>
              <w:t>Enlightened</w:t>
            </w:r>
          </w:p>
        </w:tc>
      </w:tr>
    </w:tbl>
    <w:p>
      <w:pPr>
        <w:widowControl/>
        <w:spacing w:after="0"/>
      </w:pPr>
    </w:p>
    <w:p>
      <w:pPr>
        <w:pStyle w:val="Heading1"/>
        <w:keepNext/>
        <w:widowControl/>
      </w:pPr>
      <w:r>
        <w:t>12. Built-in rite catalog</w:t>
      </w:r>
    </w:p>
    <w:p>
      <w:pPr>
        <w:pStyle w:val="Heading2"/>
        <w:keepNext/>
        <w:widowControl/>
      </w:pPr>
      <w:r>
        <w:t>12.1 Harbinger rank rites</w:t>
      </w:r>
    </w:p>
    <w:tbl>
      <w:tblPr>
        <w:tblStyle w:val="TableGrid"/>
        <w:tblW w:type="dxa" w:w="9360"/>
        <w:jc w:val="left"/>
        <w:tblLayout w:type="fixed"/>
        <w:tblLook w:firstColumn="1" w:firstRow="1" w:lastColumn="0" w:lastRow="0" w:noHBand="0" w:noVBand="1" w:val="04A0"/>
        <w:tblInd w:w="120" w:type="dxa"/>
      </w:tblPr>
      <w:tblGrid>
        <w:gridCol w:w="650"/>
        <w:gridCol w:w="2100"/>
        <w:gridCol w:w="900"/>
        <w:gridCol w:w="1200"/>
        <w:gridCol w:w="1700"/>
        <w:gridCol w:w="2810"/>
      </w:tblGrid>
      <w:tr>
        <w:trPr>
          <w:tblHeader w:val="true"/>
        </w:trPr>
        <w:tc>
          <w:tcPr>
            <w:tcW w:type="dxa" w:w="650"/>
            <w:shd w:fill="EADDE0"/>
            <w:vAlign w:val="center"/>
            <w:tcMar>
              <w:top w:w="80" w:type="dxa"/>
              <w:start w:w="120" w:type="dxa"/>
              <w:bottom w:w="80" w:type="dxa"/>
              <w:end w:w="120" w:type="dxa"/>
            </w:tcMar>
          </w:tcPr>
          <w:p>
            <w:pPr>
              <w:pStyle w:val="TableHeader"/>
              <w:keepLines/>
            </w:pPr>
            <w:r>
              <w:t>Target</w:t>
            </w:r>
          </w:p>
        </w:tc>
        <w:tc>
          <w:tcPr>
            <w:tcW w:type="dxa" w:w="2100"/>
            <w:shd w:fill="EADDE0"/>
            <w:vAlign w:val="center"/>
            <w:tcMar>
              <w:top w:w="80" w:type="dxa"/>
              <w:start w:w="120" w:type="dxa"/>
              <w:bottom w:w="80" w:type="dxa"/>
              <w:end w:w="120" w:type="dxa"/>
            </w:tcMar>
          </w:tcPr>
          <w:p>
            <w:pPr>
              <w:pStyle w:val="TableHeader"/>
              <w:keepLines/>
            </w:pPr>
            <w:r>
              <w:t>Rite</w:t>
            </w:r>
          </w:p>
        </w:tc>
        <w:tc>
          <w:tcPr>
            <w:tcW w:type="dxa" w:w="900"/>
            <w:shd w:fill="EADDE0"/>
            <w:vAlign w:val="center"/>
            <w:tcMar>
              <w:top w:w="80" w:type="dxa"/>
              <w:start w:w="120" w:type="dxa"/>
              <w:bottom w:w="80" w:type="dxa"/>
              <w:end w:w="120" w:type="dxa"/>
            </w:tcMar>
          </w:tcPr>
          <w:p>
            <w:pPr>
              <w:pStyle w:val="TableHeader"/>
              <w:keepLines/>
            </w:pPr>
            <w:r>
              <w:t>Form</w:t>
            </w:r>
          </w:p>
        </w:tc>
        <w:tc>
          <w:tcPr>
            <w:tcW w:type="dxa" w:w="1200"/>
            <w:shd w:fill="EADDE0"/>
            <w:vAlign w:val="center"/>
            <w:tcMar>
              <w:top w:w="80" w:type="dxa"/>
              <w:start w:w="120" w:type="dxa"/>
              <w:bottom w:w="80" w:type="dxa"/>
              <w:end w:w="120" w:type="dxa"/>
            </w:tcMar>
          </w:tcPr>
          <w:p>
            <w:pPr>
              <w:pStyle w:val="TableHeader"/>
              <w:keepLines/>
            </w:pPr>
            <w:r>
              <w:t>Rings / anchors</w:t>
            </w:r>
          </w:p>
        </w:tc>
        <w:tc>
          <w:tcPr>
            <w:tcW w:type="dxa" w:w="1700"/>
            <w:shd w:fill="EADDE0"/>
            <w:vAlign w:val="center"/>
            <w:tcMar>
              <w:top w:w="80" w:type="dxa"/>
              <w:start w:w="120" w:type="dxa"/>
              <w:bottom w:w="80" w:type="dxa"/>
              <w:end w:w="120" w:type="dxa"/>
            </w:tcMar>
          </w:tcPr>
          <w:p>
            <w:pPr>
              <w:pStyle w:val="TableHeader"/>
              <w:keepLines/>
            </w:pPr>
            <w:r>
              <w:t>Profession</w:t>
            </w:r>
          </w:p>
        </w:tc>
        <w:tc>
          <w:tcPr>
            <w:tcW w:type="dxa" w:w="2810"/>
            <w:shd w:fill="EADDE0"/>
            <w:vAlign w:val="center"/>
            <w:tcMar>
              <w:top w:w="80" w:type="dxa"/>
              <w:start w:w="120" w:type="dxa"/>
              <w:bottom w:w="80" w:type="dxa"/>
              <w:end w:w="120" w:type="dxa"/>
            </w:tcMar>
          </w:tcPr>
          <w:p>
            <w:pPr>
              <w:pStyle w:val="TableHeader"/>
              <w:keepLines/>
            </w:pPr>
            <w:r>
              <w:t>Purpose</w:t>
            </w:r>
          </w:p>
        </w:tc>
      </w:tr>
      <w:tr>
        <w:tc>
          <w:tcPr>
            <w:tcW w:type="dxa" w:w="650"/>
            <w:vAlign w:val="top"/>
            <w:tcMar>
              <w:top w:w="80" w:type="dxa"/>
              <w:start w:w="120" w:type="dxa"/>
              <w:bottom w:w="80" w:type="dxa"/>
              <w:end w:w="120" w:type="dxa"/>
            </w:tcMar>
          </w:tcPr>
          <w:p>
            <w:pPr>
              <w:pStyle w:val="TableText"/>
              <w:keepLines/>
            </w:pPr>
            <w:r>
              <w:rPr>
                <w:rFonts w:ascii="Calibri" w:hAnsi="Calibri"/>
                <w:color w:val="1F1F1F"/>
                <w:sz w:val="16"/>
              </w:rPr>
              <w:t>1</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6"/>
              </w:rPr>
              <w:t>Rite of Sanguine Initiation</w:t>
            </w:r>
          </w:p>
        </w:tc>
        <w:tc>
          <w:tcPr>
            <w:tcW w:type="dxa" w:w="900"/>
            <w:vAlign w:val="top"/>
            <w:tcMar>
              <w:top w:w="80" w:type="dxa"/>
              <w:start w:w="120" w:type="dxa"/>
              <w:bottom w:w="80" w:type="dxa"/>
              <w:end w:w="120" w:type="dxa"/>
            </w:tcMar>
          </w:tcPr>
          <w:p>
            <w:pPr>
              <w:pStyle w:val="TableText"/>
              <w:keepLines/>
            </w:pPr>
            <w:r>
              <w:rPr>
                <w:rFonts w:ascii="Calibri" w:hAnsi="Calibri"/>
                <w:color w:val="1F1F1F"/>
                <w:sz w:val="16"/>
              </w:rPr>
              <w:t>Minor</w:t>
            </w:r>
          </w:p>
        </w:tc>
        <w:tc>
          <w:tcPr>
            <w:tcW w:type="dxa" w:w="1200"/>
            <w:vAlign w:val="top"/>
            <w:tcMar>
              <w:top w:w="80" w:type="dxa"/>
              <w:start w:w="120" w:type="dxa"/>
              <w:bottom w:w="80" w:type="dxa"/>
              <w:end w:w="120" w:type="dxa"/>
            </w:tcMar>
          </w:tcPr>
          <w:p>
            <w:pPr>
              <w:pStyle w:val="TableText"/>
              <w:keepLines/>
            </w:pPr>
            <w:r>
              <w:rPr>
                <w:rFonts w:ascii="Calibri" w:hAnsi="Calibri"/>
                <w:color w:val="1F1F1F"/>
                <w:sz w:val="16"/>
              </w:rPr>
              <w:t>1 / 4</w:t>
              <w:br/>
              <w:t>200 ml</w:t>
            </w:r>
          </w:p>
        </w:tc>
        <w:tc>
          <w:tcPr>
            <w:tcW w:type="dxa" w:w="1700"/>
            <w:vAlign w:val="top"/>
            <w:tcMar>
              <w:top w:w="80" w:type="dxa"/>
              <w:start w:w="120" w:type="dxa"/>
              <w:bottom w:w="80" w:type="dxa"/>
              <w:end w:w="120" w:type="dxa"/>
            </w:tcMar>
          </w:tcPr>
          <w:p>
            <w:pPr>
              <w:pStyle w:val="TableText"/>
              <w:keepLines/>
            </w:pPr>
            <w:r>
              <w:rPr>
                <w:rFonts w:ascii="Calibri" w:hAnsi="Calibri"/>
                <w:color w:val="1F1F1F"/>
                <w:sz w:val="16"/>
              </w:rPr>
              <w:t>First Circulation</w:t>
            </w:r>
          </w:p>
        </w:tc>
        <w:tc>
          <w:tcPr>
            <w:tcW w:type="dxa" w:w="2810"/>
            <w:vAlign w:val="top"/>
            <w:tcMar>
              <w:top w:w="80" w:type="dxa"/>
              <w:start w:w="120" w:type="dxa"/>
              <w:bottom w:w="80" w:type="dxa"/>
              <w:end w:w="120" w:type="dxa"/>
            </w:tcMar>
          </w:tcPr>
          <w:p>
            <w:pPr>
              <w:pStyle w:val="TableText"/>
              <w:keepLines/>
            </w:pPr>
            <w:r>
              <w:rPr>
                <w:rFonts w:ascii="Calibri" w:hAnsi="Calibri"/>
                <w:color w:val="1F1F1F"/>
                <w:sz w:val="16"/>
              </w:rPr>
              <w:t>A basic initiation rite that awakens the hematic potential within the practitioner.</w:t>
            </w:r>
          </w:p>
        </w:tc>
      </w:tr>
      <w:tr>
        <w:tc>
          <w:tcPr>
            <w:tcW w:type="dxa" w:w="650"/>
            <w:vAlign w:val="top"/>
            <w:tcMar>
              <w:top w:w="80" w:type="dxa"/>
              <w:start w:w="120" w:type="dxa"/>
              <w:bottom w:w="80" w:type="dxa"/>
              <w:end w:w="120" w:type="dxa"/>
            </w:tcMar>
          </w:tcPr>
          <w:p>
            <w:pPr>
              <w:pStyle w:val="TableText"/>
              <w:keepLines/>
            </w:pPr>
            <w:r>
              <w:rPr>
                <w:rFonts w:ascii="Calibri" w:hAnsi="Calibri"/>
                <w:color w:val="1F1F1F"/>
                <w:sz w:val="16"/>
              </w:rPr>
              <w:t>2</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6"/>
              </w:rPr>
              <w:t>Rite of the Votary</w:t>
            </w:r>
          </w:p>
        </w:tc>
        <w:tc>
          <w:tcPr>
            <w:tcW w:type="dxa" w:w="900"/>
            <w:vAlign w:val="top"/>
            <w:tcMar>
              <w:top w:w="80" w:type="dxa"/>
              <w:start w:w="120" w:type="dxa"/>
              <w:bottom w:w="80" w:type="dxa"/>
              <w:end w:w="120" w:type="dxa"/>
            </w:tcMar>
          </w:tcPr>
          <w:p>
            <w:pPr>
              <w:pStyle w:val="TableText"/>
              <w:keepLines/>
            </w:pPr>
            <w:r>
              <w:rPr>
                <w:rFonts w:ascii="Calibri" w:hAnsi="Calibri"/>
                <w:color w:val="1F1F1F"/>
                <w:sz w:val="16"/>
              </w:rPr>
              <w:t>Lesser</w:t>
            </w:r>
          </w:p>
        </w:tc>
        <w:tc>
          <w:tcPr>
            <w:tcW w:type="dxa" w:w="1200"/>
            <w:vAlign w:val="top"/>
            <w:tcMar>
              <w:top w:w="80" w:type="dxa"/>
              <w:start w:w="120" w:type="dxa"/>
              <w:bottom w:w="80" w:type="dxa"/>
              <w:end w:w="120" w:type="dxa"/>
            </w:tcMar>
          </w:tcPr>
          <w:p>
            <w:pPr>
              <w:pStyle w:val="TableText"/>
              <w:keepLines/>
            </w:pPr>
            <w:r>
              <w:rPr>
                <w:rFonts w:ascii="Calibri" w:hAnsi="Calibri"/>
                <w:color w:val="1F1F1F"/>
                <w:sz w:val="16"/>
              </w:rPr>
              <w:t>2 / 8</w:t>
              <w:br/>
              <w:t>400 ml</w:t>
            </w:r>
          </w:p>
        </w:tc>
        <w:tc>
          <w:tcPr>
            <w:tcW w:type="dxa" w:w="1700"/>
            <w:vAlign w:val="top"/>
            <w:tcMar>
              <w:top w:w="80" w:type="dxa"/>
              <w:start w:w="120" w:type="dxa"/>
              <w:bottom w:w="80" w:type="dxa"/>
              <w:end w:w="120" w:type="dxa"/>
            </w:tcMar>
          </w:tcPr>
          <w:p>
            <w:pPr>
              <w:pStyle w:val="TableText"/>
              <w:keepLines/>
            </w:pPr>
            <w:r>
              <w:rPr>
                <w:rFonts w:ascii="Calibri" w:hAnsi="Calibri"/>
                <w:color w:val="1F1F1F"/>
                <w:sz w:val="16"/>
              </w:rPr>
              <w:t>Tendency Response</w:t>
            </w:r>
          </w:p>
        </w:tc>
        <w:tc>
          <w:tcPr>
            <w:tcW w:type="dxa" w:w="2810"/>
            <w:vAlign w:val="top"/>
            <w:tcMar>
              <w:top w:w="80" w:type="dxa"/>
              <w:start w:w="120" w:type="dxa"/>
              <w:bottom w:w="80" w:type="dxa"/>
              <w:end w:w="120" w:type="dxa"/>
            </w:tcMar>
          </w:tcPr>
          <w:p>
            <w:pPr>
              <w:pStyle w:val="TableText"/>
              <w:keepLines/>
            </w:pPr>
            <w:r>
              <w:rPr>
                <w:rFonts w:ascii="Calibri" w:hAnsi="Calibri"/>
                <w:color w:val="1F1F1F"/>
                <w:sz w:val="16"/>
              </w:rPr>
              <w:t>The second rite of the Hematic Order, binding the practitioner deeper into the Covenant.</w:t>
            </w:r>
          </w:p>
        </w:tc>
      </w:tr>
      <w:tr>
        <w:tc>
          <w:tcPr>
            <w:tcW w:type="dxa" w:w="650"/>
            <w:vAlign w:val="top"/>
            <w:tcMar>
              <w:top w:w="80" w:type="dxa"/>
              <w:start w:w="120" w:type="dxa"/>
              <w:bottom w:w="80" w:type="dxa"/>
              <w:end w:w="120" w:type="dxa"/>
            </w:tcMar>
          </w:tcPr>
          <w:p>
            <w:pPr>
              <w:pStyle w:val="TableText"/>
              <w:keepLines/>
            </w:pPr>
            <w:r>
              <w:rPr>
                <w:rFonts w:ascii="Calibri" w:hAnsi="Calibri"/>
                <w:color w:val="1F1F1F"/>
                <w:sz w:val="16"/>
              </w:rPr>
              <w:t>3</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6"/>
              </w:rPr>
              <w:t>Rite of the Incarnadine Fane</w:t>
            </w:r>
          </w:p>
        </w:tc>
        <w:tc>
          <w:tcPr>
            <w:tcW w:type="dxa" w:w="900"/>
            <w:vAlign w:val="top"/>
            <w:tcMar>
              <w:top w:w="80" w:type="dxa"/>
              <w:start w:w="120" w:type="dxa"/>
              <w:bottom w:w="80" w:type="dxa"/>
              <w:end w:w="120" w:type="dxa"/>
            </w:tcMar>
          </w:tcPr>
          <w:p>
            <w:pPr>
              <w:pStyle w:val="TableText"/>
              <w:keepLines/>
            </w:pPr>
            <w:r>
              <w:rPr>
                <w:rFonts w:ascii="Calibri" w:hAnsi="Calibri"/>
                <w:color w:val="1F1F1F"/>
                <w:sz w:val="16"/>
              </w:rPr>
              <w:t>Lesser</w:t>
            </w:r>
          </w:p>
        </w:tc>
        <w:tc>
          <w:tcPr>
            <w:tcW w:type="dxa" w:w="1200"/>
            <w:vAlign w:val="top"/>
            <w:tcMar>
              <w:top w:w="80" w:type="dxa"/>
              <w:start w:w="120" w:type="dxa"/>
              <w:bottom w:w="80" w:type="dxa"/>
              <w:end w:w="120" w:type="dxa"/>
            </w:tcMar>
          </w:tcPr>
          <w:p>
            <w:pPr>
              <w:pStyle w:val="TableText"/>
              <w:keepLines/>
            </w:pPr>
            <w:r>
              <w:rPr>
                <w:rFonts w:ascii="Calibri" w:hAnsi="Calibri"/>
                <w:color w:val="1F1F1F"/>
                <w:sz w:val="16"/>
              </w:rPr>
              <w:t>3 / 12</w:t>
              <w:br/>
              <w:t>600 ml</w:t>
            </w:r>
          </w:p>
        </w:tc>
        <w:tc>
          <w:tcPr>
            <w:tcW w:type="dxa" w:w="1700"/>
            <w:vAlign w:val="top"/>
            <w:tcMar>
              <w:top w:w="80" w:type="dxa"/>
              <w:start w:w="120" w:type="dxa"/>
              <w:bottom w:w="80" w:type="dxa"/>
              <w:end w:w="120" w:type="dxa"/>
            </w:tcMar>
          </w:tcPr>
          <w:p>
            <w:pPr>
              <w:pStyle w:val="TableText"/>
              <w:keepLines/>
            </w:pPr>
            <w:r>
              <w:rPr>
                <w:rFonts w:ascii="Calibri" w:hAnsi="Calibri"/>
                <w:color w:val="1F1F1F"/>
                <w:sz w:val="16"/>
              </w:rPr>
              <w:t>Blood Memory</w:t>
            </w:r>
          </w:p>
        </w:tc>
        <w:tc>
          <w:tcPr>
            <w:tcW w:type="dxa" w:w="2810"/>
            <w:vAlign w:val="top"/>
            <w:tcMar>
              <w:top w:w="80" w:type="dxa"/>
              <w:start w:w="120" w:type="dxa"/>
              <w:bottom w:w="80" w:type="dxa"/>
              <w:end w:w="120" w:type="dxa"/>
            </w:tcMar>
          </w:tcPr>
          <w:p>
            <w:pPr>
              <w:pStyle w:val="TableText"/>
              <w:keepLines/>
            </w:pPr>
            <w:r>
              <w:rPr>
                <w:rFonts w:ascii="Calibri" w:hAnsi="Calibri"/>
                <w:color w:val="1F1F1F"/>
                <w:sz w:val="16"/>
              </w:rPr>
              <w:t>The third rite of the Hematic Order, granting formal entry into the Incarnadine Fane.</w:t>
            </w:r>
          </w:p>
        </w:tc>
      </w:tr>
      <w:tr>
        <w:tc>
          <w:tcPr>
            <w:tcW w:type="dxa" w:w="650"/>
            <w:vAlign w:val="top"/>
            <w:tcMar>
              <w:top w:w="80" w:type="dxa"/>
              <w:start w:w="120" w:type="dxa"/>
              <w:bottom w:w="80" w:type="dxa"/>
              <w:end w:w="120" w:type="dxa"/>
            </w:tcMar>
          </w:tcPr>
          <w:p>
            <w:pPr>
              <w:pStyle w:val="TableText"/>
              <w:keepLines/>
            </w:pPr>
            <w:r>
              <w:rPr>
                <w:rFonts w:ascii="Calibri" w:hAnsi="Calibri"/>
                <w:color w:val="1F1F1F"/>
                <w:sz w:val="16"/>
              </w:rPr>
              <w:t>4</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6"/>
              </w:rPr>
              <w:t>Rite of the Sanguine Brotherhood</w:t>
            </w:r>
          </w:p>
        </w:tc>
        <w:tc>
          <w:tcPr>
            <w:tcW w:type="dxa" w:w="900"/>
            <w:vAlign w:val="top"/>
            <w:tcMar>
              <w:top w:w="80" w:type="dxa"/>
              <w:start w:w="120" w:type="dxa"/>
              <w:bottom w:w="80" w:type="dxa"/>
              <w:end w:w="120" w:type="dxa"/>
            </w:tcMar>
          </w:tcPr>
          <w:p>
            <w:pPr>
              <w:pStyle w:val="TableText"/>
              <w:keepLines/>
            </w:pPr>
            <w:r>
              <w:rPr>
                <w:rFonts w:ascii="Calibri" w:hAnsi="Calibri"/>
                <w:color w:val="1F1F1F"/>
                <w:sz w:val="16"/>
              </w:rPr>
              <w:t>Lesser</w:t>
            </w:r>
          </w:p>
        </w:tc>
        <w:tc>
          <w:tcPr>
            <w:tcW w:type="dxa" w:w="1200"/>
            <w:vAlign w:val="top"/>
            <w:tcMar>
              <w:top w:w="80" w:type="dxa"/>
              <w:start w:w="120" w:type="dxa"/>
              <w:bottom w:w="80" w:type="dxa"/>
              <w:end w:w="120" w:type="dxa"/>
            </w:tcMar>
          </w:tcPr>
          <w:p>
            <w:pPr>
              <w:pStyle w:val="TableText"/>
              <w:keepLines/>
            </w:pPr>
            <w:r>
              <w:rPr>
                <w:rFonts w:ascii="Calibri" w:hAnsi="Calibri"/>
                <w:color w:val="1F1F1F"/>
                <w:sz w:val="16"/>
              </w:rPr>
              <w:t>4 / 16</w:t>
              <w:br/>
              <w:t>800 ml</w:t>
            </w:r>
          </w:p>
        </w:tc>
        <w:tc>
          <w:tcPr>
            <w:tcW w:type="dxa" w:w="1700"/>
            <w:vAlign w:val="top"/>
            <w:tcMar>
              <w:top w:w="80" w:type="dxa"/>
              <w:start w:w="120" w:type="dxa"/>
              <w:bottom w:w="80" w:type="dxa"/>
              <w:end w:w="120" w:type="dxa"/>
            </w:tcMar>
          </w:tcPr>
          <w:p>
            <w:pPr>
              <w:pStyle w:val="TableText"/>
              <w:keepLines/>
            </w:pPr>
            <w:r>
              <w:rPr>
                <w:rFonts w:ascii="Calibri" w:hAnsi="Calibri"/>
                <w:color w:val="1F1F1F"/>
                <w:sz w:val="16"/>
              </w:rPr>
              <w:t>Simulacrum Wound</w:t>
            </w:r>
          </w:p>
        </w:tc>
        <w:tc>
          <w:tcPr>
            <w:tcW w:type="dxa" w:w="2810"/>
            <w:vAlign w:val="top"/>
            <w:tcMar>
              <w:top w:w="80" w:type="dxa"/>
              <w:start w:w="120" w:type="dxa"/>
              <w:bottom w:w="80" w:type="dxa"/>
              <w:end w:w="120" w:type="dxa"/>
            </w:tcMar>
          </w:tcPr>
          <w:p>
            <w:pPr>
              <w:pStyle w:val="TableText"/>
              <w:keepLines/>
            </w:pPr>
            <w:r>
              <w:rPr>
                <w:rFonts w:ascii="Calibri" w:hAnsi="Calibri"/>
                <w:color w:val="1F1F1F"/>
                <w:sz w:val="16"/>
              </w:rPr>
              <w:t>The fourth rite of the Hematic Order, proving mastery of the foundational blood arts.</w:t>
            </w:r>
          </w:p>
        </w:tc>
      </w:tr>
      <w:tr>
        <w:tc>
          <w:tcPr>
            <w:tcW w:type="dxa" w:w="650"/>
            <w:vAlign w:val="top"/>
            <w:tcMar>
              <w:top w:w="80" w:type="dxa"/>
              <w:start w:w="120" w:type="dxa"/>
              <w:bottom w:w="80" w:type="dxa"/>
              <w:end w:w="120" w:type="dxa"/>
            </w:tcMar>
          </w:tcPr>
          <w:p>
            <w:pPr>
              <w:pStyle w:val="TableText"/>
              <w:keepLines/>
            </w:pPr>
            <w:r>
              <w:rPr>
                <w:rFonts w:ascii="Calibri" w:hAnsi="Calibri"/>
                <w:color w:val="1F1F1F"/>
                <w:sz w:val="16"/>
              </w:rPr>
              <w:t>5</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6"/>
              </w:rPr>
              <w:t>Rite of the Crimson Lodge</w:t>
            </w:r>
          </w:p>
        </w:tc>
        <w:tc>
          <w:tcPr>
            <w:tcW w:type="dxa" w:w="900"/>
            <w:vAlign w:val="top"/>
            <w:tcMar>
              <w:top w:w="80" w:type="dxa"/>
              <w:start w:w="120" w:type="dxa"/>
              <w:bottom w:w="80" w:type="dxa"/>
              <w:end w:w="120" w:type="dxa"/>
            </w:tcMar>
          </w:tcPr>
          <w:p>
            <w:pPr>
              <w:pStyle w:val="TableText"/>
              <w:keepLines/>
            </w:pPr>
            <w:r>
              <w:rPr>
                <w:rFonts w:ascii="Calibri" w:hAnsi="Calibri"/>
                <w:color w:val="1F1F1F"/>
                <w:sz w:val="16"/>
              </w:rPr>
              <w:t>Greater</w:t>
            </w:r>
          </w:p>
        </w:tc>
        <w:tc>
          <w:tcPr>
            <w:tcW w:type="dxa" w:w="1200"/>
            <w:vAlign w:val="top"/>
            <w:tcMar>
              <w:top w:w="80" w:type="dxa"/>
              <w:start w:w="120" w:type="dxa"/>
              <w:bottom w:w="80" w:type="dxa"/>
              <w:end w:w="120" w:type="dxa"/>
            </w:tcMar>
          </w:tcPr>
          <w:p>
            <w:pPr>
              <w:pStyle w:val="TableText"/>
              <w:keepLines/>
            </w:pPr>
            <w:r>
              <w:rPr>
                <w:rFonts w:ascii="Calibri" w:hAnsi="Calibri"/>
                <w:color w:val="1F1F1F"/>
                <w:sz w:val="16"/>
              </w:rPr>
              <w:t>5 / 20</w:t>
              <w:br/>
              <w:t>1000 ml</w:t>
            </w:r>
          </w:p>
        </w:tc>
        <w:tc>
          <w:tcPr>
            <w:tcW w:type="dxa" w:w="1700"/>
            <w:vAlign w:val="top"/>
            <w:tcMar>
              <w:top w:w="80" w:type="dxa"/>
              <w:start w:w="120" w:type="dxa"/>
              <w:bottom w:w="80" w:type="dxa"/>
              <w:end w:w="120" w:type="dxa"/>
            </w:tcMar>
          </w:tcPr>
          <w:p>
            <w:pPr>
              <w:pStyle w:val="TableText"/>
              <w:keepLines/>
            </w:pPr>
            <w:r>
              <w:rPr>
                <w:rFonts w:ascii="Calibri" w:hAnsi="Calibri"/>
                <w:color w:val="1F1F1F"/>
                <w:sz w:val="16"/>
              </w:rPr>
              <w:t>Fungal Root</w:t>
            </w:r>
          </w:p>
        </w:tc>
        <w:tc>
          <w:tcPr>
            <w:tcW w:type="dxa" w:w="2810"/>
            <w:vAlign w:val="top"/>
            <w:tcMar>
              <w:top w:w="80" w:type="dxa"/>
              <w:start w:w="120" w:type="dxa"/>
              <w:bottom w:w="80" w:type="dxa"/>
              <w:end w:w="120" w:type="dxa"/>
            </w:tcMar>
          </w:tcPr>
          <w:p>
            <w:pPr>
              <w:pStyle w:val="TableText"/>
              <w:keepLines/>
            </w:pPr>
            <w:r>
              <w:rPr>
                <w:rFonts w:ascii="Calibri" w:hAnsi="Calibri"/>
                <w:color w:val="1F1F1F"/>
                <w:sz w:val="16"/>
              </w:rPr>
              <w:t>The fifth rite of the Hematic Order, by which an adept is admitted as Illuminatus of the Crimson Lodge.</w:t>
            </w:r>
          </w:p>
        </w:tc>
      </w:tr>
      <w:tr>
        <w:tc>
          <w:tcPr>
            <w:tcW w:type="dxa" w:w="650"/>
            <w:vAlign w:val="top"/>
            <w:tcMar>
              <w:top w:w="80" w:type="dxa"/>
              <w:start w:w="120" w:type="dxa"/>
              <w:bottom w:w="80" w:type="dxa"/>
              <w:end w:w="120" w:type="dxa"/>
            </w:tcMar>
          </w:tcPr>
          <w:p>
            <w:pPr>
              <w:pStyle w:val="TableText"/>
              <w:keepLines/>
            </w:pPr>
            <w:r>
              <w:rPr>
                <w:rFonts w:ascii="Calibri" w:hAnsi="Calibri"/>
                <w:color w:val="1F1F1F"/>
                <w:sz w:val="16"/>
              </w:rPr>
              <w:t>6</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6"/>
              </w:rPr>
              <w:t>Rite of the Bloodline Covenant</w:t>
            </w:r>
          </w:p>
        </w:tc>
        <w:tc>
          <w:tcPr>
            <w:tcW w:type="dxa" w:w="900"/>
            <w:vAlign w:val="top"/>
            <w:tcMar>
              <w:top w:w="80" w:type="dxa"/>
              <w:start w:w="120" w:type="dxa"/>
              <w:bottom w:w="80" w:type="dxa"/>
              <w:end w:w="120" w:type="dxa"/>
            </w:tcMar>
          </w:tcPr>
          <w:p>
            <w:pPr>
              <w:pStyle w:val="TableText"/>
              <w:keepLines/>
            </w:pPr>
            <w:r>
              <w:rPr>
                <w:rFonts w:ascii="Calibri" w:hAnsi="Calibri"/>
                <w:color w:val="1F1F1F"/>
                <w:sz w:val="16"/>
              </w:rPr>
              <w:t>Greater</w:t>
            </w:r>
          </w:p>
        </w:tc>
        <w:tc>
          <w:tcPr>
            <w:tcW w:type="dxa" w:w="1200"/>
            <w:vAlign w:val="top"/>
            <w:tcMar>
              <w:top w:w="80" w:type="dxa"/>
              <w:start w:w="120" w:type="dxa"/>
              <w:bottom w:w="80" w:type="dxa"/>
              <w:end w:w="120" w:type="dxa"/>
            </w:tcMar>
          </w:tcPr>
          <w:p>
            <w:pPr>
              <w:pStyle w:val="TableText"/>
              <w:keepLines/>
            </w:pPr>
            <w:r>
              <w:rPr>
                <w:rFonts w:ascii="Calibri" w:hAnsi="Calibri"/>
                <w:color w:val="1F1F1F"/>
                <w:sz w:val="16"/>
              </w:rPr>
              <w:t>6 / 24</w:t>
              <w:br/>
              <w:t>1200 ml</w:t>
            </w:r>
          </w:p>
        </w:tc>
        <w:tc>
          <w:tcPr>
            <w:tcW w:type="dxa" w:w="1700"/>
            <w:vAlign w:val="top"/>
            <w:tcMar>
              <w:top w:w="80" w:type="dxa"/>
              <w:start w:w="120" w:type="dxa"/>
              <w:bottom w:w="80" w:type="dxa"/>
              <w:end w:w="120" w:type="dxa"/>
            </w:tcMar>
          </w:tcPr>
          <w:p>
            <w:pPr>
              <w:pStyle w:val="TableText"/>
              <w:keepLines/>
            </w:pPr>
            <w:r>
              <w:rPr>
                <w:rFonts w:ascii="Calibri" w:hAnsi="Calibri"/>
                <w:color w:val="1F1F1F"/>
                <w:sz w:val="16"/>
              </w:rPr>
              <w:t>Covenant Currents</w:t>
            </w:r>
          </w:p>
        </w:tc>
        <w:tc>
          <w:tcPr>
            <w:tcW w:type="dxa" w:w="2810"/>
            <w:vAlign w:val="top"/>
            <w:tcMar>
              <w:top w:w="80" w:type="dxa"/>
              <w:start w:w="120" w:type="dxa"/>
              <w:bottom w:w="80" w:type="dxa"/>
              <w:end w:w="120" w:type="dxa"/>
            </w:tcMar>
          </w:tcPr>
          <w:p>
            <w:pPr>
              <w:pStyle w:val="TableText"/>
              <w:keepLines/>
            </w:pPr>
            <w:r>
              <w:rPr>
                <w:rFonts w:ascii="Calibri" w:hAnsi="Calibri"/>
                <w:color w:val="1F1F1F"/>
                <w:sz w:val="16"/>
              </w:rPr>
              <w:t>The sixth rite of the Hematic Order, consecrating the practitioner fully to the Bloodline Covenant.</w:t>
            </w:r>
          </w:p>
        </w:tc>
      </w:tr>
      <w:tr>
        <w:tc>
          <w:tcPr>
            <w:tcW w:type="dxa" w:w="650"/>
            <w:vAlign w:val="top"/>
            <w:tcMar>
              <w:top w:w="80" w:type="dxa"/>
              <w:start w:w="120" w:type="dxa"/>
              <w:bottom w:w="80" w:type="dxa"/>
              <w:end w:w="120" w:type="dxa"/>
            </w:tcMar>
          </w:tcPr>
          <w:p>
            <w:pPr>
              <w:pStyle w:val="TableText"/>
              <w:keepLines/>
            </w:pPr>
            <w:r>
              <w:rPr>
                <w:rFonts w:ascii="Calibri" w:hAnsi="Calibri"/>
                <w:color w:val="1F1F1F"/>
                <w:sz w:val="16"/>
              </w:rPr>
              <w:t>7</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6"/>
              </w:rPr>
              <w:t>Rite of the Hematic Order</w:t>
            </w:r>
          </w:p>
        </w:tc>
        <w:tc>
          <w:tcPr>
            <w:tcW w:type="dxa" w:w="900"/>
            <w:vAlign w:val="top"/>
            <w:tcMar>
              <w:top w:w="80" w:type="dxa"/>
              <w:start w:w="120" w:type="dxa"/>
              <w:bottom w:w="80" w:type="dxa"/>
              <w:end w:w="120" w:type="dxa"/>
            </w:tcMar>
          </w:tcPr>
          <w:p>
            <w:pPr>
              <w:pStyle w:val="TableText"/>
              <w:keepLines/>
            </w:pPr>
            <w:r>
              <w:rPr>
                <w:rFonts w:ascii="Calibri" w:hAnsi="Calibri"/>
                <w:color w:val="1F1F1F"/>
                <w:sz w:val="16"/>
              </w:rPr>
              <w:t>Grand</w:t>
            </w:r>
          </w:p>
        </w:tc>
        <w:tc>
          <w:tcPr>
            <w:tcW w:type="dxa" w:w="1200"/>
            <w:vAlign w:val="top"/>
            <w:tcMar>
              <w:top w:w="80" w:type="dxa"/>
              <w:start w:w="120" w:type="dxa"/>
              <w:bottom w:w="80" w:type="dxa"/>
              <w:end w:w="120" w:type="dxa"/>
            </w:tcMar>
          </w:tcPr>
          <w:p>
            <w:pPr>
              <w:pStyle w:val="TableText"/>
              <w:keepLines/>
            </w:pPr>
            <w:r>
              <w:rPr>
                <w:rFonts w:ascii="Calibri" w:hAnsi="Calibri"/>
                <w:color w:val="1F1F1F"/>
                <w:sz w:val="16"/>
              </w:rPr>
              <w:t>7 / 28</w:t>
              <w:br/>
              <w:t>1400 ml</w:t>
            </w:r>
          </w:p>
        </w:tc>
        <w:tc>
          <w:tcPr>
            <w:tcW w:type="dxa" w:w="1700"/>
            <w:vAlign w:val="top"/>
            <w:tcMar>
              <w:top w:w="80" w:type="dxa"/>
              <w:start w:w="120" w:type="dxa"/>
              <w:bottom w:w="80" w:type="dxa"/>
              <w:end w:w="120" w:type="dxa"/>
            </w:tcMar>
          </w:tcPr>
          <w:p>
            <w:pPr>
              <w:pStyle w:val="TableText"/>
              <w:keepLines/>
            </w:pPr>
            <w:r>
              <w:rPr>
                <w:rFonts w:ascii="Calibri" w:hAnsi="Calibri"/>
                <w:color w:val="1F1F1F"/>
                <w:sz w:val="16"/>
              </w:rPr>
              <w:t>Trifold Judgment</w:t>
            </w:r>
          </w:p>
        </w:tc>
        <w:tc>
          <w:tcPr>
            <w:tcW w:type="dxa" w:w="2810"/>
            <w:vAlign w:val="top"/>
            <w:tcMar>
              <w:top w:w="80" w:type="dxa"/>
              <w:start w:w="120" w:type="dxa"/>
              <w:bottom w:w="80" w:type="dxa"/>
              <w:end w:w="120" w:type="dxa"/>
            </w:tcMar>
          </w:tcPr>
          <w:p>
            <w:pPr>
              <w:pStyle w:val="TableText"/>
              <w:keepLines/>
            </w:pPr>
            <w:r>
              <w:rPr>
                <w:rFonts w:ascii="Calibri" w:hAnsi="Calibri"/>
                <w:color w:val="1F1F1F"/>
                <w:sz w:val="16"/>
              </w:rPr>
              <w:t>The seventh rite of the Hematic Order, crowning the practitioner as Archon and preparing the way for the hidden Eighth Degree.</w:t>
            </w:r>
          </w:p>
        </w:tc>
      </w:tr>
      <w:tr>
        <w:tc>
          <w:tcPr>
            <w:tcW w:type="dxa" w:w="650"/>
            <w:vAlign w:val="top"/>
            <w:tcMar>
              <w:top w:w="80" w:type="dxa"/>
              <w:start w:w="120" w:type="dxa"/>
              <w:bottom w:w="80" w:type="dxa"/>
              <w:end w:w="120" w:type="dxa"/>
            </w:tcMar>
          </w:tcPr>
          <w:p>
            <w:pPr>
              <w:pStyle w:val="TableText"/>
              <w:keepLines/>
            </w:pPr>
            <w:r>
              <w:rPr>
                <w:rFonts w:ascii="Calibri" w:hAnsi="Calibri"/>
                <w:color w:val="1F1F1F"/>
                <w:sz w:val="16"/>
              </w:rPr>
              <w:t>8</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6"/>
              </w:rPr>
              <w:t>Rite of Apotheos</w:t>
            </w:r>
          </w:p>
        </w:tc>
        <w:tc>
          <w:tcPr>
            <w:tcW w:type="dxa" w:w="900"/>
            <w:vAlign w:val="top"/>
            <w:tcMar>
              <w:top w:w="80" w:type="dxa"/>
              <w:start w:w="120" w:type="dxa"/>
              <w:bottom w:w="80" w:type="dxa"/>
              <w:end w:w="120" w:type="dxa"/>
            </w:tcMar>
          </w:tcPr>
          <w:p>
            <w:pPr>
              <w:pStyle w:val="TableText"/>
              <w:keepLines/>
            </w:pPr>
            <w:r>
              <w:rPr>
                <w:rFonts w:ascii="Calibri" w:hAnsi="Calibri"/>
                <w:color w:val="1F1F1F"/>
                <w:sz w:val="16"/>
              </w:rPr>
              <w:t>Grand</w:t>
            </w:r>
          </w:p>
        </w:tc>
        <w:tc>
          <w:tcPr>
            <w:tcW w:type="dxa" w:w="1200"/>
            <w:vAlign w:val="top"/>
            <w:tcMar>
              <w:top w:w="80" w:type="dxa"/>
              <w:start w:w="120" w:type="dxa"/>
              <w:bottom w:w="80" w:type="dxa"/>
              <w:end w:w="120" w:type="dxa"/>
            </w:tcMar>
          </w:tcPr>
          <w:p>
            <w:pPr>
              <w:pStyle w:val="TableText"/>
              <w:keepLines/>
            </w:pPr>
            <w:r>
              <w:rPr>
                <w:rFonts w:ascii="Calibri" w:hAnsi="Calibri"/>
                <w:color w:val="1F1F1F"/>
                <w:sz w:val="16"/>
              </w:rPr>
              <w:t>8 / 32</w:t>
              <w:br/>
              <w:t>1600 ml</w:t>
            </w:r>
          </w:p>
        </w:tc>
        <w:tc>
          <w:tcPr>
            <w:tcW w:type="dxa" w:w="1700"/>
            <w:vAlign w:val="top"/>
            <w:tcMar>
              <w:top w:w="80" w:type="dxa"/>
              <w:start w:w="120" w:type="dxa"/>
              <w:bottom w:w="80" w:type="dxa"/>
              <w:end w:w="120" w:type="dxa"/>
            </w:tcMar>
          </w:tcPr>
          <w:p>
            <w:pPr>
              <w:pStyle w:val="TableText"/>
              <w:keepLines/>
            </w:pPr>
            <w:r>
              <w:rPr>
                <w:rFonts w:ascii="Calibri" w:hAnsi="Calibri"/>
                <w:color w:val="1F1F1F"/>
                <w:sz w:val="16"/>
              </w:rPr>
              <w:t>Reverse Circulation</w:t>
            </w:r>
          </w:p>
        </w:tc>
        <w:tc>
          <w:tcPr>
            <w:tcW w:type="dxa" w:w="2810"/>
            <w:vAlign w:val="top"/>
            <w:tcMar>
              <w:top w:w="80" w:type="dxa"/>
              <w:start w:w="120" w:type="dxa"/>
              <w:bottom w:w="80" w:type="dxa"/>
              <w:end w:w="120" w:type="dxa"/>
            </w:tcMar>
          </w:tcPr>
          <w:p>
            <w:pPr>
              <w:pStyle w:val="TableText"/>
              <w:keepLines/>
            </w:pPr>
            <w:r>
              <w:rPr>
                <w:rFonts w:ascii="Calibri" w:hAnsi="Calibri"/>
                <w:color w:val="1F1F1F"/>
                <w:sz w:val="16"/>
              </w:rPr>
              <w:t>The Eighth Degree rite.</w:t>
            </w:r>
          </w:p>
        </w:tc>
      </w:tr>
    </w:tbl>
    <w:p>
      <w:pPr>
        <w:widowControl/>
        <w:spacing w:after="0"/>
      </w:pPr>
    </w:p>
    <w:p>
      <w:pPr>
        <w:pStyle w:val="Heading2"/>
        <w:keepNext/>
        <w:widowControl/>
      </w:pPr>
      <w:r>
        <w:t>12.2 Harbinger utility and world rites</w:t>
      </w:r>
    </w:p>
    <w:tbl>
      <w:tblPr>
        <w:tblStyle w:val="TableGrid"/>
        <w:tblW w:type="dxa" w:w="9360"/>
        <w:jc w:val="left"/>
        <w:tblLayout w:type="fixed"/>
        <w:tblLook w:firstColumn="1" w:firstRow="1" w:lastColumn="0" w:lastRow="0" w:noHBand="0" w:noVBand="1" w:val="04A0"/>
        <w:tblInd w:w="120" w:type="dxa"/>
      </w:tblPr>
      <w:tblGrid>
        <w:gridCol w:w="1150"/>
        <w:gridCol w:w="2100"/>
        <w:gridCol w:w="1450"/>
        <w:gridCol w:w="1350"/>
        <w:gridCol w:w="3310"/>
      </w:tblGrid>
      <w:tr>
        <w:trPr>
          <w:tblHeader w:val="true"/>
        </w:trPr>
        <w:tc>
          <w:tcPr>
            <w:tcW w:type="dxa" w:w="1150"/>
            <w:shd w:fill="EADDE0"/>
            <w:vAlign w:val="center"/>
            <w:tcMar>
              <w:top w:w="80" w:type="dxa"/>
              <w:start w:w="120" w:type="dxa"/>
              <w:bottom w:w="80" w:type="dxa"/>
              <w:end w:w="120" w:type="dxa"/>
            </w:tcMar>
          </w:tcPr>
          <w:p>
            <w:pPr>
              <w:pStyle w:val="TableHeader"/>
              <w:keepLines/>
            </w:pPr>
            <w:r>
              <w:t>Access</w:t>
            </w:r>
          </w:p>
        </w:tc>
        <w:tc>
          <w:tcPr>
            <w:tcW w:type="dxa" w:w="2100"/>
            <w:shd w:fill="EADDE0"/>
            <w:vAlign w:val="center"/>
            <w:tcMar>
              <w:top w:w="80" w:type="dxa"/>
              <w:start w:w="120" w:type="dxa"/>
              <w:bottom w:w="80" w:type="dxa"/>
              <w:end w:w="120" w:type="dxa"/>
            </w:tcMar>
          </w:tcPr>
          <w:p>
            <w:pPr>
              <w:pStyle w:val="TableHeader"/>
              <w:keepLines/>
            </w:pPr>
            <w:r>
              <w:t>Rite</w:t>
            </w:r>
          </w:p>
        </w:tc>
        <w:tc>
          <w:tcPr>
            <w:tcW w:type="dxa" w:w="1450"/>
            <w:shd w:fill="EADDE0"/>
            <w:vAlign w:val="center"/>
            <w:tcMar>
              <w:top w:w="80" w:type="dxa"/>
              <w:start w:w="120" w:type="dxa"/>
              <w:bottom w:w="80" w:type="dxa"/>
              <w:end w:w="120" w:type="dxa"/>
            </w:tcMar>
          </w:tcPr>
          <w:p>
            <w:pPr>
              <w:pStyle w:val="TableHeader"/>
              <w:keepLines/>
            </w:pPr>
            <w:r>
              <w:t>Ceremony</w:t>
            </w:r>
          </w:p>
        </w:tc>
        <w:tc>
          <w:tcPr>
            <w:tcW w:type="dxa" w:w="1350"/>
            <w:shd w:fill="EADDE0"/>
            <w:vAlign w:val="center"/>
            <w:tcMar>
              <w:top w:w="80" w:type="dxa"/>
              <w:start w:w="120" w:type="dxa"/>
              <w:bottom w:w="80" w:type="dxa"/>
              <w:end w:w="120" w:type="dxa"/>
            </w:tcMar>
          </w:tcPr>
          <w:p>
            <w:pPr>
              <w:pStyle w:val="TableHeader"/>
              <w:keepLines/>
            </w:pPr>
            <w:r>
              <w:t>Layout</w:t>
            </w:r>
          </w:p>
        </w:tc>
        <w:tc>
          <w:tcPr>
            <w:tcW w:type="dxa" w:w="3310"/>
            <w:shd w:fill="EADDE0"/>
            <w:vAlign w:val="center"/>
            <w:tcMar>
              <w:top w:w="80" w:type="dxa"/>
              <w:start w:w="120" w:type="dxa"/>
              <w:bottom w:w="80" w:type="dxa"/>
              <w:end w:w="120" w:type="dxa"/>
            </w:tcMar>
          </w:tcPr>
          <w:p>
            <w:pPr>
              <w:pStyle w:val="TableHeader"/>
              <w:keepLines/>
            </w:pPr>
            <w:r>
              <w:t>Result / purpose</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0</w:t>
              <w:br/>
              <w:t>No Degree</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Pruning of the Qliphoth</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Minor</w:t>
              <w:br/>
              <w:t>Full</w:t>
              <w:br/>
              <w:t>1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Crooked (rotated)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Formation</w:t>
              <w:br/>
              <w:t>A small counter-rite that severs the roots of a nearby Qliphoth bloom, causing the dark tree to wither and vanish.</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1</w:t>
              <w:br/>
              <w:t>Neophyte of the Crimson Veil</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Sanguine Attunement</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Minor</w:t>
              <w:br/>
              <w:t>Abbreviated</w:t>
              <w:br/>
              <w:t>1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Serpentine</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Formation</w:t>
              <w:br/>
              <w:t>A cleansing rite that purges and resets the caster's blood tendency alignments, allowing them to realign their kinship from a blank slate.</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1</w:t>
              <w:br/>
              <w:t>Neophyte of the Crimson Veil</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Vascular Mending</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Lesser</w:t>
              <w:br/>
              <w:t>Abbreviated</w:t>
              <w:br/>
              <w:t>2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Serpentine</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Formation</w:t>
              <w:br/>
              <w:t>A restorative rite that floods the caster's vascular system with purified blood, fully healing all seven vein sections from strain and damage.</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2</w:t>
              <w:br/>
              <w:t>Votary of the Hematic Covenant</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Exsanguination</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Lesser</w:t>
              <w:br/>
              <w:t>Full</w:t>
              <w:br/>
              <w:t>2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Cardinal (rotated)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Quintessence</w:t>
              <w:br/>
              <w:t>A dark sacrifice rite that drains the lifeblood of a named creature within the ritual circle, crystallizing their essence into Sanguine...</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2</w:t>
              <w:br/>
              <w:t>Votary of the Hematic Covenant</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Hematic Fortification</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Lesser</w:t>
              <w:br/>
              <w:t>Abbreviated</w:t>
              <w:br/>
              <w:t>2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Serpentine (rotated)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Liber Sanguinum</w:t>
              <w:br/>
              <w:t>A lesser rite that strengthens the caster's connection to the blood arts.</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2</w:t>
              <w:br/>
              <w:t>Votary of the Hematic Covenant</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Hematic Unbinding</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Lesser</w:t>
              <w:br/>
              <w:t>Full</w:t>
              <w:br/>
              <w:t>2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Cardinal</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Formation</w:t>
              <w:br/>
              <w:t>A severance rite that dissolves the caster's bloodline, freeing all members and returning any shared blood deposits.</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2</w:t>
              <w:br/>
              <w:t>Votary of the Hematic Covenant</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Sanguine Fervor</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Lesser</w:t>
              <w:br/>
              <w:t>Full</w:t>
              <w:br/>
              <w:t>2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Cardinal</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Formation</w:t>
              <w:br/>
              <w:t>A hunting rite that saturates the earth with vital blood-heat, drawing creatures from the dark.</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2</w:t>
              <w:br/>
              <w:t>Votary of the Hematic Covenant</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Crimson Beacon</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Lesser</w:t>
              <w:br/>
              <w:t>Abbreviated</w:t>
              <w:br/>
              <w:t>2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Serpentine</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Formation</w:t>
              <w:br/>
              <w:t>A binding rite that anchors the caster's dying essence to this location.</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2</w:t>
              <w:br/>
              <w:t>Votary of the Hematic Covenant</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Hungering Earth</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Lesser</w:t>
              <w:br/>
              <w:t>Full</w:t>
              <w:br/>
              <w:t>2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Diagonal</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Formation</w:t>
              <w:br/>
              <w:t>A corruption rite that feeds the caster's blood into the earth, converting the surrounding terrain into blood-touched stone and befouling ash.</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3</w:t>
              <w:br/>
              <w:t>Initiate of the Incarnadine Fane</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Pallid Vessel</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Lesser</w:t>
              <w:br/>
              <w:t>Abbreviated</w:t>
              <w:br/>
              <w:t>2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Serpentine</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Blood Gourd White</w:t>
              <w:br/>
              <w:t>The dried gourd is consecrated within a ring of venous stone and ash, its hollow interior awakening to hold the lifeblood of its creator.</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3</w:t>
              <w:br/>
              <w:t>Initiate of the Incarnadine Fane</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Sanguine Eclipse</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Greater</w:t>
              <w:br/>
              <w:t>Full</w:t>
              <w:br/>
              <w:t>3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Diagonal (rotated)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Formation</w:t>
              <w:br/>
              <w:t>A forbidden rite that tears the veil between night and will.</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3</w:t>
              <w:br/>
              <w:t>Initiate of the Incarnadine Fane</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Scarlet Summons</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Greater</w:t>
              <w:br/>
              <w:t>Full</w:t>
              <w:br/>
              <w:t>3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Diagonal</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Formation</w:t>
              <w:br/>
              <w:t>A commanding rite that draws upon the shared bloodline pool to teleport all online bloodline members to the rite location.</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4</w:t>
              <w:br/>
              <w:t>Adept of the Sanguine Brotherhood</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Crimson Vessel</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Greater</w:t>
              <w:br/>
              <w:t>Abbreviated</w:t>
              <w:br/>
              <w:t>3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Serpentine (rotated)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Blood Gourd Red</w:t>
              <w:br/>
              <w:t>The pallid vessel is steeped in the deepest scarlet, its walls drinking in the vitality of the blood arts until they flush crimson with purpose.</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5</w:t>
              <w:br/>
              <w:t>Illuminatus of the Crimson Lodge</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Bloodline Founding</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Lesser</w:t>
              <w:br/>
              <w:t>Full</w:t>
              <w:br/>
              <w:t>2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Diagonal (rotated)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Unsigned Ancestral Ledger</w:t>
              <w:br/>
              <w:t>A lesser rite that binds the caster's essence into a new bloodline, producing a presigned ancestral ledger that others may use to join.</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5</w:t>
              <w:br/>
              <w:t>Illuminatus of the Crimson Lodge</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Bloodline Recall</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Lesser</w:t>
              <w:br/>
              <w:t>Abbreviated</w:t>
              <w:br/>
              <w:t>2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Serpentine</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Unsigned Ancestral Ledger</w:t>
              <w:br/>
              <w:t>A penitent rite that reconjures a lost ancestral ledger from the caster's blood memory.</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5</w:t>
              <w:br/>
              <w:t>Illuminatus of the Crimson Lodge</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Sanguine Dominion</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Greater</w:t>
              <w:br/>
              <w:t>Full</w:t>
              <w:br/>
              <w:t>3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Cardinal (rotated)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Quintessence</w:t>
              <w:br/>
              <w:t>An imperial rite that claims the surrounding land as a Blood Domain.</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5</w:t>
              <w:br/>
              <w:t>Illuminatus of the Crimson Lodge</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Ashen Vessel</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Greater</w:t>
              <w:br/>
              <w:t>Abbreviated</w:t>
              <w:br/>
              <w:t>3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Serpentine (rotated)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Blood Gourd Black</w:t>
              <w:br/>
              <w:t>Through fire and ash the vessel is reborn — blackened, hardened, and hungry.</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5</w:t>
              <w:br/>
              <w:t>Illuminatus of the Crimson Lodge</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Founding Fane</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Grand</w:t>
              <w:br/>
              <w:t>Full</w:t>
              <w:br/>
              <w:t>4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Crooked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Formation</w:t>
              <w:br/>
              <w:t>A grand consecration rite available only to the Illuminatus.</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5</w:t>
              <w:br/>
              <w:t>Illuminatus of the Crimson Lodge</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Pallid Shadow</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Grand</w:t>
              <w:br/>
              <w:t>Full</w:t>
              <w:br/>
              <w:t>4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Crooked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Quintessence</w:t>
              <w:br/>
              <w:t>A blasphemous rite that corrupts the still waters, stripping the Unstained purification from a nearby player.</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6</w:t>
              <w:br/>
              <w:t>Sanctified of the Bloodline Covenant</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Chamber of Will</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Grand</w:t>
              <w:br/>
              <w:t>Full</w:t>
              <w:br/>
              <w:t>4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Crooked (rotated)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World/progression effect</w:t>
              <w:br/>
              <w:t>A grand inward rite for the Sanctified.</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6</w:t>
              <w:br/>
              <w:t>Sanctified of the Bloodline Covenant</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Curved Horn</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Grand</w:t>
              <w:br/>
              <w:t>Abbreviated</w:t>
              <w:br/>
              <w:t>4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Serpentine (rotated)</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Curved Horn</w:t>
              <w:br/>
              <w:t>The final vessel transcends flesh and gourd alike.</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6</w:t>
              <w:br/>
              <w:t>Sanctified of the Bloodline Covenant</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the Eternal Covenant</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Greater</w:t>
              <w:br/>
              <w:t>Full</w:t>
              <w:br/>
              <w:t>3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Cardinal</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Quintessence</w:t>
              <w:br/>
              <w:t>A transcendent rite that permanently expands the caster's maximum blood volume.</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7</w:t>
              <w:br/>
              <w:t>Archon of the Hematic Order</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Bloom of the Qliphoth</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Grand</w:t>
              <w:br/>
              <w:t>Full</w:t>
              <w:br/>
              <w:t>4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Diagonal</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Formation</w:t>
              <w:br/>
              <w:t>A dark rite that calls forth a blooming tree of the Qliphoth, its roots drinking deep from the blood of the earth.</w:t>
            </w:r>
          </w:p>
        </w:tc>
      </w:tr>
      <w:tr>
        <w:tc>
          <w:tcPr>
            <w:tcW w:type="dxa" w:w="1150"/>
            <w:vAlign w:val="top"/>
            <w:tcMar>
              <w:top w:w="80" w:type="dxa"/>
              <w:start w:w="120" w:type="dxa"/>
              <w:bottom w:w="80" w:type="dxa"/>
              <w:end w:w="120" w:type="dxa"/>
            </w:tcMar>
          </w:tcPr>
          <w:p>
            <w:pPr>
              <w:pStyle w:val="TableText"/>
              <w:keepLines/>
            </w:pPr>
            <w:r>
              <w:rPr>
                <w:rFonts w:ascii="Calibri" w:hAnsi="Calibri"/>
                <w:color w:val="1F1F1F"/>
                <w:sz w:val="15"/>
              </w:rPr>
              <w:t>7</w:t>
              <w:br/>
              <w:t>Archon of the Hematic Order</w:t>
            </w:r>
          </w:p>
        </w:tc>
        <w:tc>
          <w:tcPr>
            <w:tcW w:type="dxa" w:w="2100"/>
            <w:vAlign w:val="top"/>
            <w:tcMar>
              <w:top w:w="80" w:type="dxa"/>
              <w:start w:w="120" w:type="dxa"/>
              <w:bottom w:w="80" w:type="dxa"/>
              <w:end w:w="120" w:type="dxa"/>
            </w:tcMar>
          </w:tcPr>
          <w:p>
            <w:pPr>
              <w:pStyle w:val="TableText"/>
              <w:keepLines/>
            </w:pPr>
            <w:r>
              <w:rPr>
                <w:rFonts w:ascii="Calibri" w:hAnsi="Calibri"/>
                <w:color w:val="1F1F1F"/>
                <w:sz w:val="15"/>
              </w:rPr>
              <w:t>Rite of Ancestral Communion</w:t>
            </w:r>
          </w:p>
        </w:tc>
        <w:tc>
          <w:tcPr>
            <w:tcW w:type="dxa" w:w="1450"/>
            <w:vAlign w:val="top"/>
            <w:tcMar>
              <w:top w:w="80" w:type="dxa"/>
              <w:start w:w="120" w:type="dxa"/>
              <w:bottom w:w="80" w:type="dxa"/>
              <w:end w:w="120" w:type="dxa"/>
            </w:tcMar>
          </w:tcPr>
          <w:p>
            <w:pPr>
              <w:pStyle w:val="TableText"/>
              <w:keepLines/>
            </w:pPr>
            <w:r>
              <w:rPr>
                <w:rFonts w:ascii="Calibri" w:hAnsi="Calibri"/>
                <w:color w:val="1F1F1F"/>
                <w:sz w:val="15"/>
              </w:rPr>
              <w:t>Grand</w:t>
              <w:br/>
              <w:t>Full</w:t>
              <w:br/>
              <w:t>4 ring(s)</w:t>
            </w:r>
          </w:p>
        </w:tc>
        <w:tc>
          <w:tcPr>
            <w:tcW w:type="dxa" w:w="1350"/>
            <w:vAlign w:val="top"/>
            <w:tcMar>
              <w:top w:w="80" w:type="dxa"/>
              <w:start w:w="120" w:type="dxa"/>
              <w:bottom w:w="80" w:type="dxa"/>
              <w:end w:w="120" w:type="dxa"/>
            </w:tcMar>
          </w:tcPr>
          <w:p>
            <w:pPr>
              <w:pStyle w:val="TableText"/>
              <w:keepLines/>
            </w:pPr>
            <w:r>
              <w:rPr>
                <w:rFonts w:ascii="Calibri" w:hAnsi="Calibri"/>
                <w:color w:val="1F1F1F"/>
                <w:sz w:val="15"/>
              </w:rPr>
              <w:t>Cardinal</w:t>
            </w:r>
          </w:p>
        </w:tc>
        <w:tc>
          <w:tcPr>
            <w:tcW w:type="dxa" w:w="3310"/>
            <w:vAlign w:val="top"/>
            <w:tcMar>
              <w:top w:w="80" w:type="dxa"/>
              <w:start w:w="120" w:type="dxa"/>
              <w:bottom w:w="80" w:type="dxa"/>
              <w:end w:w="120" w:type="dxa"/>
            </w:tcMar>
          </w:tcPr>
          <w:p>
            <w:pPr>
              <w:pStyle w:val="TableText"/>
              <w:keepLines/>
            </w:pPr>
            <w:r>
              <w:rPr>
                <w:rFonts w:ascii="Calibri" w:hAnsi="Calibri"/>
                <w:color w:val="1F1F1F"/>
                <w:sz w:val="15"/>
              </w:rPr>
              <w:t>Sanguine Quintessence</w:t>
              <w:br/>
              <w:t>The ultimate rite of revelation.</w:t>
            </w:r>
          </w:p>
        </w:tc>
      </w:tr>
    </w:tbl>
    <w:p>
      <w:pPr>
        <w:widowControl/>
        <w:spacing w:after="0"/>
      </w:pPr>
    </w:p>
    <w:p>
      <w:pPr>
        <w:pStyle w:val="Heading2"/>
        <w:keepNext/>
        <w:widowControl/>
      </w:pPr>
      <w:r>
        <w:t>12.3 Unstained rites</w:t>
      </w:r>
    </w:p>
    <w:tbl>
      <w:tblPr>
        <w:tblStyle w:val="TableGrid"/>
        <w:tblW w:type="dxa" w:w="9360"/>
        <w:jc w:val="left"/>
        <w:tblLayout w:type="fixed"/>
        <w:tblLook w:firstColumn="1" w:firstRow="1" w:lastColumn="0" w:lastRow="0" w:noHBand="0" w:noVBand="1" w:val="04A0"/>
        <w:tblInd w:w="120" w:type="dxa"/>
      </w:tblPr>
      <w:tblGrid>
        <w:gridCol w:w="1450"/>
        <w:gridCol w:w="2400"/>
        <w:gridCol w:w="950"/>
        <w:gridCol w:w="4560"/>
      </w:tblGrid>
      <w:tr>
        <w:trPr>
          <w:tblHeader w:val="true"/>
        </w:trPr>
        <w:tc>
          <w:tcPr>
            <w:tcW w:type="dxa" w:w="1450"/>
            <w:shd w:fill="EADDE0"/>
            <w:vAlign w:val="center"/>
            <w:tcMar>
              <w:top w:w="80" w:type="dxa"/>
              <w:start w:w="120" w:type="dxa"/>
              <w:bottom w:w="80" w:type="dxa"/>
              <w:end w:w="120" w:type="dxa"/>
            </w:tcMar>
          </w:tcPr>
          <w:p>
            <w:pPr>
              <w:pStyle w:val="TableHeader"/>
              <w:keepLines/>
            </w:pPr>
            <w:r>
              <w:t>Access</w:t>
            </w:r>
          </w:p>
        </w:tc>
        <w:tc>
          <w:tcPr>
            <w:tcW w:type="dxa" w:w="2400"/>
            <w:shd w:fill="EADDE0"/>
            <w:vAlign w:val="center"/>
            <w:tcMar>
              <w:top w:w="80" w:type="dxa"/>
              <w:start w:w="120" w:type="dxa"/>
              <w:bottom w:w="80" w:type="dxa"/>
              <w:end w:w="120" w:type="dxa"/>
            </w:tcMar>
          </w:tcPr>
          <w:p>
            <w:pPr>
              <w:pStyle w:val="TableHeader"/>
              <w:keepLines/>
            </w:pPr>
            <w:r>
              <w:t>Rite</w:t>
            </w:r>
          </w:p>
        </w:tc>
        <w:tc>
          <w:tcPr>
            <w:tcW w:type="dxa" w:w="950"/>
            <w:shd w:fill="EADDE0"/>
            <w:vAlign w:val="center"/>
            <w:tcMar>
              <w:top w:w="80" w:type="dxa"/>
              <w:start w:w="120" w:type="dxa"/>
              <w:bottom w:w="80" w:type="dxa"/>
              <w:end w:w="120" w:type="dxa"/>
            </w:tcMar>
          </w:tcPr>
          <w:p>
            <w:pPr>
              <w:pStyle w:val="TableHeader"/>
              <w:keepLines/>
            </w:pPr>
            <w:r>
              <w:t>Form</w:t>
            </w:r>
          </w:p>
        </w:tc>
        <w:tc>
          <w:tcPr>
            <w:tcW w:type="dxa" w:w="4560"/>
            <w:shd w:fill="EADDE0"/>
            <w:vAlign w:val="center"/>
            <w:tcMar>
              <w:top w:w="80" w:type="dxa"/>
              <w:start w:w="120" w:type="dxa"/>
              <w:bottom w:w="80" w:type="dxa"/>
              <w:end w:w="120" w:type="dxa"/>
            </w:tcMar>
          </w:tcPr>
          <w:p>
            <w:pPr>
              <w:pStyle w:val="TableHeader"/>
              <w:keepLines/>
            </w:pPr>
            <w:r>
              <w:t>Result / purpose</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Unbegun</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Lethean Baptism</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Minor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Lethean Poppy Wreath</w:t>
              <w:br/>
              <w:t>The first rite of the Unstained path.</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Unbegun</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the Severed Covenant</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Greater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Lethean Poppy Wreath</w:t>
              <w:br/>
              <w:t>An exceptional founder's renunciation learned by curing Annetta Knowles.</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Begun</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Still Waters</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Minor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Cleansed Blood Crystal Shard</w:t>
              <w:br/>
              <w:t>A calming rite performed at a junction of cleansed stone and pale silver.</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Tainted</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Pale Consecration</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Lesser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Cleansed Blood Crystal Shard</w:t>
              <w:br/>
              <w:t>The supplicant lays down a grid of cleansed stone, pale silver, and suspended crystals, calling down Lethe's judgment upon the ground itself.</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Tainted</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the Silver Veil</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Lesser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Pale Silver Ingot</w:t>
              <w:br/>
              <w:t>A consecration rite that draws silver light from the cleansed blocks, weaving a protective veil around the supplicant.</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Cleansing</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the Lethean Tide</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Greater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Consecrated Copper Ingot</w:t>
              <w:br/>
              <w:t>An Unstained greater rite that calls upon the purifying waters of Lethe to wash away the crimson stain of a Blood Moon.</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Purified</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Clarity Ascension</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Greater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Pallid Icon</w:t>
              <w:br/>
              <w:t>The Purified supplicant steps beyond mere cleansing into true sight.</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Purified</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Silthmere's Remembrance</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Greater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Pale Silver Ingot</w:t>
              <w:br/>
              <w:t>A rite invoking Silthmere, the name-like liturgical title of Our Lady of Still Waters.</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Purified</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the Closed Vein</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Minor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Hemolytic Vial</w:t>
              <w:br/>
              <w:t>The purified vessel is taught to close around old wounds.</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Discerning</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Antiseptic Ground</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Lesser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Virid Salis Trail</w:t>
              <w:br/>
              <w:t>Virid salis and cleansed stone are laid as a warded floor.</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Discerning</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the Silver Dawn</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Greater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Consecrated Copper Ingot</w:t>
              <w:br/>
              <w:t>A grand consecration that radiates silver-green light, cleansing blood-stained blocks in a wide radius and strengthening the caster's Verdigris Aura.</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Clarity 50</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Glass Lungs</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Lesser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Lethean Chalice</w:t>
              <w:br/>
              <w:t>White glass, pale water, and copper still the breath.</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Clarity 75</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Moon-Washed Copper</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Greater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Pale Silver Bell</w:t>
              <w:br/>
              <w:t>Oxidized copper is washed in moon-cold clarity.</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Vigilant</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the Pale Vigil</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Greater</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Tears Of Silthmere</w:t>
              <w:br/>
              <w:t>Performed by those who have crossed halfway into clarity, the Pale Vigil calls upon Our Lady's watchful gaze.</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Enlightened</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Lethean Judgment</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Grand</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Tears Of Silthmere</w:t>
              <w:br/>
              <w:t>The most powerful rite of the Unstained — a holy cleansing that projects Lethe's will outward.</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Enlightened</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the Lethe Covenant</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Grand</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Pale Silver Ingot</w:t>
              <w:br/>
              <w:t>The most powerful Unstained rite — a grand consecration that claims the surrounding land for Lethe's dominion.</w:t>
            </w:r>
          </w:p>
        </w:tc>
      </w:tr>
      <w:tr>
        <w:tc>
          <w:tcPr>
            <w:tcW w:type="dxa" w:w="1450"/>
            <w:vAlign w:val="top"/>
            <w:tcMar>
              <w:top w:w="80" w:type="dxa"/>
              <w:start w:w="120" w:type="dxa"/>
              <w:bottom w:w="80" w:type="dxa"/>
              <w:end w:w="120" w:type="dxa"/>
            </w:tcMar>
          </w:tcPr>
          <w:p>
            <w:pPr>
              <w:pStyle w:val="TableText"/>
              <w:keepLines/>
            </w:pPr>
            <w:r>
              <w:rPr>
                <w:rFonts w:ascii="Calibri" w:hAnsi="Calibri"/>
                <w:color w:val="1F1F1F"/>
                <w:sz w:val="16"/>
              </w:rPr>
              <w:t>Enlightened</w:t>
            </w:r>
          </w:p>
        </w:tc>
        <w:tc>
          <w:tcPr>
            <w:tcW w:type="dxa" w:w="2400"/>
            <w:vAlign w:val="top"/>
            <w:tcMar>
              <w:top w:w="80" w:type="dxa"/>
              <w:start w:w="120" w:type="dxa"/>
              <w:bottom w:w="80" w:type="dxa"/>
              <w:end w:w="120" w:type="dxa"/>
            </w:tcMar>
          </w:tcPr>
          <w:p>
            <w:pPr>
              <w:pStyle w:val="TableText"/>
              <w:keepLines/>
            </w:pPr>
            <w:r>
              <w:rPr>
                <w:rFonts w:ascii="Calibri" w:hAnsi="Calibri"/>
                <w:color w:val="1F1F1F"/>
                <w:sz w:val="16"/>
              </w:rPr>
              <w:t>Rite of the Lethean Font</w:t>
            </w:r>
          </w:p>
        </w:tc>
        <w:tc>
          <w:tcPr>
            <w:tcW w:type="dxa" w:w="950"/>
            <w:vAlign w:val="top"/>
            <w:tcMar>
              <w:top w:w="80" w:type="dxa"/>
              <w:start w:w="120" w:type="dxa"/>
              <w:bottom w:w="80" w:type="dxa"/>
              <w:end w:w="120" w:type="dxa"/>
            </w:tcMar>
          </w:tcPr>
          <w:p>
            <w:pPr>
              <w:pStyle w:val="TableText"/>
              <w:keepLines/>
            </w:pPr>
            <w:r>
              <w:rPr>
                <w:rFonts w:ascii="Calibri" w:hAnsi="Calibri"/>
                <w:color w:val="1F1F1F"/>
                <w:sz w:val="16"/>
              </w:rPr>
              <w:t>Grand</w:t>
            </w:r>
          </w:p>
        </w:tc>
        <w:tc>
          <w:tcPr>
            <w:tcW w:type="dxa" w:w="4560"/>
            <w:vAlign w:val="top"/>
            <w:tcMar>
              <w:top w:w="80" w:type="dxa"/>
              <w:start w:w="120" w:type="dxa"/>
              <w:bottom w:w="80" w:type="dxa"/>
              <w:end w:w="120" w:type="dxa"/>
            </w:tcMar>
          </w:tcPr>
          <w:p>
            <w:pPr>
              <w:pStyle w:val="TableText"/>
              <w:keepLines/>
            </w:pPr>
            <w:r>
              <w:rPr>
                <w:rFonts w:ascii="Calibri" w:hAnsi="Calibri"/>
                <w:color w:val="1F1F1F"/>
                <w:sz w:val="16"/>
              </w:rPr>
              <w:t>Pallid Icon</w:t>
              <w:br/>
              <w:t>The pinnacle of the Unstained path.</w:t>
            </w:r>
          </w:p>
        </w:tc>
      </w:tr>
    </w:tbl>
    <w:p>
      <w:pPr>
        <w:widowControl/>
        <w:spacing w:after="0"/>
      </w:pPr>
    </w:p>
    <w:p>
      <w:pPr>
        <w:pStyle w:val="Heading2"/>
        <w:keepNext/>
        <w:widowControl/>
      </w:pPr>
      <w:r>
        <w:t>12.4 Repeatable ceremony fixtures</w:t>
      </w:r>
    </w:p>
    <w:tbl>
      <w:tblPr>
        <w:tblStyle w:val="TableGrid"/>
        <w:tblW w:type="dxa" w:w="9360"/>
        <w:jc w:val="left"/>
        <w:tblLayout w:type="fixed"/>
        <w:tblLook w:firstColumn="1" w:firstRow="1" w:lastColumn="0" w:lastRow="0" w:noHBand="0" w:noVBand="1" w:val="04A0"/>
        <w:tblInd w:w="120" w:type="dxa"/>
      </w:tblPr>
      <w:tblGrid>
        <w:gridCol w:w="2200"/>
        <w:gridCol w:w="1500"/>
        <w:gridCol w:w="1750"/>
        <w:gridCol w:w="3910"/>
      </w:tblGrid>
      <w:tr>
        <w:trPr>
          <w:tblHeader w:val="true"/>
        </w:trPr>
        <w:tc>
          <w:tcPr>
            <w:tcW w:type="dxa" w:w="2200"/>
            <w:shd w:fill="EADDE0"/>
            <w:vAlign w:val="center"/>
            <w:tcMar>
              <w:top w:w="80" w:type="dxa"/>
              <w:start w:w="120" w:type="dxa"/>
              <w:bottom w:w="80" w:type="dxa"/>
              <w:end w:w="120" w:type="dxa"/>
            </w:tcMar>
          </w:tcPr>
          <w:p>
            <w:pPr>
              <w:pStyle w:val="TableHeader"/>
              <w:keepLines/>
            </w:pPr>
            <w:r>
              <w:t>Fixture</w:t>
            </w:r>
          </w:p>
        </w:tc>
        <w:tc>
          <w:tcPr>
            <w:tcW w:type="dxa" w:w="1500"/>
            <w:shd w:fill="EADDE0"/>
            <w:vAlign w:val="center"/>
            <w:tcMar>
              <w:top w:w="80" w:type="dxa"/>
              <w:start w:w="120" w:type="dxa"/>
              <w:bottom w:w="80" w:type="dxa"/>
              <w:end w:w="120" w:type="dxa"/>
            </w:tcMar>
          </w:tcPr>
          <w:p>
            <w:pPr>
              <w:pStyle w:val="TableHeader"/>
              <w:keepLines/>
            </w:pPr>
            <w:r>
              <w:t>Required degree</w:t>
            </w:r>
          </w:p>
        </w:tc>
        <w:tc>
          <w:tcPr>
            <w:tcW w:type="dxa" w:w="1750"/>
            <w:shd w:fill="EADDE0"/>
            <w:vAlign w:val="center"/>
            <w:tcMar>
              <w:top w:w="80" w:type="dxa"/>
              <w:start w:w="120" w:type="dxa"/>
              <w:bottom w:w="80" w:type="dxa"/>
              <w:end w:w="120" w:type="dxa"/>
            </w:tcMar>
          </w:tcPr>
          <w:p>
            <w:pPr>
              <w:pStyle w:val="TableHeader"/>
              <w:keepLines/>
            </w:pPr>
            <w:r>
              <w:t>Anchors / blood</w:t>
            </w:r>
          </w:p>
        </w:tc>
        <w:tc>
          <w:tcPr>
            <w:tcW w:type="dxa" w:w="3910"/>
            <w:shd w:fill="EADDE0"/>
            <w:vAlign w:val="center"/>
            <w:tcMar>
              <w:top w:w="80" w:type="dxa"/>
              <w:start w:w="120" w:type="dxa"/>
              <w:bottom w:w="80" w:type="dxa"/>
              <w:end w:w="120" w:type="dxa"/>
            </w:tcMar>
          </w:tcPr>
          <w:p>
            <w:pPr>
              <w:pStyle w:val="TableHeader"/>
              <w:keepLines/>
            </w:pPr>
            <w:r>
              <w:t>Coverage</w:t>
            </w:r>
          </w:p>
        </w:tc>
      </w:tr>
      <w:tr>
        <w:tc>
          <w:tcPr>
            <w:tcW w:type="dxa" w:w="2200"/>
            <w:vAlign w:val="top"/>
            <w:tcMar>
              <w:top w:w="80" w:type="dxa"/>
              <w:start w:w="120" w:type="dxa"/>
              <w:bottom w:w="80" w:type="dxa"/>
              <w:end w:w="120" w:type="dxa"/>
            </w:tcMar>
          </w:tcPr>
          <w:p>
            <w:pPr>
              <w:pStyle w:val="TableText"/>
              <w:keepLines/>
            </w:pPr>
            <w:r>
              <w:rPr>
                <w:rFonts w:ascii="Calibri" w:hAnsi="Calibri"/>
                <w:color w:val="1F1F1F"/>
                <w:sz w:val="18"/>
              </w:rPr>
              <w:t>[TEST] First Circulation</w:t>
            </w:r>
          </w:p>
        </w:tc>
        <w:tc>
          <w:tcPr>
            <w:tcW w:type="dxa" w:w="1500"/>
            <w:vAlign w:val="top"/>
            <w:tcMar>
              <w:top w:w="80" w:type="dxa"/>
              <w:start w:w="120" w:type="dxa"/>
              <w:bottom w:w="80" w:type="dxa"/>
              <w:end w:w="120" w:type="dxa"/>
            </w:tcMar>
          </w:tcPr>
          <w:p>
            <w:pPr>
              <w:pStyle w:val="TableText"/>
              <w:keepLines/>
            </w:pPr>
            <w:r>
              <w:rPr>
                <w:rFonts w:ascii="Calibri" w:hAnsi="Calibri"/>
                <w:color w:val="1F1F1F"/>
                <w:sz w:val="18"/>
              </w:rPr>
              <w:t>0</w:t>
            </w:r>
          </w:p>
        </w:tc>
        <w:tc>
          <w:tcPr>
            <w:tcW w:type="dxa" w:w="1750"/>
            <w:vAlign w:val="top"/>
            <w:tcMar>
              <w:top w:w="80" w:type="dxa"/>
              <w:start w:w="120" w:type="dxa"/>
              <w:bottom w:w="80" w:type="dxa"/>
              <w:end w:w="120" w:type="dxa"/>
            </w:tcMar>
          </w:tcPr>
          <w:p>
            <w:pPr>
              <w:pStyle w:val="TableText"/>
              <w:keepLines/>
            </w:pPr>
            <w:r>
              <w:rPr>
                <w:rFonts w:ascii="Calibri" w:hAnsi="Calibri"/>
                <w:color w:val="1F1F1F"/>
                <w:sz w:val="18"/>
              </w:rPr>
              <w:t>4 / 200 ml</w:t>
            </w:r>
          </w:p>
        </w:tc>
        <w:tc>
          <w:tcPr>
            <w:tcW w:type="dxa" w:w="3910"/>
            <w:vAlign w:val="top"/>
            <w:tcMar>
              <w:top w:w="80" w:type="dxa"/>
              <w:start w:w="120" w:type="dxa"/>
              <w:bottom w:w="80" w:type="dxa"/>
              <w:end w:w="120" w:type="dxa"/>
            </w:tcMar>
          </w:tcPr>
          <w:p>
            <w:pPr>
              <w:pStyle w:val="TableText"/>
              <w:keepLines/>
            </w:pPr>
            <w:r>
              <w:rPr>
                <w:rFonts w:ascii="Calibri" w:hAnsi="Calibri"/>
                <w:color w:val="1F1F1F"/>
                <w:sz w:val="18"/>
              </w:rPr>
              <w:t>An abbreviated prototype rite for testing anchor projection, ring completion, sealing, the HUD, and a first Ichorian sigil discovery.</w:t>
            </w:r>
          </w:p>
        </w:tc>
      </w:tr>
      <w:tr>
        <w:tc>
          <w:tcPr>
            <w:tcW w:type="dxa" w:w="2200"/>
            <w:vAlign w:val="top"/>
            <w:tcMar>
              <w:top w:w="80" w:type="dxa"/>
              <w:start w:w="120" w:type="dxa"/>
              <w:bottom w:w="80" w:type="dxa"/>
              <w:end w:w="120" w:type="dxa"/>
            </w:tcMar>
          </w:tcPr>
          <w:p>
            <w:pPr>
              <w:pStyle w:val="TableText"/>
              <w:keepLines/>
            </w:pPr>
            <w:r>
              <w:rPr>
                <w:rFonts w:ascii="Calibri" w:hAnsi="Calibri"/>
                <w:color w:val="1F1F1F"/>
                <w:sz w:val="18"/>
              </w:rPr>
              <w:t>[TEST] Inscription Crucible</w:t>
            </w:r>
          </w:p>
        </w:tc>
        <w:tc>
          <w:tcPr>
            <w:tcW w:type="dxa" w:w="1500"/>
            <w:vAlign w:val="top"/>
            <w:tcMar>
              <w:top w:w="80" w:type="dxa"/>
              <w:start w:w="120" w:type="dxa"/>
              <w:bottom w:w="80" w:type="dxa"/>
              <w:end w:w="120" w:type="dxa"/>
            </w:tcMar>
          </w:tcPr>
          <w:p>
            <w:pPr>
              <w:pStyle w:val="TableText"/>
              <w:keepLines/>
            </w:pPr>
            <w:r>
              <w:rPr>
                <w:rFonts w:ascii="Calibri" w:hAnsi="Calibri"/>
                <w:color w:val="1F1F1F"/>
                <w:sz w:val="18"/>
              </w:rPr>
              <w:t>1</w:t>
            </w:r>
          </w:p>
        </w:tc>
        <w:tc>
          <w:tcPr>
            <w:tcW w:type="dxa" w:w="1750"/>
            <w:vAlign w:val="top"/>
            <w:tcMar>
              <w:top w:w="80" w:type="dxa"/>
              <w:start w:w="120" w:type="dxa"/>
              <w:bottom w:w="80" w:type="dxa"/>
              <w:end w:w="120" w:type="dxa"/>
            </w:tcMar>
          </w:tcPr>
          <w:p>
            <w:pPr>
              <w:pStyle w:val="TableText"/>
              <w:keepLines/>
            </w:pPr>
            <w:r>
              <w:rPr>
                <w:rFonts w:ascii="Calibri" w:hAnsi="Calibri"/>
                <w:color w:val="1F1F1F"/>
                <w:sz w:val="18"/>
              </w:rPr>
              <w:t>8 / 400 ml</w:t>
            </w:r>
          </w:p>
        </w:tc>
        <w:tc>
          <w:tcPr>
            <w:tcW w:type="dxa" w:w="3910"/>
            <w:vAlign w:val="top"/>
            <w:tcMar>
              <w:top w:w="80" w:type="dxa"/>
              <w:start w:w="120" w:type="dxa"/>
              <w:bottom w:w="80" w:type="dxa"/>
              <w:end w:w="120" w:type="dxa"/>
            </w:tcMar>
          </w:tcPr>
          <w:p>
            <w:pPr>
              <w:pStyle w:val="TableText"/>
              <w:keepLines/>
            </w:pPr>
            <w:r>
              <w:rPr>
                <w:rFonts w:ascii="Calibri" w:hAnsi="Calibri"/>
                <w:color w:val="1F1F1F"/>
                <w:sz w:val="18"/>
              </w:rPr>
              <w:t>A focused sigil laboratory for testing diagonal circulation, optional support sockets, discovery, response inscription, siphoning, repair, and...</w:t>
            </w:r>
          </w:p>
        </w:tc>
      </w:tr>
      <w:tr>
        <w:tc>
          <w:tcPr>
            <w:tcW w:type="dxa" w:w="2200"/>
            <w:vAlign w:val="top"/>
            <w:tcMar>
              <w:top w:w="80" w:type="dxa"/>
              <w:start w:w="120" w:type="dxa"/>
              <w:bottom w:w="80" w:type="dxa"/>
              <w:end w:w="120" w:type="dxa"/>
            </w:tcMar>
          </w:tcPr>
          <w:p>
            <w:pPr>
              <w:pStyle w:val="TableText"/>
              <w:keepLines/>
            </w:pPr>
            <w:r>
              <w:rPr>
                <w:rFonts w:ascii="Calibri" w:hAnsi="Calibri"/>
                <w:color w:val="1F1F1F"/>
                <w:sz w:val="18"/>
              </w:rPr>
              <w:t>[TEST] Bloodline Vigil</w:t>
            </w:r>
          </w:p>
        </w:tc>
        <w:tc>
          <w:tcPr>
            <w:tcW w:type="dxa" w:w="1500"/>
            <w:vAlign w:val="top"/>
            <w:tcMar>
              <w:top w:w="80" w:type="dxa"/>
              <w:start w:w="120" w:type="dxa"/>
              <w:bottom w:w="80" w:type="dxa"/>
              <w:end w:w="120" w:type="dxa"/>
            </w:tcMar>
          </w:tcPr>
          <w:p>
            <w:pPr>
              <w:pStyle w:val="TableText"/>
              <w:keepLines/>
            </w:pPr>
            <w:r>
              <w:rPr>
                <w:rFonts w:ascii="Calibri" w:hAnsi="Calibri"/>
                <w:color w:val="1F1F1F"/>
                <w:sz w:val="18"/>
              </w:rPr>
              <w:t>4</w:t>
            </w:r>
          </w:p>
        </w:tc>
        <w:tc>
          <w:tcPr>
            <w:tcW w:type="dxa" w:w="1750"/>
            <w:vAlign w:val="top"/>
            <w:tcMar>
              <w:top w:w="80" w:type="dxa"/>
              <w:start w:w="120" w:type="dxa"/>
              <w:bottom w:w="80" w:type="dxa"/>
              <w:end w:w="120" w:type="dxa"/>
            </w:tcMar>
          </w:tcPr>
          <w:p>
            <w:pPr>
              <w:pStyle w:val="TableText"/>
              <w:keepLines/>
            </w:pPr>
            <w:r>
              <w:rPr>
                <w:rFonts w:ascii="Calibri" w:hAnsi="Calibri"/>
                <w:color w:val="1F1F1F"/>
                <w:sz w:val="18"/>
              </w:rPr>
              <w:t>20 / 1000 ml</w:t>
            </w:r>
          </w:p>
        </w:tc>
        <w:tc>
          <w:tcPr>
            <w:tcW w:type="dxa" w:w="3910"/>
            <w:vAlign w:val="top"/>
            <w:tcMar>
              <w:top w:w="80" w:type="dxa"/>
              <w:start w:w="120" w:type="dxa"/>
              <w:bottom w:w="80" w:type="dxa"/>
              <w:end w:w="120" w:type="dxa"/>
            </w:tcMar>
          </w:tcPr>
          <w:p>
            <w:pPr>
              <w:pStyle w:val="TableText"/>
              <w:keepLines/>
            </w:pPr>
            <w:r>
              <w:rPr>
                <w:rFonts w:ascii="Calibri" w:hAnsi="Calibri"/>
                <w:color w:val="1F1F1F"/>
                <w:sz w:val="18"/>
              </w:rPr>
              <w:t>A Degree Five prototype for testing one recruited ally, shared blood reserves, Anchor, Attendant, and Warden duties, anchor decay, recovery waves,...</w:t>
            </w:r>
          </w:p>
        </w:tc>
      </w:tr>
      <w:tr>
        <w:tc>
          <w:tcPr>
            <w:tcW w:type="dxa" w:w="2200"/>
            <w:vAlign w:val="top"/>
            <w:tcMar>
              <w:top w:w="80" w:type="dxa"/>
              <w:start w:w="120" w:type="dxa"/>
              <w:bottom w:w="80" w:type="dxa"/>
              <w:end w:w="120" w:type="dxa"/>
            </w:tcMar>
          </w:tcPr>
          <w:p>
            <w:pPr>
              <w:pStyle w:val="TableText"/>
              <w:keepLines/>
            </w:pPr>
            <w:r>
              <w:rPr>
                <w:rFonts w:ascii="Calibri" w:hAnsi="Calibri"/>
                <w:color w:val="1F1F1F"/>
                <w:sz w:val="18"/>
              </w:rPr>
              <w:t>[TEST] Grand Ordeal Gauntlet</w:t>
            </w:r>
          </w:p>
        </w:tc>
        <w:tc>
          <w:tcPr>
            <w:tcW w:type="dxa" w:w="1500"/>
            <w:vAlign w:val="top"/>
            <w:tcMar>
              <w:top w:w="80" w:type="dxa"/>
              <w:start w:w="120" w:type="dxa"/>
              <w:bottom w:w="80" w:type="dxa"/>
              <w:end w:w="120" w:type="dxa"/>
            </w:tcMar>
          </w:tcPr>
          <w:p>
            <w:pPr>
              <w:pStyle w:val="TableText"/>
              <w:keepLines/>
            </w:pPr>
            <w:r>
              <w:rPr>
                <w:rFonts w:ascii="Calibri" w:hAnsi="Calibri"/>
                <w:color w:val="1F1F1F"/>
                <w:sz w:val="18"/>
              </w:rPr>
              <w:t>6</w:t>
            </w:r>
          </w:p>
        </w:tc>
        <w:tc>
          <w:tcPr>
            <w:tcW w:type="dxa" w:w="1750"/>
            <w:vAlign w:val="top"/>
            <w:tcMar>
              <w:top w:w="80" w:type="dxa"/>
              <w:start w:w="120" w:type="dxa"/>
              <w:bottom w:w="80" w:type="dxa"/>
              <w:end w:w="120" w:type="dxa"/>
            </w:tcMar>
          </w:tcPr>
          <w:p>
            <w:pPr>
              <w:pStyle w:val="TableText"/>
              <w:keepLines/>
            </w:pPr>
            <w:r>
              <w:rPr>
                <w:rFonts w:ascii="Calibri" w:hAnsi="Calibri"/>
                <w:color w:val="1F1F1F"/>
                <w:sz w:val="18"/>
              </w:rPr>
              <w:t>28 / 1400 ml</w:t>
            </w:r>
          </w:p>
        </w:tc>
        <w:tc>
          <w:tcPr>
            <w:tcW w:type="dxa" w:w="3910"/>
            <w:vAlign w:val="top"/>
            <w:tcMar>
              <w:top w:w="80" w:type="dxa"/>
              <w:start w:w="120" w:type="dxa"/>
              <w:bottom w:w="80" w:type="dxa"/>
              <w:end w:w="120" w:type="dxa"/>
            </w:tcMar>
          </w:tcPr>
          <w:p>
            <w:pPr>
              <w:pStyle w:val="TableText"/>
              <w:keepLines/>
            </w:pPr>
            <w:r>
              <w:rPr>
                <w:rFonts w:ascii="Calibri" w:hAnsi="Calibri"/>
                <w:color w:val="1F1F1F"/>
                <w:sz w:val="18"/>
              </w:rPr>
              <w:t>A Degree Seven stress test with three ally stations, six fixed ordeal waves, every threat family, sigil discovery, fast decay, fragile structure...</w:t>
            </w:r>
          </w:p>
        </w:tc>
      </w:tr>
    </w:tbl>
    <w:p>
      <w:pPr>
        <w:widowControl/>
        <w:spacing w:after="0"/>
      </w:pPr>
    </w:p>
    <w:p>
      <w:pPr>
        <w:widowControl/>
      </w:pPr>
      <w:r>
        <w:t>These four [TEST] recipes have zero one-shot cost and do not consume their structures, but blood committed to anchors, sigils, repairs, allies, and profession nodes remains real.</w:t>
      </w:r>
    </w:p>
    <w:p>
      <w:pPr>
        <w:pStyle w:val="Heading1"/>
        <w:keepNext/>
        <w:widowControl/>
      </w:pPr>
      <w:r>
        <w:t>13. A concise explanation for other people</w:t>
      </w:r>
    </w:p>
    <w:p>
      <w:pPr>
        <w:pStyle w:val="Callout"/>
        <w:spacing w:before="80" w:after="140"/>
        <w:ind w:left="173" w:right="173"/>
        <w:shd w:fill="EADDE0"/>
        <w:widowControl/>
        <w:pBdr>
          <w:left w:val="single" w:sz="18" w:space="6" w:color="711626"/>
        </w:pBdr>
      </w:pPr>
      <w:r>
        <w:rPr>
          <w:rFonts w:ascii="Calibri" w:hAnsi="Calibri"/>
          <w:b/>
          <w:color w:val="711626"/>
          <w:sz w:val="21"/>
        </w:rPr>
        <w:t xml:space="preserve">90-SECOND VERSION  </w:t>
      </w:r>
      <w:r>
        <w:rPr>
          <w:rFonts w:ascii="Calibri" w:hAnsi="Calibri"/>
          <w:color w:val="4B0C18"/>
          <w:sz w:val="21"/>
        </w:rPr>
        <w:t>Cardinal Rites are no longer passive timers for Harbingers. The structure creates a ritual space, but the player must make it live. They feed 50 ml into each anchor to close layered boundary rings, optionally trace Ichorian support sigils and recruit bloodline allies, then commit by projecting into their humanity daemon. That deals a shuffled set of ordeals—predators that steal anchor blood, attackers that drain the caster, wills that raise instability, counterfeit omens, and ordered response sigils. Instability visibly eats the outer boundary first. After the ordeal, the player gets a repair interval; promotion rites then demand a unique final profession. Completed sigils peel off the ground and become a brood of living anatomical castes orbiting the whole rite. The Unstained path uses the same recipe family but keeps the separate purity-and-clarity countdown model.</w:t>
      </w:r>
    </w:p>
    <w:p>
      <w:pPr>
        <w:pStyle w:val="Heading2"/>
        <w:keepNext/>
        <w:widowControl/>
      </w:pPr>
      <w:r>
        <w:t>Vocabulary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ADDE0"/>
            <w:vAlign w:val="center"/>
            <w:tcMar>
              <w:top w:w="80" w:type="dxa"/>
              <w:start w:w="120" w:type="dxa"/>
              <w:bottom w:w="80" w:type="dxa"/>
              <w:end w:w="120" w:type="dxa"/>
            </w:tcMar>
          </w:tcPr>
          <w:p>
            <w:pPr>
              <w:pStyle w:val="TableHeader"/>
              <w:keepLines/>
            </w:pPr>
            <w:r>
              <w:t>Term</w:t>
            </w:r>
          </w:p>
        </w:tc>
        <w:tc>
          <w:tcPr>
            <w:tcW w:type="dxa" w:w="7560"/>
            <w:shd w:fill="EADDE0"/>
            <w:vAlign w:val="center"/>
            <w:tcMar>
              <w:top w:w="80" w:type="dxa"/>
              <w:start w:w="120" w:type="dxa"/>
              <w:bottom w:w="80" w:type="dxa"/>
              <w:end w:w="120" w:type="dxa"/>
            </w:tcMar>
          </w:tcPr>
          <w:p>
            <w:pPr>
              <w:pStyle w:val="TableHeader"/>
              <w:keepLines/>
            </w:pPr>
            <w:r>
              <w:t>Meaning</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Anchor</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A 50 ml virtual boundary target; four anchors define one defensive ring.</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Boundary ring</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A closed circulation formed by four full anchors.</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Daemon</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The caster-bound humanity sprite used as the no-cost seal/commitment target.</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Fane exterior</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The rendered shell enclosing the complete resolved ritual footprint.</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Support sigil</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Optional preparation traced before or during the ordeal for persistent utility.</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Response sigil</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A demanded ordered pattern that answers a specific ordeal wave.</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Awakened sigil</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A completed ground inscription unfolded into a living anatomical caste.</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Instability</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Global failure pressure from 0–100; consumes boundary sections outside-in.</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Dry anchor</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An anchor holding less than its required 50 ml.</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Damaged anchor</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A boundary section broken or threatened by instability and requiring repair.</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Still interval</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The post-ordeal repair window that must end with every anchor restored.</w:t>
            </w:r>
          </w:p>
        </w:tc>
      </w:tr>
      <w:tr>
        <w:tc>
          <w:tcPr>
            <w:tcW w:type="dxa" w:w="1800"/>
            <w:vAlign w:val="top"/>
            <w:tcMar>
              <w:top w:w="80" w:type="dxa"/>
              <w:start w:w="120" w:type="dxa"/>
              <w:bottom w:w="80" w:type="dxa"/>
              <w:end w:w="120" w:type="dxa"/>
            </w:tcMar>
          </w:tcPr>
          <w:p>
            <w:pPr>
              <w:pStyle w:val="TableText"/>
              <w:keepLines/>
            </w:pPr>
            <w:r>
              <w:rPr>
                <w:rFonts w:ascii="Calibri" w:hAnsi="Calibri"/>
                <w:color w:val="1F1F1F"/>
                <w:sz w:val="18"/>
              </w:rPr>
              <w:t>Profession</w:t>
            </w:r>
          </w:p>
        </w:tc>
        <w:tc>
          <w:tcPr>
            <w:tcW w:type="dxa" w:w="7560"/>
            <w:vAlign w:val="top"/>
            <w:tcMar>
              <w:top w:w="80" w:type="dxa"/>
              <w:start w:w="120" w:type="dxa"/>
              <w:bottom w:w="80" w:type="dxa"/>
              <w:end w:w="120" w:type="dxa"/>
            </w:tcMar>
          </w:tcPr>
          <w:p>
            <w:pPr>
              <w:pStyle w:val="TableText"/>
              <w:keepLines/>
            </w:pPr>
            <w:r>
              <w:rPr>
                <w:rFonts w:ascii="Calibri" w:hAnsi="Calibri"/>
                <w:color w:val="1F1F1F"/>
                <w:sz w:val="18"/>
              </w:rPr>
              <w:t>A rank rite’s authored final declaration or ordered interaction.</w:t>
            </w:r>
          </w:p>
        </w:tc>
      </w:tr>
    </w:tbl>
    <w:p>
      <w:pPr>
        <w:widowControl/>
        <w:spacing w:after="0"/>
      </w:pPr>
    </w:p>
    <w:p>
      <w:pPr>
        <w:pStyle w:val="Heading2"/>
        <w:keepNext/>
        <w:widowControl/>
      </w:pPr>
      <w:r>
        <w:t>Current-state notes</w:t>
      </w:r>
    </w:p>
    <w:p>
      <w:pPr>
        <w:pStyle w:val="ListBullet"/>
        <w:widowControl/>
      </w:pPr>
      <w:r>
        <w:t>The document describes the implementation as of July 28, 2026.</w:t>
      </w:r>
    </w:p>
    <w:p>
      <w:pPr>
        <w:pStyle w:val="ListBullet"/>
        <w:widowControl/>
      </w:pPr>
      <w:r>
        <w:t>The four [TEST] rites are fixtures, not permanent progression rewards.</w:t>
      </w:r>
    </w:p>
    <w:p>
      <w:pPr>
        <w:pStyle w:val="ListBullet"/>
        <w:widowControl/>
      </w:pPr>
      <w:r>
        <w:t>Recipe JSON remains backward-compatible because missing ceremony data receives deterministic converted defaults.</w:t>
      </w:r>
    </w:p>
    <w:p>
      <w:pPr>
        <w:pStyle w:val="ListBullet"/>
        <w:widowControl/>
      </w:pPr>
      <w:r>
        <w:t>Legacy active rites continue to deserialize and finish under their original countdown behavior.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color w:val="605659"/>
        <w:sz w:val="16"/>
      </w:rPr>
      <w:t xml:space="preserve">HEMOMANCY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05659"/>
        <w:sz w:val="16"/>
      </w:rPr>
      <w:t>CARDINAL RITE SYSTEM  /  IMPLEMENTATION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71162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1162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B0C1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b w:val="0"/>
      <w:color w:val="1F1F1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b w:val="0"/>
      <w:color w:val="1F1F1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pPr>
      <w:spacing w:after="240" w:line="276" w:lineRule="auto"/>
    </w:pPr>
    <w:rPr>
      <w:rFonts w:ascii="Calibri" w:hAnsi="Calibri"/>
      <w:b w:val="0"/>
      <w:color w:val="605659"/>
      <w:sz w:val="26"/>
    </w:rPr>
  </w:style>
  <w:style w:type="paragraph" w:customStyle="1" w:styleId="TableText">
    <w:name w:val="Table Text"/>
    <w:pPr>
      <w:spacing w:before="0" w:after="40" w:line="259" w:lineRule="auto"/>
    </w:pPr>
    <w:rPr>
      <w:rFonts w:ascii="Calibri" w:hAnsi="Calibri"/>
      <w:b w:val="0"/>
      <w:color w:val="1F1F1F"/>
      <w:sz w:val="18"/>
    </w:rPr>
  </w:style>
  <w:style w:type="paragraph" w:customStyle="1" w:styleId="TableHeader">
    <w:name w:val="Table Header"/>
    <w:pPr>
      <w:spacing w:before="0" w:after="0" w:line="240" w:lineRule="auto"/>
    </w:pPr>
    <w:rPr>
      <w:rFonts w:ascii="Calibri" w:hAnsi="Calibri"/>
      <w:b/>
      <w:color w:val="4B0C18"/>
      <w:sz w:val="18"/>
    </w:rPr>
  </w:style>
  <w:style w:type="paragraph" w:customStyle="1" w:styleId="Callout">
    <w:name w:val="Callout"/>
    <w:pPr>
      <w:spacing w:before="20" w:after="20" w:line="276" w:lineRule="auto"/>
    </w:pPr>
    <w:rPr>
      <w:rFonts w:ascii="Calibri" w:hAnsi="Calibri"/>
      <w:b w:val="0"/>
      <w:color w:val="4B0C1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Cardinal Rite System Guide</dc:title>
  <dc:subject>Current Hemomancy Cardinal Rite implementation</dc:subject>
  <dc:creator>Hemomancy Project</dc:creator>
  <cp:keywords>Hemomancy, Cardinal Rite, Ichorian sigils, ritual system</cp:keywords>
  <dc:description>Generated from the current implementation and built-in data resources.</dc:description>
  <cp:lastModifiedBy/>
  <cp:revision>1</cp:revision>
  <dcterms:created xsi:type="dcterms:W3CDTF">2013-12-23T23:15:00Z</dcterms:created>
  <dcterms:modified xsi:type="dcterms:W3CDTF">2013-12-23T23:15:00Z</dcterms:modified>
  <cp:category/>
</cp:coreProperties>
</file>