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BFE74" w14:textId="677FF2D6" w:rsidR="00924DF3" w:rsidRDefault="00924DF3">
      <w:pPr>
        <w:rPr>
          <w:b/>
          <w:bCs/>
          <w:sz w:val="22"/>
          <w:szCs w:val="24"/>
        </w:rPr>
      </w:pPr>
      <w:r w:rsidRPr="00924DF3">
        <w:rPr>
          <w:rFonts w:hint="eastAsia"/>
          <w:b/>
          <w:bCs/>
          <w:sz w:val="22"/>
          <w:szCs w:val="24"/>
        </w:rPr>
        <w:t xml:space="preserve">Market Intelligence Report on </w:t>
      </w:r>
      <w:r>
        <w:rPr>
          <w:b/>
          <w:bCs/>
          <w:sz w:val="22"/>
          <w:szCs w:val="24"/>
        </w:rPr>
        <w:t xml:space="preserve">the </w:t>
      </w:r>
      <w:r w:rsidRPr="00924DF3">
        <w:rPr>
          <w:b/>
          <w:bCs/>
          <w:sz w:val="22"/>
          <w:szCs w:val="24"/>
        </w:rPr>
        <w:t>Available CRMLS Residential Market</w:t>
      </w:r>
    </w:p>
    <w:p w14:paraId="517F1601" w14:textId="1FE76461" w:rsidR="00C240F4" w:rsidRPr="00223D9B" w:rsidRDefault="00924DF3">
      <w:pPr>
        <w:rPr>
          <w:rFonts w:hint="eastAsia"/>
          <w:b/>
          <w:bCs/>
          <w:sz w:val="22"/>
          <w:szCs w:val="24"/>
        </w:rPr>
      </w:pPr>
      <w:r w:rsidRPr="00924DF3">
        <w:rPr>
          <w:rFonts w:hint="eastAsia"/>
          <w:b/>
          <w:bCs/>
          <w:sz w:val="22"/>
          <w:szCs w:val="24"/>
        </w:rPr>
        <w:t>Focus on California and Alameda, CA</w:t>
      </w:r>
    </w:p>
    <w:p w14:paraId="524A3149" w14:textId="38D245B9" w:rsidR="00924DF3" w:rsidRPr="00DE1E05" w:rsidRDefault="00223D9B">
      <w:pPr>
        <w:rPr>
          <w:sz w:val="20"/>
          <w:szCs w:val="21"/>
        </w:rPr>
      </w:pPr>
      <w:r>
        <w:rPr>
          <w:sz w:val="20"/>
          <w:szCs w:val="21"/>
        </w:rPr>
        <w:t xml:space="preserve">Observed Time </w:t>
      </w:r>
      <w:r w:rsidR="00924DF3" w:rsidRPr="00DE1E05">
        <w:rPr>
          <w:sz w:val="20"/>
          <w:szCs w:val="21"/>
        </w:rPr>
        <w:t>Period: January 2024 – June 2026</w:t>
      </w:r>
    </w:p>
    <w:p w14:paraId="7E3FF0C8" w14:textId="77777777" w:rsidR="00924DF3" w:rsidRPr="00DE1E05" w:rsidRDefault="00924DF3" w:rsidP="00924DF3">
      <w:pPr>
        <w:rPr>
          <w:sz w:val="20"/>
          <w:szCs w:val="21"/>
        </w:rPr>
      </w:pPr>
      <w:r w:rsidRPr="00DE1E05">
        <w:rPr>
          <w:rFonts w:hint="eastAsia"/>
          <w:sz w:val="20"/>
          <w:szCs w:val="21"/>
        </w:rPr>
        <w:t>Junyu Liao, DA54</w:t>
      </w:r>
    </w:p>
    <w:p w14:paraId="788E1B95" w14:textId="77777777" w:rsidR="00C240F4" w:rsidRDefault="00C240F4" w:rsidP="00DE1E05">
      <w:pPr>
        <w:spacing w:line="240" w:lineRule="exact"/>
        <w:rPr>
          <w:rFonts w:hint="eastAsia"/>
        </w:rPr>
      </w:pPr>
    </w:p>
    <w:p w14:paraId="61033C07" w14:textId="5D415291" w:rsidR="00DE1E05" w:rsidRDefault="00DE1E05" w:rsidP="00C240F4">
      <w:pPr>
        <w:rPr>
          <w:sz w:val="20"/>
          <w:szCs w:val="21"/>
        </w:rPr>
      </w:pPr>
      <w:r w:rsidRPr="00C240F4">
        <w:rPr>
          <w:sz w:val="20"/>
          <w:szCs w:val="21"/>
        </w:rPr>
        <w:t xml:space="preserve">This report summarizes residential MLS activity using cleaned CRMLS listing and sold transaction records. The analysis focuses on market pricing, transaction volume, days on market, new listing activity, and listing-side competition. The dataset was processed through an end-to-end analytics workflow, including monthly aggregation, residential filtering, data cleaning, </w:t>
      </w:r>
      <w:r w:rsidRPr="00C240F4">
        <w:rPr>
          <w:sz w:val="20"/>
          <w:szCs w:val="21"/>
        </w:rPr>
        <w:t xml:space="preserve">and </w:t>
      </w:r>
      <w:r w:rsidRPr="00C240F4">
        <w:rPr>
          <w:sz w:val="20"/>
          <w:szCs w:val="21"/>
        </w:rPr>
        <w:t>feature engineering</w:t>
      </w:r>
      <w:r w:rsidRPr="00C240F4">
        <w:rPr>
          <w:rFonts w:hint="eastAsia"/>
          <w:sz w:val="20"/>
          <w:szCs w:val="21"/>
        </w:rPr>
        <w:t>. Visualizations are shown on Tableau dashboards</w:t>
      </w:r>
      <w:r w:rsidR="003E4FA6">
        <w:rPr>
          <w:sz w:val="20"/>
          <w:szCs w:val="21"/>
        </w:rPr>
        <w:t>.</w:t>
      </w:r>
    </w:p>
    <w:p w14:paraId="02B2057B" w14:textId="77777777" w:rsidR="00223D9B" w:rsidRPr="00C240F4" w:rsidRDefault="00223D9B" w:rsidP="00C240F4">
      <w:pPr>
        <w:rPr>
          <w:rFonts w:hint="eastAsia"/>
          <w:sz w:val="20"/>
          <w:szCs w:val="21"/>
        </w:rPr>
      </w:pPr>
    </w:p>
    <w:p w14:paraId="5422B381" w14:textId="77777777" w:rsidR="00DE1E05" w:rsidRPr="00C240F4" w:rsidRDefault="00DE1E05" w:rsidP="00C240F4">
      <w:pPr>
        <w:rPr>
          <w:b/>
          <w:bCs/>
          <w:sz w:val="20"/>
          <w:szCs w:val="21"/>
        </w:rPr>
      </w:pPr>
      <w:r w:rsidRPr="00C240F4">
        <w:rPr>
          <w:b/>
          <w:bCs/>
          <w:sz w:val="20"/>
          <w:szCs w:val="21"/>
        </w:rPr>
        <w:t>Market Overview</w:t>
      </w:r>
    </w:p>
    <w:p w14:paraId="24FD8717" w14:textId="77777777" w:rsidR="00223D9B" w:rsidRPr="00223D9B" w:rsidRDefault="00223D9B" w:rsidP="00223D9B">
      <w:pPr>
        <w:rPr>
          <w:sz w:val="20"/>
          <w:szCs w:val="21"/>
        </w:rPr>
      </w:pPr>
      <w:r w:rsidRPr="00223D9B">
        <w:rPr>
          <w:sz w:val="20"/>
          <w:szCs w:val="21"/>
        </w:rPr>
        <w:t xml:space="preserve">Across the available CRMLS residential market, median close prices generally remained in the </w:t>
      </w:r>
      <w:r w:rsidRPr="00223D9B">
        <w:rPr>
          <w:b/>
          <w:bCs/>
          <w:sz w:val="20"/>
          <w:szCs w:val="21"/>
        </w:rPr>
        <w:t>mid-$500K to mid-$600K</w:t>
      </w:r>
      <w:r w:rsidRPr="00223D9B">
        <w:rPr>
          <w:sz w:val="20"/>
          <w:szCs w:val="21"/>
        </w:rPr>
        <w:t xml:space="preserve"> range. The statewide dashboard shows median close price rising from roughly $540K in January 2024 to above $650K around April 2024, followed by periods of volatility in 2025 and early 2026. By mid-2026, the median close price recovered to roughly the </w:t>
      </w:r>
      <w:r w:rsidRPr="00223D9B">
        <w:rPr>
          <w:b/>
          <w:bCs/>
          <w:sz w:val="20"/>
          <w:szCs w:val="21"/>
        </w:rPr>
        <w:t>low-$600K range</w:t>
      </w:r>
      <w:r w:rsidRPr="00223D9B">
        <w:rPr>
          <w:sz w:val="20"/>
          <w:szCs w:val="21"/>
        </w:rPr>
        <w:t>, suggesting that the market remained relatively resilient despite month-to-month fluctuations.</w:t>
      </w:r>
    </w:p>
    <w:p w14:paraId="17E35C3C" w14:textId="58926B19" w:rsidR="00223D9B" w:rsidRDefault="00223D9B" w:rsidP="00223D9B">
      <w:pPr>
        <w:rPr>
          <w:sz w:val="20"/>
          <w:szCs w:val="21"/>
        </w:rPr>
      </w:pPr>
      <w:r w:rsidRPr="00223D9B">
        <w:rPr>
          <w:sz w:val="20"/>
          <w:szCs w:val="21"/>
        </w:rPr>
        <w:t xml:space="preserve">Average days on market mostly stayed around the </w:t>
      </w:r>
      <w:r w:rsidRPr="00223D9B">
        <w:rPr>
          <w:b/>
          <w:bCs/>
          <w:sz w:val="20"/>
          <w:szCs w:val="21"/>
        </w:rPr>
        <w:t>high-20s to low-30s</w:t>
      </w:r>
      <w:r w:rsidRPr="00223D9B">
        <w:rPr>
          <w:sz w:val="20"/>
          <w:szCs w:val="21"/>
        </w:rPr>
        <w:t xml:space="preserve">, indicating moderate liquidity rather than a severely frozen market. Closed sales were also substantial, generally ranging from </w:t>
      </w:r>
      <w:r>
        <w:rPr>
          <w:sz w:val="20"/>
          <w:szCs w:val="21"/>
        </w:rPr>
        <w:t>1</w:t>
      </w:r>
      <w:r w:rsidRPr="00223D9B">
        <w:rPr>
          <w:b/>
          <w:bCs/>
          <w:sz w:val="20"/>
          <w:szCs w:val="21"/>
        </w:rPr>
        <w:t>0K+</w:t>
      </w:r>
      <w:r w:rsidRPr="00223D9B">
        <w:rPr>
          <w:b/>
          <w:bCs/>
          <w:sz w:val="20"/>
          <w:szCs w:val="21"/>
        </w:rPr>
        <w:t xml:space="preserve"> to around 20K</w:t>
      </w:r>
      <w:r w:rsidRPr="00223D9B">
        <w:rPr>
          <w:sz w:val="20"/>
          <w:szCs w:val="21"/>
        </w:rPr>
        <w:t xml:space="preserve"> transactions per month, while new listings showed visible seasonal movement, especially around spring and early summer.</w:t>
      </w:r>
    </w:p>
    <w:p w14:paraId="5E25DD84" w14:textId="77777777" w:rsidR="00223D9B" w:rsidRDefault="00223D9B" w:rsidP="00223D9B">
      <w:pPr>
        <w:rPr>
          <w:sz w:val="20"/>
          <w:szCs w:val="21"/>
        </w:rPr>
      </w:pPr>
    </w:p>
    <w:p w14:paraId="55C1EB59" w14:textId="77777777" w:rsidR="00223D9B" w:rsidRPr="00223D9B" w:rsidRDefault="00223D9B" w:rsidP="00223D9B">
      <w:pPr>
        <w:rPr>
          <w:b/>
          <w:bCs/>
          <w:sz w:val="20"/>
          <w:szCs w:val="21"/>
        </w:rPr>
      </w:pPr>
      <w:r w:rsidRPr="00223D9B">
        <w:rPr>
          <w:b/>
          <w:bCs/>
          <w:sz w:val="20"/>
          <w:szCs w:val="21"/>
        </w:rPr>
        <w:t>Alameda County Snapshot</w:t>
      </w:r>
    </w:p>
    <w:p w14:paraId="108A4286" w14:textId="6EB1FB14" w:rsidR="00223D9B" w:rsidRPr="00223D9B" w:rsidRDefault="00223D9B" w:rsidP="00223D9B">
      <w:pPr>
        <w:rPr>
          <w:sz w:val="20"/>
          <w:szCs w:val="21"/>
        </w:rPr>
      </w:pPr>
      <w:r w:rsidRPr="00223D9B">
        <w:rPr>
          <w:sz w:val="20"/>
          <w:szCs w:val="21"/>
        </w:rPr>
        <w:t xml:space="preserve">Alameda County showed a much higher price level than the overall CRMLS market. Its monthly median close price generally stayed around </w:t>
      </w:r>
      <w:r w:rsidRPr="00223D9B">
        <w:rPr>
          <w:b/>
          <w:bCs/>
          <w:sz w:val="20"/>
          <w:szCs w:val="21"/>
        </w:rPr>
        <w:t>$900K–$1.15M</w:t>
      </w:r>
      <w:r w:rsidRPr="00223D9B">
        <w:rPr>
          <w:sz w:val="20"/>
          <w:szCs w:val="21"/>
        </w:rPr>
        <w:t xml:space="preserve">, compared with the broader market’s mid-$500K to mid-$600K range. Alameda reached a visible peak of about </w:t>
      </w:r>
      <w:r w:rsidRPr="00223D9B">
        <w:rPr>
          <w:b/>
          <w:bCs/>
          <w:sz w:val="20"/>
          <w:szCs w:val="21"/>
        </w:rPr>
        <w:t>$1.17M in April 2024</w:t>
      </w:r>
      <w:r w:rsidRPr="00223D9B">
        <w:rPr>
          <w:sz w:val="20"/>
          <w:szCs w:val="21"/>
        </w:rPr>
        <w:t xml:space="preserve">, softened toward roughly </w:t>
      </w:r>
      <w:r w:rsidRPr="00223D9B">
        <w:rPr>
          <w:b/>
          <w:bCs/>
          <w:sz w:val="20"/>
          <w:szCs w:val="21"/>
        </w:rPr>
        <w:t>$900K–$950K in late 2025 and early 2026</w:t>
      </w:r>
      <w:r w:rsidRPr="00223D9B">
        <w:rPr>
          <w:sz w:val="20"/>
          <w:szCs w:val="21"/>
        </w:rPr>
        <w:t xml:space="preserve">, and then rebounded to around </w:t>
      </w:r>
      <w:r w:rsidRPr="00223D9B">
        <w:rPr>
          <w:b/>
          <w:bCs/>
          <w:sz w:val="20"/>
          <w:szCs w:val="21"/>
        </w:rPr>
        <w:t>$1.1M in May 2026</w:t>
      </w:r>
      <w:r w:rsidRPr="00223D9B">
        <w:rPr>
          <w:sz w:val="20"/>
          <w:szCs w:val="21"/>
        </w:rPr>
        <w:t xml:space="preserve"> before easing slightly in June. This suggests that Alameda remained a high-price market, but with clear volatility across the period.</w:t>
      </w:r>
    </w:p>
    <w:p w14:paraId="1E97A760" w14:textId="77777777" w:rsidR="00223D9B" w:rsidRPr="00C240F4" w:rsidRDefault="00223D9B" w:rsidP="00223D9B">
      <w:pPr>
        <w:rPr>
          <w:sz w:val="20"/>
          <w:szCs w:val="21"/>
        </w:rPr>
      </w:pPr>
    </w:p>
    <w:p w14:paraId="6675FA8E" w14:textId="77777777" w:rsidR="00DE1E05" w:rsidRPr="00C240F4" w:rsidRDefault="00DE1E05" w:rsidP="00C240F4">
      <w:pPr>
        <w:rPr>
          <w:b/>
          <w:bCs/>
          <w:sz w:val="20"/>
          <w:szCs w:val="21"/>
        </w:rPr>
      </w:pPr>
      <w:r w:rsidRPr="00C240F4">
        <w:rPr>
          <w:b/>
          <w:bCs/>
          <w:sz w:val="20"/>
          <w:szCs w:val="21"/>
        </w:rPr>
        <w:t>Pricing and Market Activity</w:t>
      </w:r>
    </w:p>
    <w:p w14:paraId="6CB620B1" w14:textId="506B2569" w:rsidR="00223D9B" w:rsidRDefault="00DE1E05" w:rsidP="00C240F4">
      <w:pPr>
        <w:rPr>
          <w:sz w:val="20"/>
          <w:szCs w:val="21"/>
        </w:rPr>
      </w:pPr>
      <w:r w:rsidRPr="00C240F4">
        <w:rPr>
          <w:sz w:val="20"/>
          <w:szCs w:val="21"/>
        </w:rPr>
        <w:t xml:space="preserve">The average </w:t>
      </w:r>
      <w:r w:rsidRPr="002D44AA">
        <w:rPr>
          <w:b/>
          <w:bCs/>
          <w:sz w:val="20"/>
          <w:szCs w:val="21"/>
        </w:rPr>
        <w:t>close-to-original-list ratio stayed slightly</w:t>
      </w:r>
      <w:r w:rsidRPr="00C240F4">
        <w:rPr>
          <w:sz w:val="20"/>
          <w:szCs w:val="21"/>
        </w:rPr>
        <w:t xml:space="preserve"> </w:t>
      </w:r>
      <w:r w:rsidRPr="002D44AA">
        <w:rPr>
          <w:b/>
          <w:bCs/>
          <w:sz w:val="20"/>
          <w:szCs w:val="21"/>
        </w:rPr>
        <w:t>below 1.0</w:t>
      </w:r>
      <w:r w:rsidRPr="00C240F4">
        <w:rPr>
          <w:sz w:val="20"/>
          <w:szCs w:val="21"/>
        </w:rPr>
        <w:t xml:space="preserve"> for most of the period, meaning homes generally sold below their original asking prices. This suggests that buyers retained some negotiation power. Closed sales volume was generally steady, often ranging from </w:t>
      </w:r>
      <w:r w:rsidR="002D44AA" w:rsidRPr="002D44AA">
        <w:rPr>
          <w:b/>
          <w:bCs/>
          <w:sz w:val="20"/>
          <w:szCs w:val="21"/>
        </w:rPr>
        <w:t>10K to 20K</w:t>
      </w:r>
      <w:r w:rsidR="002D44AA">
        <w:rPr>
          <w:sz w:val="20"/>
          <w:szCs w:val="21"/>
        </w:rPr>
        <w:t xml:space="preserve"> </w:t>
      </w:r>
      <w:r w:rsidRPr="00C240F4">
        <w:rPr>
          <w:sz w:val="20"/>
          <w:szCs w:val="21"/>
        </w:rPr>
        <w:t>per month in the dashboard view. New listings also showed clear seasonal movement, with stronger activity in several spring and early summer periods.</w:t>
      </w:r>
    </w:p>
    <w:p w14:paraId="0BCD871A" w14:textId="77777777" w:rsidR="002D44AA" w:rsidRPr="00C240F4" w:rsidRDefault="002D44AA" w:rsidP="00C240F4">
      <w:pPr>
        <w:rPr>
          <w:sz w:val="20"/>
          <w:szCs w:val="21"/>
        </w:rPr>
      </w:pPr>
    </w:p>
    <w:p w14:paraId="7D8DC005" w14:textId="77777777" w:rsidR="00DE1E05" w:rsidRPr="00C240F4" w:rsidRDefault="00DE1E05" w:rsidP="00C240F4">
      <w:pPr>
        <w:rPr>
          <w:b/>
          <w:bCs/>
          <w:sz w:val="20"/>
          <w:szCs w:val="21"/>
        </w:rPr>
      </w:pPr>
      <w:r w:rsidRPr="00C240F4">
        <w:rPr>
          <w:b/>
          <w:bCs/>
          <w:sz w:val="20"/>
          <w:szCs w:val="21"/>
        </w:rPr>
        <w:t>Competitive Landscape</w:t>
      </w:r>
    </w:p>
    <w:p w14:paraId="420C7F7F" w14:textId="77777777" w:rsidR="00DE1E05" w:rsidRDefault="00DE1E05" w:rsidP="00C240F4">
      <w:pPr>
        <w:rPr>
          <w:sz w:val="20"/>
          <w:szCs w:val="21"/>
        </w:rPr>
      </w:pPr>
      <w:r w:rsidRPr="00C240F4">
        <w:rPr>
          <w:sz w:val="20"/>
          <w:szCs w:val="21"/>
        </w:rPr>
        <w:t>The competitive dashboard shows that listing-side activity was concentrated among a few major brokerages. Compass ranked first by sales volume, with approximately</w:t>
      </w:r>
      <w:r w:rsidRPr="002D44AA">
        <w:rPr>
          <w:b/>
          <w:bCs/>
          <w:sz w:val="20"/>
          <w:szCs w:val="21"/>
        </w:rPr>
        <w:t xml:space="preserve"> $24.7B </w:t>
      </w:r>
      <w:r w:rsidRPr="00C240F4">
        <w:rPr>
          <w:sz w:val="20"/>
          <w:szCs w:val="21"/>
        </w:rPr>
        <w:t xml:space="preserve">in closed volume and over </w:t>
      </w:r>
      <w:r w:rsidRPr="002D44AA">
        <w:rPr>
          <w:b/>
          <w:bCs/>
          <w:sz w:val="20"/>
          <w:szCs w:val="21"/>
        </w:rPr>
        <w:t>26,000</w:t>
      </w:r>
      <w:r w:rsidRPr="00C240F4">
        <w:rPr>
          <w:sz w:val="20"/>
          <w:szCs w:val="21"/>
        </w:rPr>
        <w:t xml:space="preserve"> transactions, representing about </w:t>
      </w:r>
      <w:r w:rsidRPr="002D44AA">
        <w:rPr>
          <w:b/>
          <w:bCs/>
          <w:sz w:val="20"/>
          <w:szCs w:val="21"/>
        </w:rPr>
        <w:t>28%</w:t>
      </w:r>
      <w:r w:rsidRPr="00C240F4">
        <w:rPr>
          <w:sz w:val="20"/>
          <w:szCs w:val="21"/>
        </w:rPr>
        <w:t xml:space="preserve"> of the displayed office-level sales volume. Coldwell Banker Realty and Keller Williams Realty also held strong positions by both volume and units. At the agent level, top performers such as Cesi Pagano, Todd Myatt, Randy Anderson, Leslie Olivo, and Patricia Martinez generated substantial sales volume, though their unit counts varied, suggesting different strategies across high-volume and high-value market segments.</w:t>
      </w:r>
    </w:p>
    <w:p w14:paraId="046132D2" w14:textId="77777777" w:rsidR="00223D9B" w:rsidRPr="00C240F4" w:rsidRDefault="00223D9B" w:rsidP="00C240F4">
      <w:pPr>
        <w:rPr>
          <w:sz w:val="20"/>
          <w:szCs w:val="21"/>
        </w:rPr>
      </w:pPr>
    </w:p>
    <w:p w14:paraId="4861EB17" w14:textId="77777777" w:rsidR="002D44AA" w:rsidRPr="002D44AA" w:rsidRDefault="002D44AA" w:rsidP="002D44AA">
      <w:pPr>
        <w:rPr>
          <w:b/>
          <w:bCs/>
          <w:sz w:val="20"/>
          <w:szCs w:val="21"/>
        </w:rPr>
      </w:pPr>
      <w:r w:rsidRPr="002D44AA">
        <w:rPr>
          <w:b/>
          <w:bCs/>
          <w:sz w:val="20"/>
          <w:szCs w:val="21"/>
        </w:rPr>
        <w:t>Key Takeaways</w:t>
      </w:r>
    </w:p>
    <w:p w14:paraId="6F84BED3" w14:textId="77777777" w:rsidR="002D44AA" w:rsidRPr="002D44AA" w:rsidRDefault="002D44AA" w:rsidP="002D44AA">
      <w:pPr>
        <w:numPr>
          <w:ilvl w:val="0"/>
          <w:numId w:val="3"/>
        </w:numPr>
        <w:rPr>
          <w:sz w:val="20"/>
          <w:szCs w:val="21"/>
        </w:rPr>
      </w:pPr>
      <w:r w:rsidRPr="002D44AA">
        <w:rPr>
          <w:sz w:val="20"/>
          <w:szCs w:val="21"/>
        </w:rPr>
        <w:t xml:space="preserve">The broader CRMLS residential market remained relatively stable, with median close prices mostly in the </w:t>
      </w:r>
      <w:r w:rsidRPr="00EF5EF2">
        <w:rPr>
          <w:b/>
          <w:bCs/>
          <w:sz w:val="20"/>
          <w:szCs w:val="21"/>
        </w:rPr>
        <w:t>mid-$500K to mid-$600K</w:t>
      </w:r>
      <w:r w:rsidRPr="002D44AA">
        <w:rPr>
          <w:sz w:val="20"/>
          <w:szCs w:val="21"/>
        </w:rPr>
        <w:t xml:space="preserve"> range. </w:t>
      </w:r>
    </w:p>
    <w:p w14:paraId="52998CF4" w14:textId="77777777" w:rsidR="002D44AA" w:rsidRPr="002D44AA" w:rsidRDefault="002D44AA" w:rsidP="002D44AA">
      <w:pPr>
        <w:numPr>
          <w:ilvl w:val="0"/>
          <w:numId w:val="3"/>
        </w:numPr>
        <w:rPr>
          <w:sz w:val="20"/>
          <w:szCs w:val="21"/>
        </w:rPr>
      </w:pPr>
      <w:r w:rsidRPr="002D44AA">
        <w:rPr>
          <w:sz w:val="20"/>
          <w:szCs w:val="21"/>
        </w:rPr>
        <w:t xml:space="preserve">Alameda County was significantly more expensive, with median close prices generally near or above </w:t>
      </w:r>
      <w:r w:rsidRPr="00EF5EF2">
        <w:rPr>
          <w:b/>
          <w:bCs/>
          <w:sz w:val="20"/>
          <w:szCs w:val="21"/>
        </w:rPr>
        <w:t>$1M</w:t>
      </w:r>
      <w:r w:rsidRPr="002D44AA">
        <w:rPr>
          <w:sz w:val="20"/>
          <w:szCs w:val="21"/>
        </w:rPr>
        <w:t xml:space="preserve">. </w:t>
      </w:r>
    </w:p>
    <w:p w14:paraId="67C1407C" w14:textId="77777777" w:rsidR="002D44AA" w:rsidRPr="002D44AA" w:rsidRDefault="002D44AA" w:rsidP="002D44AA">
      <w:pPr>
        <w:numPr>
          <w:ilvl w:val="0"/>
          <w:numId w:val="3"/>
        </w:numPr>
        <w:rPr>
          <w:sz w:val="20"/>
          <w:szCs w:val="21"/>
        </w:rPr>
      </w:pPr>
      <w:r w:rsidRPr="002D44AA">
        <w:rPr>
          <w:sz w:val="20"/>
          <w:szCs w:val="21"/>
        </w:rPr>
        <w:t xml:space="preserve">Average days on market stayed mostly around the </w:t>
      </w:r>
      <w:r w:rsidRPr="00EF5EF2">
        <w:rPr>
          <w:b/>
          <w:bCs/>
          <w:sz w:val="20"/>
          <w:szCs w:val="21"/>
        </w:rPr>
        <w:t>high-20s to low-30s</w:t>
      </w:r>
      <w:r w:rsidRPr="002D44AA">
        <w:rPr>
          <w:sz w:val="20"/>
          <w:szCs w:val="21"/>
        </w:rPr>
        <w:t xml:space="preserve">, suggesting moderate market liquidity. </w:t>
      </w:r>
    </w:p>
    <w:p w14:paraId="7BD3B8B3" w14:textId="77777777" w:rsidR="002D44AA" w:rsidRPr="002D44AA" w:rsidRDefault="002D44AA" w:rsidP="002D44AA">
      <w:pPr>
        <w:numPr>
          <w:ilvl w:val="0"/>
          <w:numId w:val="3"/>
        </w:numPr>
        <w:rPr>
          <w:sz w:val="20"/>
          <w:szCs w:val="21"/>
        </w:rPr>
      </w:pPr>
      <w:r w:rsidRPr="002D44AA">
        <w:rPr>
          <w:sz w:val="20"/>
          <w:szCs w:val="21"/>
        </w:rPr>
        <w:t xml:space="preserve">Homes generally sold slightly below original list price, indicating some buyer negotiation power. </w:t>
      </w:r>
    </w:p>
    <w:p w14:paraId="04619B33" w14:textId="77777777" w:rsidR="002D44AA" w:rsidRPr="002D44AA" w:rsidRDefault="002D44AA" w:rsidP="002D44AA">
      <w:pPr>
        <w:numPr>
          <w:ilvl w:val="0"/>
          <w:numId w:val="3"/>
        </w:numPr>
        <w:rPr>
          <w:sz w:val="20"/>
          <w:szCs w:val="21"/>
        </w:rPr>
      </w:pPr>
      <w:r w:rsidRPr="002D44AA">
        <w:rPr>
          <w:sz w:val="20"/>
          <w:szCs w:val="21"/>
        </w:rPr>
        <w:t>Listing-side competition was concentrated, with Compass, Coldwell Banker Realty, and Keller Williams Realty leading by sales volume and transaction activity.</w:t>
      </w:r>
    </w:p>
    <w:sectPr w:rsidR="002D44AA" w:rsidRPr="002D44AA" w:rsidSect="00DE1E05">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6DC8F" w14:textId="77777777" w:rsidR="00847FCC" w:rsidRDefault="00847FCC" w:rsidP="00924DF3">
      <w:r>
        <w:separator/>
      </w:r>
    </w:p>
  </w:endnote>
  <w:endnote w:type="continuationSeparator" w:id="0">
    <w:p w14:paraId="1C5CC050" w14:textId="77777777" w:rsidR="00847FCC" w:rsidRDefault="00847FCC" w:rsidP="00924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ED87F" w14:textId="77777777" w:rsidR="00847FCC" w:rsidRDefault="00847FCC" w:rsidP="00924DF3">
      <w:r>
        <w:separator/>
      </w:r>
    </w:p>
  </w:footnote>
  <w:footnote w:type="continuationSeparator" w:id="0">
    <w:p w14:paraId="4B8ABC88" w14:textId="77777777" w:rsidR="00847FCC" w:rsidRDefault="00847FCC" w:rsidP="00924D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AB0"/>
    <w:multiLevelType w:val="multilevel"/>
    <w:tmpl w:val="BB4CF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E3697"/>
    <w:multiLevelType w:val="multilevel"/>
    <w:tmpl w:val="016A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313D20"/>
    <w:multiLevelType w:val="multilevel"/>
    <w:tmpl w:val="875C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218837">
    <w:abstractNumId w:val="0"/>
  </w:num>
  <w:num w:numId="2" w16cid:durableId="123934497">
    <w:abstractNumId w:val="1"/>
  </w:num>
  <w:num w:numId="3" w16cid:durableId="762265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64A7C"/>
    <w:rsid w:val="001C5A03"/>
    <w:rsid w:val="00223D9B"/>
    <w:rsid w:val="002D44AA"/>
    <w:rsid w:val="003759C7"/>
    <w:rsid w:val="003E4FA6"/>
    <w:rsid w:val="006429EB"/>
    <w:rsid w:val="00656B11"/>
    <w:rsid w:val="00847FCC"/>
    <w:rsid w:val="00924DF3"/>
    <w:rsid w:val="00B82AF5"/>
    <w:rsid w:val="00C240F4"/>
    <w:rsid w:val="00CD1A56"/>
    <w:rsid w:val="00DE1E05"/>
    <w:rsid w:val="00E64A7C"/>
    <w:rsid w:val="00EF5EF2"/>
    <w:rsid w:val="00F25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7E570"/>
  <w15:chartTrackingRefBased/>
  <w15:docId w15:val="{57D2444B-380E-405E-96DE-3DB4D45C5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E64A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E64A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E64A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64A7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64A7C"/>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E64A7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E64A7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64A7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64A7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A7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E64A7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64A7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E64A7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64A7C"/>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E64A7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E64A7C"/>
    <w:rPr>
      <w:rFonts w:cstheme="majorBidi"/>
      <w:b/>
      <w:bCs/>
      <w:color w:val="595959" w:themeColor="text1" w:themeTint="A6"/>
    </w:rPr>
  </w:style>
  <w:style w:type="character" w:customStyle="1" w:styleId="Heading8Char">
    <w:name w:val="Heading 8 Char"/>
    <w:basedOn w:val="DefaultParagraphFont"/>
    <w:link w:val="Heading8"/>
    <w:uiPriority w:val="9"/>
    <w:semiHidden/>
    <w:rsid w:val="00E64A7C"/>
    <w:rPr>
      <w:rFonts w:cstheme="majorBidi"/>
      <w:color w:val="595959" w:themeColor="text1" w:themeTint="A6"/>
    </w:rPr>
  </w:style>
  <w:style w:type="character" w:customStyle="1" w:styleId="Heading9Char">
    <w:name w:val="Heading 9 Char"/>
    <w:basedOn w:val="DefaultParagraphFont"/>
    <w:link w:val="Heading9"/>
    <w:uiPriority w:val="9"/>
    <w:semiHidden/>
    <w:rsid w:val="00E64A7C"/>
    <w:rPr>
      <w:rFonts w:eastAsiaTheme="majorEastAsia" w:cstheme="majorBidi"/>
      <w:color w:val="595959" w:themeColor="text1" w:themeTint="A6"/>
    </w:rPr>
  </w:style>
  <w:style w:type="paragraph" w:styleId="Title">
    <w:name w:val="Title"/>
    <w:basedOn w:val="Normal"/>
    <w:next w:val="Normal"/>
    <w:link w:val="TitleChar"/>
    <w:uiPriority w:val="10"/>
    <w:qFormat/>
    <w:rsid w:val="00E64A7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A7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A7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64A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4A7C"/>
    <w:rPr>
      <w:i/>
      <w:iCs/>
      <w:color w:val="404040" w:themeColor="text1" w:themeTint="BF"/>
    </w:rPr>
  </w:style>
  <w:style w:type="paragraph" w:styleId="ListParagraph">
    <w:name w:val="List Paragraph"/>
    <w:basedOn w:val="Normal"/>
    <w:uiPriority w:val="34"/>
    <w:qFormat/>
    <w:rsid w:val="00E64A7C"/>
    <w:pPr>
      <w:ind w:left="720"/>
      <w:contextualSpacing/>
    </w:pPr>
  </w:style>
  <w:style w:type="character" w:styleId="IntenseEmphasis">
    <w:name w:val="Intense Emphasis"/>
    <w:basedOn w:val="DefaultParagraphFont"/>
    <w:uiPriority w:val="21"/>
    <w:qFormat/>
    <w:rsid w:val="00E64A7C"/>
    <w:rPr>
      <w:i/>
      <w:iCs/>
      <w:color w:val="0F4761" w:themeColor="accent1" w:themeShade="BF"/>
    </w:rPr>
  </w:style>
  <w:style w:type="paragraph" w:styleId="IntenseQuote">
    <w:name w:val="Intense Quote"/>
    <w:basedOn w:val="Normal"/>
    <w:next w:val="Normal"/>
    <w:link w:val="IntenseQuoteChar"/>
    <w:uiPriority w:val="30"/>
    <w:qFormat/>
    <w:rsid w:val="00E64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A7C"/>
    <w:rPr>
      <w:i/>
      <w:iCs/>
      <w:color w:val="0F4761" w:themeColor="accent1" w:themeShade="BF"/>
    </w:rPr>
  </w:style>
  <w:style w:type="character" w:styleId="IntenseReference">
    <w:name w:val="Intense Reference"/>
    <w:basedOn w:val="DefaultParagraphFont"/>
    <w:uiPriority w:val="32"/>
    <w:qFormat/>
    <w:rsid w:val="00E64A7C"/>
    <w:rPr>
      <w:b/>
      <w:bCs/>
      <w:smallCaps/>
      <w:color w:val="0F4761" w:themeColor="accent1" w:themeShade="BF"/>
      <w:spacing w:val="5"/>
    </w:rPr>
  </w:style>
  <w:style w:type="paragraph" w:styleId="Header">
    <w:name w:val="header"/>
    <w:basedOn w:val="Normal"/>
    <w:link w:val="HeaderChar"/>
    <w:uiPriority w:val="99"/>
    <w:unhideWhenUsed/>
    <w:rsid w:val="00924DF3"/>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24DF3"/>
    <w:rPr>
      <w:sz w:val="18"/>
      <w:szCs w:val="18"/>
    </w:rPr>
  </w:style>
  <w:style w:type="paragraph" w:styleId="Footer">
    <w:name w:val="footer"/>
    <w:basedOn w:val="Normal"/>
    <w:link w:val="FooterChar"/>
    <w:uiPriority w:val="99"/>
    <w:unhideWhenUsed/>
    <w:rsid w:val="00924DF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924DF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Liao</dc:creator>
  <cp:keywords/>
  <dc:description/>
  <cp:lastModifiedBy>Vincent Liao</cp:lastModifiedBy>
  <cp:revision>5</cp:revision>
  <dcterms:created xsi:type="dcterms:W3CDTF">2026-09-12T21:37:00Z</dcterms:created>
  <dcterms:modified xsi:type="dcterms:W3CDTF">2026-09-12T22:24:00Z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04dfd62d-b0ff-4883-95f6-1c183735c6d1</vt:lpwstr>
  </property>
</Properties>
</file>