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 Display" w:hAnsi="Aptos Display"/>
          <w:b/>
          <w:color w:val="1D2D3B"/>
          <w:sz w:val="42"/>
        </w:rPr>
        <w:t>NEXORA Prototype Data Sources</w:t>
      </w:r>
    </w:p>
    <w:p>
      <w:pPr>
        <w:spacing w:after="120"/>
      </w:pPr>
      <w:r>
        <w:rPr>
          <w:color w:val="667786"/>
          <w:sz w:val="18"/>
        </w:rPr>
        <w:t>Hackathon data disclosure | Current prototype</w:t>
      </w:r>
    </w:p>
    <w:p>
      <w:pPr>
        <w:spacing w:after="100"/>
      </w:pPr>
      <w:r>
        <w:rPr>
          <w:b/>
        </w:rPr>
        <w:t xml:space="preserve">Disclosure: </w:t>
      </w:r>
      <w:r>
        <w:t>The prototype uses one measured Malaysian electricity reference, an official emissions factor, and NEXORA-created demonstration assumptions. The six township facilities and their results are simulated; they are not six measured sites or live operational 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1901"/>
            <w:shd w:fill="EAF1F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2D3B"/>
                <w:sz w:val="16"/>
              </w:rPr>
              <w:t>Data used</w:t>
            </w:r>
          </w:p>
        </w:tc>
        <w:tc>
          <w:tcPr>
            <w:tcW w:type="dxa" w:w="3139"/>
            <w:shd w:fill="EAF1F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2D3B"/>
                <w:sz w:val="16"/>
              </w:rPr>
              <w:t>Source</w:t>
            </w:r>
          </w:p>
        </w:tc>
        <w:tc>
          <w:tcPr>
            <w:tcW w:type="dxa" w:w="4853"/>
            <w:shd w:fill="EAF1F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2D3B"/>
                <w:sz w:val="16"/>
              </w:rPr>
              <w:t>Use and disclosure</w:t>
            </w:r>
          </w:p>
        </w:tc>
      </w:tr>
      <w:tr>
        <w:tc>
          <w:tcPr>
            <w:tcW w:type="dxa" w:w="190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254B63"/>
                <w:sz w:val="16"/>
              </w:rPr>
              <w:t>Measured electricity</w:t>
            </w:r>
          </w:p>
        </w:tc>
        <w:tc>
          <w:tcPr>
            <w:tcW w:type="dxa" w:w="313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CLEMD research data: UPNM Faculty of Medicine and Defence Health incoming supply, 2023. [1, 2]</w:t>
            </w:r>
          </w:p>
        </w:tc>
        <w:tc>
          <w:tcPr>
            <w:tcW w:type="dxa" w:w="4853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One building only. Three-phase, one-second power is aggregated into complete hourly kWh. Its pattern is reused to create the demo facilities.</w:t>
            </w:r>
          </w:p>
        </w:tc>
      </w:tr>
      <w:tr>
        <w:tc>
          <w:tcPr>
            <w:tcW w:type="dxa" w:w="1901"/>
            <w:shd w:fill="F8FAFB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254B63"/>
                <w:sz w:val="16"/>
              </w:rPr>
              <w:t>Grid emissions factor</w:t>
            </w:r>
          </w:p>
        </w:tc>
        <w:tc>
          <w:tcPr>
            <w:tcW w:type="dxa" w:w="3139"/>
            <w:shd w:fill="F8FAFB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Energy Commission of Malaysia, provisional Peninsular Malaysia 2023 factor: 0.760 kg CO2e/kWh. [3]</w:t>
            </w:r>
          </w:p>
        </w:tc>
        <w:tc>
          <w:tcPr>
            <w:tcW w:type="dxa" w:w="4853"/>
            <w:shd w:fill="F8FAFB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Used for electricity-linked carbon estimates. It is a published factor, not a measurement of NEXORA buildings.</w:t>
            </w:r>
          </w:p>
        </w:tc>
      </w:tr>
      <w:tr>
        <w:tc>
          <w:tcPr>
            <w:tcW w:type="dxa" w:w="190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254B63"/>
                <w:sz w:val="16"/>
              </w:rPr>
              <w:t>Synthetic demonstration inputs</w:t>
            </w:r>
          </w:p>
        </w:tc>
        <w:tc>
          <w:tcPr>
            <w:tcW w:type="dxa" w:w="313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Created by NEXORA from documented MVP assumptions; no external building, sensor, weather, tariff, quotation or charger-session dataset is connected.</w:t>
            </w:r>
          </w:p>
        </w:tc>
        <w:tc>
          <w:tcPr>
            <w:tcW w:type="dxa" w:w="4853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Facility demand and schedules, floors and rooms, occupancy and conditions, solar/storage/EV profiles, prices and equipment costs are simulated or assumed.</w:t>
            </w:r>
          </w:p>
        </w:tc>
      </w:tr>
      <w:tr>
        <w:tc>
          <w:tcPr>
            <w:tcW w:type="dxa" w:w="1901"/>
            <w:shd w:fill="F8FAFB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254B63"/>
                <w:sz w:val="16"/>
              </w:rPr>
              <w:t>Calculated forecasts and scenarios</w:t>
            </w:r>
          </w:p>
        </w:tc>
        <w:tc>
          <w:tcPr>
            <w:tcW w:type="dxa" w:w="3139"/>
            <w:shd w:fill="F8FAFB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Calculated from the CLEMD reference and the synthetic inputs above.</w:t>
            </w:r>
          </w:p>
        </w:tc>
        <w:tc>
          <w:tcPr>
            <w:tcW w:type="dxa" w:w="4853"/>
            <w:shd w:fill="F8FAFB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Forecasts, alerts, action impacts, carbon totals and investment results are modelled outputs, not verified savings or live predictions. GBI/GITA displays are indicative and do not confirm credits, eligibility or certification.</w:t>
            </w:r>
          </w:p>
        </w:tc>
      </w:tr>
    </w:tbl>
    <w:p>
      <w:pPr>
        <w:spacing w:before="120" w:after="40"/>
      </w:pPr>
      <w:r>
        <w:rPr>
          <w:b/>
          <w:color w:val="1D2D3B"/>
          <w:sz w:val="20"/>
        </w:rPr>
        <w:t>Key assumptions</w:t>
      </w:r>
    </w:p>
    <w:p>
      <w:pPr>
        <w:pStyle w:val="ListBullet"/>
        <w:spacing w:after="20"/>
        <w:ind w:left="259" w:hanging="187"/>
      </w:pPr>
      <w:r>
        <w:t>All six named facilities are fictional profiles derived from the same CLEMD source curve, with NEXORA schedule and calibration multipliers; they are not independent Malaysian building measurements.</w:t>
      </w:r>
    </w:p>
    <w:p>
      <w:pPr>
        <w:pStyle w:val="ListBullet"/>
        <w:spacing w:after="20"/>
        <w:ind w:left="259" w:hanging="187"/>
      </w:pPr>
      <w:r>
        <w:t>Missing measured hours remain missing. The historical source is from 2023; next-day and scenario forecasts are not current weather-aware forecasts.</w:t>
      </w:r>
    </w:p>
    <w:p>
      <w:pPr>
        <w:pStyle w:val="ListBullet"/>
        <w:spacing w:after="20"/>
        <w:ind w:left="259" w:hanging="187"/>
      </w:pPr>
      <w:r>
        <w:t>Tariffs, emissions settings, equipment costs and operating limits are editable assumptions. No physical equipment is controlled, and simulated outcomes are not actual bills, savings or carbon offsets.</w:t>
      </w:r>
    </w:p>
    <w:p>
      <w:pPr>
        <w:spacing w:before="80" w:after="0"/>
      </w:pPr>
      <w:r>
        <w:rPr>
          <w:b/>
          <w:color w:val="1D2D3B"/>
          <w:sz w:val="18"/>
        </w:rPr>
        <w:t>Sources</w:t>
      </w:r>
    </w:p>
    <w:p>
      <w:pPr>
        <w:spacing w:after="0" w:line="228" w:lineRule="auto"/>
        <w:ind w:left="115"/>
      </w:pPr>
      <w:r>
        <w:rPr>
          <w:rFonts w:ascii="Aptos" w:hAnsi="Aptos"/>
          <w:color w:val="4C5B68"/>
          <w:sz w:val="14"/>
        </w:rPr>
        <w:t>[1] Al-Khadher et al. (2024), CLEMD dataset paper, Scientific Data. https://doi.org/10.1038/s41597-024-03433-7</w:t>
      </w:r>
    </w:p>
    <w:p>
      <w:pPr>
        <w:spacing w:after="0" w:line="228" w:lineRule="auto"/>
        <w:ind w:left="115"/>
      </w:pPr>
      <w:r>
        <w:rPr>
          <w:rFonts w:ascii="Aptos" w:hAnsi="Aptos"/>
          <w:color w:val="4C5B68"/>
          <w:sz w:val="14"/>
        </w:rPr>
        <w:t>[2] CLEMD data records used: figshare DOIs 10.6084/m9.figshare.24523555.v1, 24523552.v1, 24523567.v1, 24523564.v1 and 24523561.v1. Data licence: CC BY 4.0, https://creativecommons.org/licenses/by/4.0/</w:t>
      </w:r>
    </w:p>
    <w:p>
      <w:pPr>
        <w:spacing w:after="0" w:line="228" w:lineRule="auto"/>
        <w:ind w:left="115"/>
      </w:pPr>
      <w:r>
        <w:rPr>
          <w:rFonts w:ascii="Aptos" w:hAnsi="Aptos"/>
          <w:color w:val="4C5B68"/>
          <w:sz w:val="14"/>
        </w:rPr>
        <w:t>[3] Energy Commission of Malaysia, Grid Emission Factor in Malaysia 2022-2024 (Provisional). https://myenergystats.st.gov.my/documents/d/guest/grid-emission-factor-gef-in-malaysia-2022-2024-provisional-</w:t>
      </w:r>
    </w:p>
    <w:p>
      <w:pPr>
        <w:spacing w:after="0" w:line="228" w:lineRule="auto"/>
        <w:ind w:left="115"/>
      </w:pPr>
      <w:r>
        <w:rPr>
          <w:rFonts w:ascii="Aptos" w:hAnsi="Aptos"/>
          <w:color w:val="4C5B68"/>
          <w:sz w:val="14"/>
        </w:rPr>
        <w:t>Prototype reference indicators: MGTC GITA information, https://www.mgtc.gov.my/services/green-investment-tax-allowance-gita/ ; GBI NRNC Design Reference Guide v1.05, https://www.greenbuildingindex.org/Files/Resources/GBI%20Tools/GBI%20Design%20Reference%20Guide%20-%20Non-Residential%20New%20Construction%20%28NRNC%29%20V1.05.pdf</w:t>
      </w:r>
    </w:p>
    <w:sectPr w:rsidR="00FC693F" w:rsidRPr="0006063C" w:rsidSect="00034616">
      <w:pgSz w:w="12240" w:h="15840"/>
      <w:pgMar w:top="691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color w:val="2C3742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NEXORA Prototype Data Sources</dc:title>
  <dc:subject>One-page hackathon data source and assumptions disclosure</dc:subject>
  <dc:creator>NEXORA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