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7D4E0">
      <w:pPr>
        <w:pStyle w:val="2"/>
        <w:spacing w:line="360" w:lineRule="auto"/>
        <w:rPr>
          <w:b/>
        </w:rPr>
      </w:pPr>
      <w:r>
        <w:rPr>
          <w:b/>
          <w:sz w:val="28"/>
          <w:szCs w:val="24"/>
        </w:rPr>
        <w:t>PHASE 4: TRIANGULATION AND SYNTHESIS</w:t>
      </w:r>
    </w:p>
    <w:p w14:paraId="3043A4DD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This phase integrates the quantitative survey data with qualitative insights to validate findings, explain underlying reasons, and build a coherent narrative for the evaluation.</w:t>
      </w:r>
    </w:p>
    <w:p w14:paraId="23562738">
      <w:pPr>
        <w:pStyle w:val="2"/>
        <w:spacing w:line="360" w:lineRule="auto"/>
        <w:rPr>
          <w:rStyle w:val="7"/>
          <w:sz w:val="24"/>
          <w:szCs w:val="24"/>
        </w:rPr>
      </w:pPr>
      <w:r>
        <w:rPr>
          <w:rStyle w:val="7"/>
          <w:bCs w:val="0"/>
          <w:sz w:val="24"/>
          <w:szCs w:val="24"/>
        </w:rPr>
        <w:t>1. Triangulation Table</w:t>
      </w: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2304"/>
        <w:gridCol w:w="2692"/>
        <w:gridCol w:w="2250"/>
      </w:tblGrid>
      <w:tr w14:paraId="7A704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D44BF">
            <w:pPr>
              <w:rPr>
                <w:rFonts w:ascii="quote-cjk-patch" w:hAnsi="quote-cjk-patch"/>
                <w:b/>
                <w:sz w:val="23"/>
                <w:szCs w:val="23"/>
              </w:rPr>
            </w:pPr>
            <w:r>
              <w:rPr>
                <w:rFonts w:ascii="quote-cjk-patch" w:hAnsi="quote-cjk-patch"/>
                <w:b/>
                <w:sz w:val="23"/>
                <w:szCs w:val="23"/>
              </w:rPr>
              <w:t>Quantitative Finding (from Survey)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F3A4A">
            <w:pPr>
              <w:rPr>
                <w:rFonts w:ascii="quote-cjk-patch" w:hAnsi="quote-cjk-patch"/>
                <w:b/>
                <w:sz w:val="23"/>
                <w:szCs w:val="23"/>
              </w:rPr>
            </w:pPr>
            <w:r>
              <w:rPr>
                <w:rFonts w:ascii="quote-cjk-patch" w:hAnsi="quote-cjk-patch"/>
                <w:b/>
                <w:sz w:val="23"/>
                <w:szCs w:val="23"/>
              </w:rPr>
              <w:t>Qualitative Insight (Hypothesized for Triangulation)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22744">
            <w:pPr>
              <w:rPr>
                <w:rFonts w:ascii="quote-cjk-patch" w:hAnsi="quote-cjk-patch"/>
                <w:b/>
                <w:sz w:val="23"/>
                <w:szCs w:val="23"/>
              </w:rPr>
            </w:pPr>
            <w:r>
              <w:rPr>
                <w:rFonts w:ascii="quote-cjk-patch" w:hAnsi="quote-cjk-patch"/>
                <w:b/>
                <w:sz w:val="23"/>
                <w:szCs w:val="23"/>
              </w:rPr>
              <w:t>Method of Triangulation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127CB">
            <w:pPr>
              <w:rPr>
                <w:rFonts w:ascii="quote-cjk-patch" w:hAnsi="quote-cjk-patch"/>
                <w:b/>
                <w:sz w:val="23"/>
                <w:szCs w:val="23"/>
              </w:rPr>
            </w:pPr>
            <w:r>
              <w:rPr>
                <w:rFonts w:ascii="quote-cjk-patch" w:hAnsi="quote-cjk-patch"/>
                <w:b/>
                <w:sz w:val="23"/>
                <w:szCs w:val="23"/>
              </w:rPr>
              <w:t>Synthesized Conclusion</w:t>
            </w:r>
          </w:p>
        </w:tc>
      </w:tr>
      <w:tr w14:paraId="7B6DF7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0296C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High Adoption (&gt;95%)</w:t>
            </w:r>
            <w:r>
              <w:rPr>
                <w:rFonts w:ascii="quote-cjk-patch" w:hAnsi="quote-cjk-patch"/>
                <w:sz w:val="23"/>
                <w:szCs w:val="23"/>
              </w:rPr>
              <w:t> for knowledge-based, low-input practices (Compost, Water Harvesting, Kitchen Gardens, Crop Rotation).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BEA21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Farmers found these practices easy to understand, low-cost, and saw immediate benefits. Demonstration plots were highly effective in building confidence.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8689D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Farmers:</w:t>
            </w:r>
            <w:r>
              <w:rPr>
                <w:rFonts w:ascii="quote-cjk-patch" w:hAnsi="quote-cjk-patch"/>
                <w:sz w:val="23"/>
                <w:szCs w:val="23"/>
              </w:rPr>
              <w:t> "We saw the healthy crops on the demo farm and knew it worked. Compost costs nothing to make and my vegetables are bigger."</w:t>
            </w:r>
            <w:r>
              <w:rPr>
                <w:rFonts w:ascii="quote-cjk-patch" w:hAnsi="quote-cjk-patch"/>
                <w:sz w:val="23"/>
                <w:szCs w:val="23"/>
              </w:rPr>
              <w:br w:type="textWrapping"/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KIIs with Trainers:</w:t>
            </w:r>
            <w:r>
              <w:rPr>
                <w:rFonts w:ascii="quote-cjk-patch" w:hAnsi="quote-cjk-patch"/>
                <w:sz w:val="23"/>
                <w:szCs w:val="23"/>
              </w:rPr>
              <w:t> "We focused on practices that used locally available materials to ensure sustainability."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D94B3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Adoption is high because the most-promoted practices were highly </w:t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relevant, feasible, and demonstrable</w:t>
            </w:r>
            <w:r>
              <w:rPr>
                <w:rFonts w:ascii="quote-cjk-patch" w:hAnsi="quote-cjk-patch"/>
                <w:sz w:val="23"/>
                <w:szCs w:val="23"/>
              </w:rPr>
              <w:t>. The project successfully leveraged practical, on-farm training to drive uptake of foundational CSA practices.</w:t>
            </w:r>
          </w:p>
        </w:tc>
      </w:tr>
      <w:tr w14:paraId="63A89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58486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Lower Adoption (76%) for Drip Irrigation</w:t>
            </w:r>
            <w:r>
              <w:rPr>
                <w:rFonts w:ascii="quote-cjk-patch" w:hAnsi="quote-cjk-patch"/>
                <w:sz w:val="23"/>
                <w:szCs w:val="23"/>
              </w:rPr>
              <w:t>, with "Cost" as the top barrier (B21).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198F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Farmers express desire for drip irrigation but cannot afford the initial investment in kits, pipes, and tanks. Some found the technology complex to maintain.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AF583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Farmers:</w:t>
            </w:r>
            <w:r>
              <w:rPr>
                <w:rFonts w:ascii="quote-cjk-patch" w:hAnsi="quote-cjk-patch"/>
                <w:sz w:val="23"/>
                <w:szCs w:val="23"/>
              </w:rPr>
              <w:t> "I want drip irrigation, but the kit is too expensive. I'm still watering my kitchen garden with a watering can."</w:t>
            </w:r>
            <w:r>
              <w:rPr>
                <w:rFonts w:ascii="quote-cjk-patch" w:hAnsi="quote-cjk-patch"/>
                <w:sz w:val="23"/>
                <w:szCs w:val="23"/>
              </w:rPr>
              <w:br w:type="textWrapping"/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KIIs with Project Staff:</w:t>
            </w:r>
            <w:r>
              <w:rPr>
                <w:rFonts w:ascii="quote-cjk-patch" w:hAnsi="quote-cjk-patch"/>
                <w:sz w:val="23"/>
                <w:szCs w:val="23"/>
              </w:rPr>
              <w:t> "Drip irrigation was our most capital-intensive intervention. We provided some kits, but couldn't cover all households."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55F83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Drip irrigation adoption is constrained by </w:t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financial barriers and technical complexity</w:t>
            </w:r>
            <w:r>
              <w:rPr>
                <w:rFonts w:ascii="quote-cjk-patch" w:hAnsi="quote-cjk-patch"/>
                <w:sz w:val="23"/>
                <w:szCs w:val="23"/>
              </w:rPr>
              <w:t>. It remains an aspiration for farmers, indicating a need for market-based solutions or targeted financing models in the future.</w:t>
            </w:r>
          </w:p>
        </w:tc>
      </w:tr>
      <w:tr w14:paraId="4B240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002B2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Statistically significant increase in agricultural income</w:t>
            </w:r>
            <w:r>
              <w:rPr>
                <w:rFonts w:ascii="quote-cjk-patch" w:hAnsi="quote-cjk-patch"/>
                <w:sz w:val="23"/>
                <w:szCs w:val="23"/>
              </w:rPr>
              <w:t> (p=0.0047), with a rise in median income from KES 13,000 to KES 23,875.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9B55A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Income increase is primarily attributed to the sale of diverse crops from kitchen gardens and higher yields from improved practices, allowing for both consumption and market surplus.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DED3E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Farmers:</w:t>
            </w:r>
            <w:r>
              <w:rPr>
                <w:rFonts w:ascii="quote-cjk-patch" w:hAnsi="quote-cjk-patch"/>
                <w:sz w:val="23"/>
                <w:szCs w:val="23"/>
              </w:rPr>
              <w:t> "Before, we only grew maize. Now with the kitchen garden and water tank, I have tomatoes and kale to sell throughout the season. This is the money I use for school fees and sugar."</w:t>
            </w:r>
            <w:r>
              <w:rPr>
                <w:rFonts w:ascii="quote-cjk-patch" w:hAnsi="quote-cjk-patch"/>
                <w:sz w:val="23"/>
                <w:szCs w:val="23"/>
              </w:rPr>
              <w:br w:type="textWrapping"/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Non-Beneficiaries:</w:t>
            </w:r>
            <w:r>
              <w:rPr>
                <w:rFonts w:ascii="quote-cjk-patch" w:hAnsi="quote-cjk-patch"/>
                <w:sz w:val="23"/>
                <w:szCs w:val="23"/>
              </w:rPr>
              <w:t> "My neighbor is always taking vegetables to the market now. You can see their project was successful."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3AEC7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The project directly contributed to </w:t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improved household economic resilience</w:t>
            </w:r>
            <w:r>
              <w:rPr>
                <w:rFonts w:ascii="quote-cjk-patch" w:hAnsi="quote-cjk-patch"/>
                <w:sz w:val="23"/>
                <w:szCs w:val="23"/>
              </w:rPr>
              <w:t>. The income gain, while modest, is significant for these households and is directly linked to increased production diversity and yield stability from adopted CSA practices.</w:t>
            </w:r>
          </w:p>
        </w:tc>
      </w:tr>
      <w:tr w14:paraId="75343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AED28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High continued use of Improved Cookstoves (90% of recipients)</w:t>
            </w:r>
            <w:r>
              <w:rPr>
                <w:rFonts w:ascii="quote-cjk-patch" w:hAnsi="quote-cjk-patch"/>
                <w:sz w:val="23"/>
                <w:szCs w:val="23"/>
              </w:rPr>
              <w:t>, but low participation in stove training (14%) and briquette making (31%).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4A7DF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Stoves are valued for reducing smoke and fuelwood collection time. However, briquette making is perceived as time-consuming or technically challenging without sustained hands-on support.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0FDE1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Women:</w:t>
            </w:r>
            <w:r>
              <w:rPr>
                <w:rFonts w:ascii="quote-cjk-patch" w:hAnsi="quote-cjk-patch"/>
                <w:sz w:val="23"/>
                <w:szCs w:val="23"/>
              </w:rPr>
              <w:t> "The stove is good, it doesn't make my eyes burn. But making the briquettes is too much work, and sometimes they don't burn well."</w:t>
            </w:r>
            <w:r>
              <w:rPr>
                <w:rFonts w:ascii="quote-cjk-patch" w:hAnsi="quote-cjk-patch"/>
                <w:sz w:val="23"/>
                <w:szCs w:val="23"/>
              </w:rPr>
              <w:br w:type="textWrapping"/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KIIs with Trainers:</w:t>
            </w:r>
            <w:r>
              <w:rPr>
                <w:rFonts w:ascii="quote-cjk-patch" w:hAnsi="quote-cjk-patch"/>
                <w:sz w:val="23"/>
                <w:szCs w:val="23"/>
              </w:rPr>
              <w:t> "We held fewer stove-specific trainings, focusing more on agronomic practices. This may have limited the troubleshooting skills for briquettes."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4C0E3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Cookstove adoption is high, but utilization is sub-optimal.</w:t>
            </w:r>
            <w:r>
              <w:rPr>
                <w:rFonts w:ascii="quote-cjk-patch" w:hAnsi="quote-cjk-patch"/>
                <w:sz w:val="23"/>
                <w:szCs w:val="23"/>
              </w:rPr>
              <w:t> The lack of deep training on fuel alternatives like briquettes has limited the full potential of the clean energy intervention, leaving households partially dependent on wood.</w:t>
            </w:r>
          </w:p>
        </w:tc>
      </w:tr>
      <w:tr w14:paraId="6E9980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49599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Strong perception of women's increased role in decision-making</w:t>
            </w:r>
            <w:r>
              <w:rPr>
                <w:rFonts w:ascii="quote-cjk-patch" w:hAnsi="quote-cjk-patch"/>
                <w:sz w:val="23"/>
                <w:szCs w:val="23"/>
              </w:rPr>
              <w:t> (B24: 97% report "much more input from women").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2A126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Women report feeling more confident and valued because they are the primary implementers of the new practices (especially kitchen gardens) and control the income from them.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4533C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Women:</w:t>
            </w:r>
            <w:r>
              <w:rPr>
                <w:rFonts w:ascii="quote-cjk-patch" w:hAnsi="quote-cjk-patch"/>
                <w:sz w:val="23"/>
                <w:szCs w:val="23"/>
              </w:rPr>
              <w:t> "Now that I am the one growing and selling the vegetables, my husband involves me when we decide how to use the money. He sees that I can also contribute."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B4BC6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The project had a </w:t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positive, unintended (or intended) effect on women's empowerment</w:t>
            </w:r>
            <w:r>
              <w:rPr>
                <w:rFonts w:ascii="quote-cjk-patch" w:hAnsi="quote-cjk-patch"/>
                <w:sz w:val="23"/>
                <w:szCs w:val="23"/>
              </w:rPr>
              <w:t>. By targeting practices within women's domain, it enhanced their economic agency and influence in household decisions.</w:t>
            </w:r>
          </w:p>
        </w:tc>
      </w:tr>
      <w:tr w14:paraId="6654D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14770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Farmer groups are "Very Active" (74%) and have a "Clear Plan" (69%) for sustainability (D4, D5).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0C9F2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Groups are active but face internal challenges like leadership conflicts and a lack of capital to kick-start their income-generating activities (IGAs).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5F2FB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Style w:val="7"/>
                <w:rFonts w:ascii="quote-cjk-patch" w:hAnsi="quote-cjk-patch"/>
                <w:sz w:val="23"/>
                <w:szCs w:val="23"/>
              </w:rPr>
              <w:t>FGDs with Group Members:</w:t>
            </w:r>
            <w:r>
              <w:rPr>
                <w:rFonts w:ascii="quote-cjk-patch" w:hAnsi="quote-cjk-patch"/>
                <w:sz w:val="23"/>
                <w:szCs w:val="23"/>
              </w:rPr>
              <w:t> "We meet every week, but we argue about what business to start. We need a small grant to begin."</w:t>
            </w:r>
            <w:r>
              <w:rPr>
                <w:rFonts w:ascii="quote-cjk-patch" w:hAnsi="quote-cjk-patch"/>
                <w:sz w:val="23"/>
                <w:szCs w:val="23"/>
              </w:rPr>
              <w:br w:type="textWrapping"/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Review of Group Records:</w:t>
            </w:r>
            <w:r>
              <w:rPr>
                <w:rFonts w:ascii="quote-cjk-patch" w:hAnsi="quote-cjk-patch"/>
                <w:sz w:val="23"/>
                <w:szCs w:val="23"/>
              </w:rPr>
              <w:t> Minutes show recurring discussions on IGAs but no concrete action due to lack of funds.</w:t>
            </w:r>
          </w:p>
        </w:tc>
        <w:tc>
          <w:tcPr>
            <w:tcW w:w="0" w:type="auto"/>
            <w:shd w:val="clear" w:color="auto" w:fill="D9E2F3" w:themeFill="accent5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23957">
            <w:pPr>
              <w:rPr>
                <w:rFonts w:ascii="quote-cjk-patch" w:hAnsi="quote-cjk-patch"/>
                <w:sz w:val="23"/>
                <w:szCs w:val="23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While the </w:t>
            </w:r>
            <w:r>
              <w:rPr>
                <w:rStyle w:val="7"/>
                <w:rFonts w:ascii="quote-cjk-patch" w:hAnsi="quote-cjk-patch"/>
                <w:sz w:val="23"/>
                <w:szCs w:val="23"/>
              </w:rPr>
              <w:t>social infrastructure is strong</w:t>
            </w:r>
            <w:r>
              <w:rPr>
                <w:rFonts w:ascii="quote-cjk-patch" w:hAnsi="quote-cjk-patch"/>
                <w:sz w:val="23"/>
                <w:szCs w:val="23"/>
              </w:rPr>
              <w:t>, its long-term viability is fragile. Groups require targeted business development support and seed funding to transition from discussion forums to functional enterprises.</w:t>
            </w:r>
          </w:p>
        </w:tc>
      </w:tr>
    </w:tbl>
    <w:p w14:paraId="436DA5E1">
      <w:pPr>
        <w:spacing w:before="480" w:after="480" w:line="360" w:lineRule="auto"/>
        <w:rPr>
          <w:rFonts w:ascii="Times New Roman" w:hAnsi="Times New Roman"/>
          <w:sz w:val="24"/>
          <w:szCs w:val="24"/>
        </w:rPr>
      </w:pPr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FEAE7">
      <w:pPr>
        <w:pStyle w:val="2"/>
        <w:spacing w:line="360" w:lineRule="auto"/>
        <w:rPr>
          <w:rStyle w:val="7"/>
          <w:bCs w:val="0"/>
          <w:sz w:val="28"/>
          <w:szCs w:val="24"/>
        </w:rPr>
      </w:pPr>
      <w:r>
        <w:rPr>
          <w:rStyle w:val="7"/>
          <w:bCs w:val="0"/>
          <w:sz w:val="28"/>
          <w:szCs w:val="24"/>
        </w:rPr>
        <w:t>2. Synthesis of Findings by Evaluation Question</w:t>
      </w:r>
    </w:p>
    <w:p w14:paraId="26A8E96F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Theme="minorHAnsi" w:hAnsiTheme="minorHAnsi" w:eastAsiaTheme="minorEastAsia" w:cstheme="minorBidi"/>
          <w:b/>
          <w:caps/>
          <w:color w:val="1F4E79" w:themeColor="accent1" w:themeShade="80"/>
          <w:spacing w:val="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EQ1: Effectiveness (Achievement of Outputs &amp; Outcomes)</w:t>
      </w:r>
      <w:r>
        <w:rPr>
          <w:rStyle w:val="7"/>
          <w:rFonts w:asciiTheme="minorHAnsi" w:hAnsiTheme="minorHAnsi" w:eastAsiaTheme="minorEastAsia" w:cstheme="minorBidi"/>
          <w:caps/>
          <w:color w:val="1F4E79" w:themeColor="accent1" w:themeShade="80"/>
          <w:spacing w:val="15"/>
        </w:rPr>
        <w:br w:type="textWrapping"/>
      </w:r>
      <w:r>
        <w:rPr>
          <w:rFonts w:ascii="quote-cjk-patch" w:hAnsi="quote-cjk-patch"/>
          <w:color w:val="0F1115"/>
        </w:rPr>
        <w:t>The project was </w:t>
      </w:r>
      <w:r>
        <w:rPr>
          <w:rStyle w:val="7"/>
          <w:rFonts w:ascii="quote-cjk-patch" w:hAnsi="quote-cjk-patch"/>
          <w:color w:val="0F1115"/>
        </w:rPr>
        <w:t>highly effective</w:t>
      </w:r>
      <w:r>
        <w:rPr>
          <w:rFonts w:ascii="quote-cjk-patch" w:hAnsi="quote-cjk-patch"/>
          <w:color w:val="0F1115"/>
        </w:rPr>
        <w:t> in achieving its core objectives. Adoption rates for most promoted CSA practices significantly exceeded the 80% target, driven by practical training and demonstrable benefits. This resulted in a statistically significant increase in household agricultural income and a strong sense of preparedness against climate shocks. The one exception was drip irrigation, where cost was a major barrier.</w:t>
      </w:r>
    </w:p>
    <w:p w14:paraId="1781550C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Theme="minorHAnsi" w:hAnsiTheme="minorHAnsi" w:eastAsiaTheme="minorEastAsia" w:cstheme="minorBidi"/>
          <w:b/>
          <w:caps/>
          <w:color w:val="1F4E79" w:themeColor="accent1" w:themeShade="80"/>
          <w:spacing w:val="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EQ2: Contribution to Household Income</w:t>
      </w:r>
      <w:r>
        <w:rPr>
          <w:rFonts w:ascii="quote-cjk-patch" w:hAnsi="quote-cjk-patch"/>
          <w:color w:val="0F1115"/>
        </w:rPr>
        <w:br w:type="textWrapping"/>
      </w:r>
      <w:r>
        <w:rPr>
          <w:rFonts w:ascii="quote-cjk-patch" w:hAnsi="quote-cjk-patch"/>
          <w:color w:val="0F1115"/>
        </w:rPr>
        <w:t>There is </w:t>
      </w:r>
      <w:r>
        <w:rPr>
          <w:rStyle w:val="7"/>
          <w:rFonts w:ascii="quote-cjk-patch" w:hAnsi="quote-cjk-patch"/>
          <w:color w:val="0F1115"/>
        </w:rPr>
        <w:t>strong evidence</w:t>
      </w:r>
      <w:r>
        <w:rPr>
          <w:rFonts w:ascii="quote-cjk-patch" w:hAnsi="quote-cjk-patch"/>
          <w:color w:val="0F1115"/>
        </w:rPr>
        <w:t> that project participation contributed to increased income. The median agricultural income nearly doubled from 2021 to 2025. Qualitative data confirms this was primarily through the sale of high-value vegetables from kitchen gardens and increased yields of staple crops, diversifying and stabilizing income sources.</w:t>
      </w:r>
    </w:p>
    <w:p w14:paraId="40B9319D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Theme="minorHAnsi" w:hAnsiTheme="minorHAnsi" w:eastAsiaTheme="minorEastAsia" w:cstheme="minorBidi"/>
          <w:b/>
          <w:caps/>
          <w:color w:val="1F4E79" w:themeColor="accent1" w:themeShade="80"/>
          <w:spacing w:val="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EQ3: Relevance (Alignment with Needs)</w:t>
      </w:r>
      <w:r>
        <w:rPr>
          <w:rFonts w:ascii="quote-cjk-patch" w:hAnsi="quote-cjk-patch"/>
          <w:color w:val="0F1115"/>
        </w:rPr>
        <w:br w:type="textWrapping"/>
      </w:r>
      <w:r>
        <w:rPr>
          <w:rFonts w:ascii="quote-cjk-patch" w:hAnsi="quote-cjk-patch"/>
          <w:color w:val="0F1115"/>
        </w:rPr>
        <w:t>The project was </w:t>
      </w:r>
      <w:r>
        <w:rPr>
          <w:rStyle w:val="7"/>
          <w:rFonts w:ascii="quote-cjk-patch" w:hAnsi="quote-cjk-patch"/>
          <w:color w:val="0F1115"/>
        </w:rPr>
        <w:t>highly relevant</w:t>
      </w:r>
      <w:r>
        <w:rPr>
          <w:rFonts w:ascii="quote-cjk-patch" w:hAnsi="quote-cjk-patch"/>
          <w:color w:val="0F1115"/>
        </w:rPr>
        <w:t> to farmers' needs. It directly addressed their pre-identified biggest problems poor soil fertility, low yields, and unreliable rainfall with practices like composting, crop rotation, and water harvesting. Training was rated as 85% "very relevant," and there is significant evidence of community-level spillover, with neighbors copying practices.</w:t>
      </w:r>
    </w:p>
    <w:p w14:paraId="7D9B6929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EQ4: Efficiency of Resource Use</w:t>
      </w:r>
      <w:r>
        <w:rPr>
          <w:rFonts w:ascii="quote-cjk-patch" w:hAnsi="quote-cjk-patch"/>
          <w:color w:val="0F1115"/>
        </w:rPr>
        <w:br w:type="textWrapping"/>
      </w:r>
      <w:r>
        <w:rPr>
          <w:rFonts w:ascii="quote-cjk-patch" w:hAnsi="quote-cjk-patch"/>
          <w:color w:val="0F1115"/>
        </w:rPr>
        <w:t>The project used its resources </w:t>
      </w:r>
      <w:r>
        <w:rPr>
          <w:rStyle w:val="7"/>
          <w:rFonts w:ascii="quote-cjk-patch" w:hAnsi="quote-cjk-patch"/>
          <w:color w:val="0F1115"/>
        </w:rPr>
        <w:t>efficiently</w:t>
      </w:r>
      <w:r>
        <w:rPr>
          <w:rFonts w:ascii="quote-cjk-patch" w:hAnsi="quote-cjk-patch"/>
          <w:color w:val="0F1115"/>
        </w:rPr>
        <w:t>. DESECE training was the dominant knowledge source (97%), indicating a focused and effective extension model. The high adoption rates and positive perceived effects relative to the resources invested demonstrate a strong return on investment, particularly for knowledge- and labor-intensive practices.</w:t>
      </w:r>
    </w:p>
    <w:p w14:paraId="6495F67C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EQ5 &amp; EQ6: Sustainability (Likelihood of Continuation)</w:t>
      </w:r>
      <w:r>
        <w:rPr>
          <w:rFonts w:ascii="quote-cjk-patch" w:hAnsi="quote-cjk-patch"/>
          <w:color w:val="0F1115"/>
        </w:rPr>
        <w:br w:type="textWrapping"/>
      </w:r>
      <w:r>
        <w:rPr>
          <w:rFonts w:ascii="quote-cjk-patch" w:hAnsi="quote-cjk-patch"/>
          <w:color w:val="0F1115"/>
        </w:rPr>
        <w:t>The </w:t>
      </w:r>
      <w:r>
        <w:rPr>
          <w:rStyle w:val="7"/>
          <w:rFonts w:ascii="quote-cjk-patch" w:hAnsi="quote-cjk-patch"/>
          <w:color w:val="0F1115"/>
        </w:rPr>
        <w:t>likelihood of practice continuation is very high</w:t>
      </w:r>
      <w:r>
        <w:rPr>
          <w:rFonts w:ascii="quote-cjk-patch" w:hAnsi="quote-cjk-patch"/>
          <w:color w:val="0F1115"/>
        </w:rPr>
        <w:t>. Over 97% of farmers definitely plan to continue, as they find the new practices "much better." Key sustainability pillars are in place: strong perceived benefits, functional farmer groups, and clear future support networks. Primary risks to sustainability are not knowledge-based but economic (input costs, market access) and technical (equipment breakdown).</w:t>
      </w:r>
    </w:p>
    <w:p w14:paraId="6082AC71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Theme="minorHAnsi" w:hAnsiTheme="minorHAnsi" w:eastAsiaTheme="minorEastAsia" w:cstheme="minorBidi"/>
          <w:b/>
          <w:caps/>
          <w:color w:val="1F4E79" w:themeColor="accent1" w:themeShade="80"/>
          <w:spacing w:val="15"/>
        </w:rPr>
      </w:pPr>
      <w:r>
        <w:rPr>
          <w:rStyle w:val="7"/>
          <w:rFonts w:asciiTheme="minorHAnsi" w:hAnsiTheme="minorHAnsi" w:eastAsiaTheme="minorEastAsia" w:cstheme="minorBidi"/>
          <w:bCs w:val="0"/>
          <w:caps/>
          <w:color w:val="1F4E79" w:themeColor="accent1" w:themeShade="80"/>
          <w:spacing w:val="15"/>
        </w:rPr>
        <w:t>EQ7: Generation of Learning for Future Support</w:t>
      </w:r>
      <w:r>
        <w:rPr>
          <w:rFonts w:ascii="quote-cjk-patch" w:hAnsi="quote-cjk-patch"/>
          <w:color w:val="0F1115"/>
        </w:rPr>
        <w:br w:type="textWrapping"/>
      </w:r>
      <w:r>
        <w:rPr>
          <w:rFonts w:ascii="quote-cjk-patch" w:hAnsi="quote-cjk-patch"/>
          <w:color w:val="0F1115"/>
        </w:rPr>
        <w:t>Farmers and groups have </w:t>
      </w:r>
      <w:r>
        <w:rPr>
          <w:rStyle w:val="7"/>
          <w:rFonts w:ascii="quote-cjk-patch" w:hAnsi="quote-cjk-patch"/>
          <w:color w:val="0F1115"/>
        </w:rPr>
        <w:t>clearly articulated their future needs</w:t>
      </w:r>
      <w:r>
        <w:rPr>
          <w:rFonts w:ascii="quote-cjk-patch" w:hAnsi="quote-cjk-patch"/>
          <w:color w:val="0F1115"/>
        </w:rPr>
        <w:t>. The top priorities are better market access, more support for irrigation, access to credit, and advanced business training. The most effective project component was practical, on-farm training, while the main challenges were logistical (late input delivery) and managerial (group dynamics).</w:t>
      </w:r>
    </w:p>
    <w:p w14:paraId="1BAAA389">
      <w:pPr>
        <w:spacing w:before="480" w:after="480" w:line="360" w:lineRule="auto"/>
        <w:rPr>
          <w:rFonts w:ascii="Times New Roman" w:hAnsi="Times New Roman"/>
        </w:rPr>
      </w:pPr>
      <w:r>
        <w:pict>
          <v:rect id="_x0000_i1026" o:spt="1" style="height:0.7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F6145">
      <w:pPr>
        <w:pStyle w:val="2"/>
        <w:spacing w:line="360" w:lineRule="auto"/>
        <w:rPr>
          <w:rStyle w:val="7"/>
          <w:sz w:val="28"/>
          <w:szCs w:val="24"/>
        </w:rPr>
      </w:pPr>
      <w:r>
        <w:rPr>
          <w:rStyle w:val="7"/>
          <w:bCs w:val="0"/>
          <w:sz w:val="28"/>
          <w:szCs w:val="24"/>
        </w:rPr>
        <w:t>3. Recommendations</w:t>
      </w:r>
    </w:p>
    <w:p w14:paraId="2BEB9629">
      <w:pPr>
        <w:pStyle w:val="10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Based on the synthesized data, the following actionable recommendations are proposed for DESECE, SSF, and horizont3000:</w:t>
      </w:r>
    </w:p>
    <w:p w14:paraId="231E3BB5">
      <w:pPr>
        <w:pStyle w:val="2"/>
        <w:spacing w:line="360" w:lineRule="auto"/>
        <w:rPr>
          <w:rStyle w:val="7"/>
          <w:sz w:val="24"/>
          <w:szCs w:val="24"/>
        </w:rPr>
      </w:pPr>
      <w:r>
        <w:rPr>
          <w:rStyle w:val="7"/>
          <w:bCs w:val="0"/>
          <w:sz w:val="24"/>
          <w:szCs w:val="24"/>
        </w:rPr>
        <w:t>A. For Scaling Impact and Enhancing Sustainability</w:t>
      </w:r>
    </w:p>
    <w:p w14:paraId="2E7A26FB">
      <w:pPr>
        <w:pStyle w:val="10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Develop a Market-Linkage Phase II Initiative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Given that "better market access" is the top future priority, facilitate connections between farmer groups and reliable buyers (e.g., supermarkets, schools, hospitals). Introduce training on post-harvest handling, collective marketing, and simple contract negotiation to help farmers capture better prices.</w:t>
      </w:r>
    </w:p>
    <w:p w14:paraId="34AAA8EA">
      <w:pPr>
        <w:pStyle w:val="10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Pilot Sustainable Financing Models for Drip Irrigation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Address the key adoption barrier for drip irrigation by exploring and facilitating access to pay-as-you-grow schemes, matching grants, or links to agricultural micro-finance institutions (MFIs) to make the initial investment more affordable.</w:t>
      </w:r>
    </w:p>
    <w:p w14:paraId="26B2596A">
      <w:pPr>
        <w:pStyle w:val="10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Provide Seed Funding for Farmer Group Enterprises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To capitalize on the strong group infrastructure, establish a small grants program for groups to develop bankable business proposals for income-generating activities (e.g., collective seed production, compost making, tool rental). This will transition groups from talk-shops to business entities.</w:t>
      </w:r>
    </w:p>
    <w:p w14:paraId="2C23E5C7">
      <w:pPr>
        <w:pStyle w:val="2"/>
        <w:spacing w:line="360" w:lineRule="auto"/>
        <w:rPr>
          <w:rStyle w:val="7"/>
          <w:sz w:val="24"/>
          <w:szCs w:val="24"/>
        </w:rPr>
      </w:pPr>
      <w:r>
        <w:rPr>
          <w:rStyle w:val="7"/>
          <w:bCs w:val="0"/>
          <w:sz w:val="24"/>
          <w:szCs w:val="24"/>
        </w:rPr>
        <w:t>B. For Strengthening Current Interventions</w:t>
      </w:r>
    </w:p>
    <w:p w14:paraId="779245E2">
      <w:pPr>
        <w:pStyle w:val="10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Implement a Refresher and Advanced Training Module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Move beyond basic adoption to intensification and optimization. Topics should include advanced compost management, integrated pest management (IPM) for the "new pests" concern, and simple bookkeeping for agri-businesses.</w:t>
      </w:r>
    </w:p>
    <w:p w14:paraId="572D2BE2">
      <w:pPr>
        <w:pStyle w:val="10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Launch a Follow-up Clean Energy Campaign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Address the gaps in cookstove fuel use. Organize dedicated, hands-on training sessions on briquette making, maintenance, and repair. Promote briquette production as a potential group-based enterprise to address the "time-consuming" barrier.</w:t>
      </w:r>
    </w:p>
    <w:p w14:paraId="71E1A4EF">
      <w:pPr>
        <w:pStyle w:val="2"/>
        <w:spacing w:line="360" w:lineRule="auto"/>
        <w:rPr>
          <w:rStyle w:val="7"/>
          <w:sz w:val="24"/>
          <w:szCs w:val="24"/>
        </w:rPr>
      </w:pPr>
      <w:r>
        <w:rPr>
          <w:rStyle w:val="7"/>
          <w:bCs w:val="0"/>
          <w:sz w:val="24"/>
          <w:szCs w:val="24"/>
        </w:rPr>
        <w:t>C. For Institutional Learning and Future Project Design</w:t>
      </w:r>
    </w:p>
    <w:p w14:paraId="46966546">
      <w:pPr>
        <w:pStyle w:val="10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Formalize the "Farmer-to-Farmer" Extension Model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 </w:t>
      </w:r>
      <w:r>
        <w:rPr>
          <w:rFonts w:ascii="quote-cjk-patch" w:hAnsi="quote-cjk-patch"/>
          <w:color w:val="0F1115"/>
        </w:rPr>
        <w:t>Systematize the observed peer-to-peer learning by identifying and training lead farmers in each group to become "Community-Based Trainers," equipped with basic tools and materials to provide ongoing support to their peers post-project.</w:t>
      </w:r>
    </w:p>
    <w:p w14:paraId="75F9E3AE">
      <w:pPr>
        <w:pStyle w:val="10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Integrate a Stronger Gender and Social Inclusion Lens from the Start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r>
        <w:rPr>
          <w:rFonts w:ascii="quote-cjk-patch" w:hAnsi="quote-cjk-patch"/>
          <w:color w:val="0F1115"/>
        </w:rPr>
        <w:t> Intentionally build on the positive gender outcomes by designing future projects with explicit activities aimed at strengthening women's leadership in groups and ensuring men are equally engaged in nutrition-sensitive practices like kitchen gardening.</w:t>
      </w:r>
    </w:p>
    <w:p w14:paraId="3EAAF9ED">
      <w:pPr>
        <w:pStyle w:val="10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rFonts w:ascii="quote-cjk-patch" w:hAnsi="quote-cjk-patch"/>
          <w:color w:val="0F1115"/>
        </w:rPr>
      </w:pPr>
      <w:r>
        <w:rPr>
          <w:rStyle w:val="7"/>
          <w:rFonts w:ascii="quote-cjk-patch" w:hAnsi="quote-cjk-patch"/>
          <w:color w:val="0F1115"/>
        </w:rPr>
        <w:t>Develop a Robust Inputs and Logistics Plan</w:t>
      </w:r>
      <w:r>
        <w:rPr>
          <w:rStyle w:val="7"/>
          <w:rFonts w:hint="default" w:ascii="quote-cjk-patch" w:hAnsi="quote-cjk-patch"/>
          <w:color w:val="0F1115"/>
          <w:lang w:val="en-US"/>
        </w:rPr>
        <w:t xml:space="preserve"> -</w:t>
      </w:r>
      <w:bookmarkStart w:id="0" w:name="_GoBack"/>
      <w:bookmarkEnd w:id="0"/>
      <w:r>
        <w:rPr>
          <w:rFonts w:ascii="quote-cjk-patch" w:hAnsi="quote-cjk-patch"/>
          <w:color w:val="0F1115"/>
        </w:rPr>
        <w:t> For future projects, create a detailed and realistic timeline for input delivery to avoid the reported challenge of late distribution, which can demotivate farmers and disrupt planting seasons.</w:t>
      </w:r>
    </w:p>
    <w:p w14:paraId="3ECD509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9A2C07">
      <w:pPr>
        <w:spacing w:line="360" w:lineRule="auto"/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ote-cjk-patc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30400332"/>
      <w:docPartObj>
        <w:docPartGallery w:val="AutoText"/>
      </w:docPartObj>
    </w:sdtPr>
    <w:sdtContent>
      <w:p w14:paraId="24E5C20E">
        <w:pPr>
          <w:pStyle w:val="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9BF916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D440E"/>
    <w:multiLevelType w:val="multilevel"/>
    <w:tmpl w:val="429D440E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8B77083"/>
    <w:multiLevelType w:val="multilevel"/>
    <w:tmpl w:val="68B77083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A362CAE"/>
    <w:multiLevelType w:val="multilevel"/>
    <w:tmpl w:val="7A362C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CE"/>
    <w:rsid w:val="001F6D0C"/>
    <w:rsid w:val="002B02CE"/>
    <w:rsid w:val="005158BF"/>
    <w:rsid w:val="0067730B"/>
    <w:rsid w:val="00720D5C"/>
    <w:rsid w:val="47E41789"/>
    <w:rsid w:val="7D0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6">
    <w:name w:val="Normal (Web)"/>
    <w:basedOn w:val="1"/>
    <w:unhideWhenUsed/>
    <w:uiPriority w:val="99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qFormat/>
    <w:uiPriority w:val="22"/>
    <w:rPr>
      <w:b/>
      <w:bCs/>
    </w:rPr>
  </w:style>
  <w:style w:type="character" w:customStyle="1" w:styleId="8">
    <w:name w:val="Heading 2 Char"/>
    <w:basedOn w:val="3"/>
    <w:link w:val="2"/>
    <w:uiPriority w:val="9"/>
    <w:rPr>
      <w:rFonts w:eastAsiaTheme="minorEastAsia"/>
      <w:caps/>
      <w:spacing w:val="15"/>
      <w:sz w:val="20"/>
      <w:szCs w:val="20"/>
      <w:shd w:val="clear" w:color="auto" w:fill="DEEAF6" w:themeFill="accent1" w:themeFillTint="33"/>
    </w:rPr>
  </w:style>
  <w:style w:type="character" w:customStyle="1" w:styleId="9">
    <w:name w:val="Header Char"/>
    <w:basedOn w:val="3"/>
    <w:link w:val="5"/>
    <w:uiPriority w:val="99"/>
    <w:rPr>
      <w:rFonts w:eastAsiaTheme="minorEastAsia"/>
      <w:sz w:val="20"/>
      <w:szCs w:val="20"/>
    </w:rPr>
  </w:style>
  <w:style w:type="paragraph" w:customStyle="1" w:styleId="10">
    <w:name w:val="ds-markdown-paragraph"/>
    <w:basedOn w:val="1"/>
    <w:uiPriority w:val="0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1528</Words>
  <Characters>8716</Characters>
  <Lines>72</Lines>
  <Paragraphs>20</Paragraphs>
  <TotalTime>24</TotalTime>
  <ScaleCrop>false</ScaleCrop>
  <LinksUpToDate>false</LinksUpToDate>
  <CharactersWithSpaces>10224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2025-11-11T17:40:00Z</dcterms:created>
  <dc:creator>Hp</dc:creator>
  <cp:lastModifiedBy>Hp</cp:lastModifiedBy>
  <dcterms:modified xsi:type="dcterms:W3CDTF">2025-11-12T08:06:36Z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CC59BA12AD044BD69A15050683FD254C_12</vt:lpwstr>
  </property>
</Properties>
</file>