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4DC22">
      <w:pPr>
        <w:pStyle w:val="6"/>
        <w:keepNext w:val="0"/>
        <w:keepLines w:val="0"/>
        <w:widowControl/>
        <w:suppressLineNumbers w:val="0"/>
        <w:spacing w:line="360" w:lineRule="auto"/>
        <w:jc w:val="center"/>
        <w:rPr>
          <w:b/>
          <w:bCs/>
        </w:rPr>
      </w:pPr>
      <w:r>
        <w:rPr>
          <w:b/>
          <w:bCs/>
        </w:rPr>
        <w:t>Test Analysis</w:t>
      </w:r>
    </w:p>
    <w:p w14:paraId="2CB23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2A5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4BB4D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Were Vincent O</w:t>
      </w:r>
    </w:p>
    <w:p w14:paraId="35C98B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56252D91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scores and various percentages for each of the students</w:t>
      </w:r>
    </w:p>
    <w:p w14:paraId="1BBEE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>
          <v:shape id="_x0000_i1025" o:spt="75" type="#_x0000_t75" style="height:87.6pt;width:271.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5">
            <o:LockedField>false</o:LockedField>
          </o:OLEObject>
        </w:object>
      </w:r>
    </w:p>
    <w:p w14:paraId="3916EB8B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Frequency distribution and normal distribution</w:t>
      </w:r>
    </w:p>
    <w:p w14:paraId="4D1B2C0C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 xml:space="preserve">Frequency distribution </w:t>
      </w:r>
    </w:p>
    <w:p w14:paraId="6AED1F46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-</w:t>
      </w:r>
      <w:r>
        <w:t>The frequency distribution of the total points out of 19 for the exam is as follows</w:t>
      </w:r>
    </w:p>
    <w:p w14:paraId="38DE803D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object>
          <v:shape id="_x0000_i1026" o:spt="75" type="#_x0000_t75" style="height:66.75pt;width:205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xcel.Sheet.12" ShapeID="_x0000_i1026" DrawAspect="Content" ObjectID="_1468075726" r:id="rId7">
            <o:LockedField>false</o:LockedField>
          </o:OLEObject>
        </w:object>
      </w:r>
    </w:p>
    <w:p w14:paraId="494BC42F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</w:pPr>
      <w:r>
        <w:t>This table shows the distribution of students’ scores, indicating that most students scored around 15 points.</w:t>
      </w:r>
    </w:p>
    <w:p w14:paraId="7E34C73C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</w:rPr>
        <w:t>N</w:t>
      </w: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>ormal distribution</w:t>
      </w:r>
    </w:p>
    <w:p w14:paraId="78DC3DB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</w:pPr>
      <w:r>
        <w:t>Mean Score: 15.75</w:t>
      </w:r>
    </w:p>
    <w:p w14:paraId="21FF40B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</w:pPr>
      <w:r>
        <w:t>Standard Deviation: 0.829</w:t>
      </w:r>
    </w:p>
    <w:p w14:paraId="2D9BD46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63695" cy="2646045"/>
            <wp:effectExtent l="0" t="0" r="8255" b="0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64611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</w:pPr>
      <w:r>
        <w:t xml:space="preserve">With a mean of </w:t>
      </w:r>
      <w:r>
        <w:rPr>
          <w:i/>
          <w:iCs/>
        </w:rPr>
        <w:t xml:space="preserve">15.75 </w:t>
      </w:r>
      <w:r>
        <w:t xml:space="preserve">and a standard deviation of </w:t>
      </w:r>
      <w:r>
        <w:rPr>
          <w:i/>
          <w:iCs/>
        </w:rPr>
        <w:t>0.829,</w:t>
      </w:r>
      <w:r>
        <w:t xml:space="preserve"> we can infer that the scores are tightly clustered around the mean, indicating relatively low variance.</w:t>
      </w:r>
    </w:p>
    <w:p w14:paraId="7869117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ascii="Times New Roman" w:hAnsi="Times New Roman" w:eastAsia="SimSun" w:cs="Times New Roman"/>
          <w:b/>
          <w:bCs/>
        </w:rPr>
      </w:pPr>
      <w:r>
        <w:rPr>
          <w:rFonts w:ascii="Times New Roman" w:hAnsi="Times New Roman" w:eastAsia="SimSun" w:cs="Times New Roman"/>
          <w:b/>
          <w:bCs/>
        </w:rPr>
        <w:t xml:space="preserve">Median </w:t>
      </w:r>
    </w:p>
    <w:p w14:paraId="6B8B4985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</w:pPr>
      <w:r>
        <w:t xml:space="preserve">Median Score: </w:t>
      </w:r>
      <w:r>
        <w:rPr>
          <w:b/>
          <w:bCs/>
          <w:i/>
          <w:iCs/>
        </w:rPr>
        <w:t>15.5</w:t>
      </w:r>
    </w:p>
    <w:p w14:paraId="1EAE00B9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ascii="Times New Roman" w:hAnsi="Times New Roman" w:eastAsia="SimSun" w:cs="Times New Roman"/>
          <w:b/>
          <w:bCs/>
        </w:rPr>
      </w:pPr>
      <w:r>
        <w:t>This shows that the middle score in the data set is 15.5, aligning closely with the mean, indicating a relatively symmetric distribution of scores</w:t>
      </w:r>
      <w:r>
        <w:rPr>
          <w:rFonts w:hint="default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Adams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&amp; Khoo,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1993)</w:t>
      </w:r>
      <w:r>
        <w:t>.</w:t>
      </w:r>
    </w:p>
    <w:p w14:paraId="3353370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ascii="Times New Roman" w:hAnsi="Times New Roman" w:eastAsia="SimSu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S</w:t>
      </w:r>
      <w:r>
        <w:rPr>
          <w:rFonts w:ascii="Times New Roman" w:hAnsi="Times New Roman" w:eastAsia="SimSun" w:cs="Times New Roman"/>
          <w:b/>
          <w:bCs/>
        </w:rPr>
        <w:t>tandard deviation</w:t>
      </w:r>
    </w:p>
    <w:p w14:paraId="7212E1D5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jc w:val="both"/>
      </w:pPr>
      <w:r>
        <w:t xml:space="preserve">Standard Deviation: </w:t>
      </w:r>
      <w:r>
        <w:rPr>
          <w:b/>
          <w:bCs/>
          <w:i/>
          <w:iCs/>
        </w:rPr>
        <w:t>0.82915619758885.</w:t>
      </w:r>
      <w:r>
        <w:t xml:space="preserve"> The standard deviation of 0.83 indicates that the scores of the students vary by approximately 0.83 points from the mean, suggesting relatively low variability in the exam results</w:t>
      </w:r>
      <w:r>
        <w:rPr>
          <w:rFonts w:hint="default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Oermann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et al, 2024)</w:t>
      </w:r>
      <w:r>
        <w:t>.</w:t>
      </w:r>
    </w:p>
    <w:p w14:paraId="2379FD52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Central Tendency</w:t>
      </w:r>
    </w:p>
    <w:p w14:paraId="3991655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object>
          <v:shape id="_x0000_i1027" o:spt="75" type="#_x0000_t75" style="height:158.25pt;width:166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xcel.Sheet.12" ShapeID="_x0000_i1027" DrawAspect="Content" ObjectID="_1468075727" r:id="rId10">
            <o:LockedField>false</o:LockedField>
          </o:OLEObject>
        </w:object>
      </w:r>
    </w:p>
    <w:p w14:paraId="2922C451">
      <w:pPr>
        <w:pStyle w:val="6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ascii="Times New Roman" w:hAnsi="Times New Roman" w:eastAsia="SimSun" w:cs="Times New Roman"/>
        </w:rPr>
        <w:t>Normal distribution as evidenced by mean and median having close values (Bastable, 2019, p. 227).</w:t>
      </w:r>
    </w:p>
    <w:p w14:paraId="4AF501EC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P level calculation</w:t>
      </w:r>
    </w:p>
    <w:p w14:paraId="30CEAAEB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</w:pPr>
      <w:r>
        <w:t>Based on your provided data, the number of correct responses for each question can be computed from the responses of four students.</w:t>
      </w:r>
    </w:p>
    <w:p w14:paraId="35922D4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object>
          <v:shape id="_x0000_i1028" o:spt="75" type="#_x0000_t75" style="height:309pt;width:34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xcel.Sheet.12" ShapeID="_x0000_i1028" DrawAspect="Content" ObjectID="_1468075728" r:id="rId12">
            <o:LockedField>false</o:LockedField>
          </o:OLEObject>
        </w:object>
      </w:r>
    </w:p>
    <w:p w14:paraId="5D1A1127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jc w:val="both"/>
      </w:pPr>
      <w:r>
        <w:t>Desirable p-values</w:t>
      </w:r>
      <w:r>
        <w:rPr>
          <w:rFonts w:hint="default"/>
          <w:lang w:val="en-US"/>
        </w:rPr>
        <w:t>-</w:t>
      </w:r>
      <w:r>
        <w:t xml:space="preserve"> According to Bastable (2019), ideal p-values range from 0.30 to 0.70.</w:t>
      </w:r>
      <w:r>
        <w:rPr>
          <w:rFonts w:hint="default"/>
          <w:lang w:val="en-US"/>
        </w:rPr>
        <w:t xml:space="preserve"> </w:t>
      </w:r>
      <w:r>
        <w:t>The majority of the questions fall outside this range, with most being either too easy (p = 1.00) or too difficult (p = 0.00).</w:t>
      </w:r>
    </w:p>
    <w:p w14:paraId="58BDB73A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</w:pPr>
      <w:r>
        <w:t>T-Statistic: 1.5667</w:t>
      </w:r>
    </w:p>
    <w:p w14:paraId="7B5AEBC1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</w:pPr>
      <w:r>
        <w:t>P-Value: 0.2152</w:t>
      </w:r>
    </w:p>
    <w:p w14:paraId="16AC4D72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</w:pPr>
      <w:r>
        <w:t>With a P-value of 0.2152, we cannot reject the null hypothesis, suggesting there is no significant difference in this set of scores from what would be expected under normal circumstances</w:t>
      </w:r>
      <w:r>
        <w:rPr>
          <w:rFonts w:hint="default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Horne,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1995).</w:t>
      </w:r>
    </w:p>
    <w:p w14:paraId="4715315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Discrimination index</w:t>
      </w:r>
    </w:p>
    <w:p w14:paraId="23D1A979">
      <w:pPr>
        <w:pStyle w:val="6"/>
        <w:keepNext w:val="0"/>
        <w:keepLines w:val="0"/>
        <w:widowControl/>
        <w:suppressLineNumbers w:val="0"/>
        <w:spacing w:line="360" w:lineRule="auto"/>
      </w:pPr>
      <w:r>
        <w:object>
          <v:shape id="_x0000_i1029" o:spt="75" type="#_x0000_t75" style="height:316.5pt;width:25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xcel.Sheet.12" ShapeID="_x0000_i1029" DrawAspect="Content" ObjectID="_1468075729" r:id="rId14">
            <o:LockedField>false</o:LockedField>
          </o:OLEObject>
        </w:object>
      </w:r>
    </w:p>
    <w:p w14:paraId="67F8A544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jc w:val="both"/>
      </w:pPr>
      <w:r>
        <w:t>This table provides the discrimination index for each test item based on the performance of the upper and lower group of students. Values close to +0.20 and above indicate good discriminative power of the items</w:t>
      </w:r>
      <w:r>
        <w:rPr>
          <w:rFonts w:hint="default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Matlock-Hetzel,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1997)</w:t>
      </w:r>
      <w:r>
        <w:t>.</w:t>
      </w:r>
    </w:p>
    <w:p w14:paraId="767D432E">
      <w:pPr>
        <w:pStyle w:val="6"/>
        <w:keepNext w:val="0"/>
        <w:keepLines w:val="0"/>
        <w:widowControl/>
        <w:suppressLineNumbers w:val="0"/>
        <w:spacing w:line="360" w:lineRule="auto"/>
        <w:rPr>
          <w:b/>
          <w:bCs/>
        </w:rPr>
      </w:pPr>
      <w:r>
        <w:rPr>
          <w:rFonts w:hint="default"/>
          <w:b/>
          <w:bCs/>
          <w:lang w:val="en-US"/>
        </w:rPr>
        <w:t>K</w:t>
      </w:r>
      <w:r>
        <w:rPr>
          <w:b/>
          <w:bCs/>
        </w:rPr>
        <w:t>ey Observations</w:t>
      </w:r>
    </w:p>
    <w:p w14:paraId="70A27BA9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</w:pPr>
      <w:r>
        <w:t>Questions with valid discrimination indices show how well they distinguish between high and low scorers.</w:t>
      </w:r>
    </w:p>
    <w:p w14:paraId="0AF3D83D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</w:pPr>
      <w:r>
        <w:t>A negative index (-0.17) may indicate that students with lower total scores answered the question correctly more often, suggesting potential issues with question clarity or content</w:t>
      </w:r>
      <w:r>
        <w:rPr>
          <w:rFonts w:hint="default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Oermann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et al, 2024)</w:t>
      </w:r>
      <w:r>
        <w:t>.</w:t>
      </w:r>
    </w:p>
    <w:p w14:paraId="3BDFD34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</w:pPr>
      <w:r>
        <w:t>NaN values could arise due to incomplete data or if the question did not have enough variance in responses.</w:t>
      </w:r>
    </w:p>
    <w:p w14:paraId="4CAA4E4E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Mapping Exam Items to Learning Objectives</w:t>
      </w:r>
    </w:p>
    <w:p w14:paraId="6CFCB7A0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 map a 20-item exam to learning objectives, Bloom’s taxonomy, and NCLEX categories, we will follow a structured approach:</w:t>
      </w:r>
    </w:p>
    <w:p w14:paraId="1D04316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  <w:rPr>
          <w:b/>
          <w:bCs/>
          <w:i/>
          <w:iCs/>
        </w:rPr>
      </w:pPr>
      <w:r>
        <w:rPr>
          <w:b/>
          <w:bCs/>
          <w:i/>
          <w:iCs/>
        </w:rPr>
        <w:t>Step 1: Map Exam Items to Learning Objectives</w:t>
      </w:r>
    </w:p>
    <w:p w14:paraId="3F8996A5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jc w:val="both"/>
      </w:pPr>
      <w:r>
        <w:t>Each question is designed to assess a specific learning objective in the context of nursing education. We align each question with key learning goals, such as understanding pathophysiology, clinical decision-making, or patient education</w:t>
      </w:r>
      <w:r>
        <w:rPr>
          <w:rFonts w:hint="default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Moxley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et al, 2017)</w:t>
      </w:r>
      <w:r>
        <w:t>.</w:t>
      </w:r>
    </w:p>
    <w:p w14:paraId="718F86BE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  <w:jc w:val="left"/>
        <w:rPr>
          <w:rFonts w:ascii="Times New Roman" w:hAnsi="Times New Roman" w:eastAsia="SimSun" w:cs="Times New Roman"/>
          <w:b/>
          <w:bCs/>
          <w:i/>
          <w:iCs/>
        </w:rPr>
      </w:pPr>
      <w:r>
        <w:rPr>
          <w:rFonts w:ascii="Times New Roman" w:hAnsi="Times New Roman" w:eastAsia="SimSun" w:cs="Times New Roman"/>
          <w:b/>
          <w:bCs/>
          <w:i/>
          <w:iCs/>
        </w:rPr>
        <w:t>Step 2: Align Questions with Bloom's Taxonomy</w:t>
      </w:r>
    </w:p>
    <w:p w14:paraId="363267FE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/>
          <w:lang w:val="en-US"/>
        </w:rPr>
      </w:pPr>
      <w:r>
        <w:t>Bloom's taxonomy classifies learning objectives by cognitive complexity, ranging from simple recall to more complex analytical skills. We'll categorize questions using the following levels</w:t>
      </w:r>
      <w:r>
        <w:rPr>
          <w:rFonts w:hint="default"/>
          <w:lang w:val="en-US"/>
        </w:rPr>
        <w:t>;</w:t>
      </w:r>
    </w:p>
    <w:p w14:paraId="1B059A7F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</w:pPr>
      <w:r>
        <w:t>Remembering</w:t>
      </w:r>
      <w:r>
        <w:rPr>
          <w:rFonts w:hint="default"/>
          <w:lang w:val="en-US"/>
        </w:rPr>
        <w:t>-</w:t>
      </w:r>
      <w:r>
        <w:t xml:space="preserve"> Recall facts and basic concepts.</w:t>
      </w:r>
    </w:p>
    <w:p w14:paraId="1EDDC5A3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</w:pPr>
      <w:r>
        <w:t>Understanding</w:t>
      </w:r>
      <w:r>
        <w:rPr>
          <w:rFonts w:hint="default"/>
          <w:lang w:val="en-US"/>
        </w:rPr>
        <w:t>-</w:t>
      </w:r>
      <w:r>
        <w:t xml:space="preserve"> Explain ideas or concepts.</w:t>
      </w:r>
    </w:p>
    <w:p w14:paraId="70B46899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</w:pPr>
      <w:r>
        <w:t>Applying</w:t>
      </w:r>
      <w:r>
        <w:rPr>
          <w:rFonts w:hint="default"/>
          <w:lang w:val="en-US"/>
        </w:rPr>
        <w:t>-</w:t>
      </w:r>
      <w:r>
        <w:t xml:space="preserve"> Use information in new situations.</w:t>
      </w:r>
    </w:p>
    <w:p w14:paraId="64068E37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</w:pPr>
      <w:r>
        <w:t>Analyzing</w:t>
      </w:r>
      <w:r>
        <w:rPr>
          <w:rFonts w:hint="default"/>
          <w:lang w:val="en-US"/>
        </w:rPr>
        <w:t>-</w:t>
      </w:r>
      <w:r>
        <w:t xml:space="preserve"> Draw connections among ideas.</w:t>
      </w:r>
    </w:p>
    <w:p w14:paraId="0F31C717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</w:pPr>
      <w:r>
        <w:t>Evaluating</w:t>
      </w:r>
      <w:r>
        <w:rPr>
          <w:rFonts w:hint="default"/>
          <w:lang w:val="en-US"/>
        </w:rPr>
        <w:t>-</w:t>
      </w:r>
      <w:r>
        <w:t xml:space="preserve"> Justify a decision.</w:t>
      </w:r>
    </w:p>
    <w:p w14:paraId="313A5A0C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</w:pPr>
      <w:r>
        <w:t>Creating</w:t>
      </w:r>
      <w:r>
        <w:rPr>
          <w:rFonts w:hint="default"/>
          <w:lang w:val="en-US"/>
        </w:rPr>
        <w:t>-</w:t>
      </w:r>
      <w:r>
        <w:t xml:space="preserve"> Produce new or original work.</w:t>
      </w:r>
    </w:p>
    <w:p w14:paraId="6B4A6389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  <w:jc w:val="left"/>
        <w:rPr>
          <w:rFonts w:ascii="Times New Roman" w:hAnsi="Times New Roman" w:eastAsia="SimSun" w:cs="Times New Roman"/>
          <w:b/>
          <w:bCs/>
          <w:i/>
          <w:iCs/>
        </w:rPr>
      </w:pPr>
      <w:r>
        <w:rPr>
          <w:rFonts w:ascii="Times New Roman" w:hAnsi="Times New Roman" w:eastAsia="SimSun" w:cs="Times New Roman"/>
          <w:b/>
          <w:bCs/>
          <w:i/>
          <w:iCs/>
        </w:rPr>
        <w:t>Step 3: Map to NCLEX Categories</w:t>
      </w:r>
    </w:p>
    <w:p w14:paraId="196031E6">
      <w:pPr>
        <w:pStyle w:val="6"/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/>
          <w:lang w:val="en-US"/>
        </w:rPr>
      </w:pPr>
      <w:r>
        <w:t>The NCLEX-RN exam is organized by categories that reflect areas of nursing practice. These categories include</w:t>
      </w:r>
      <w:r>
        <w:rPr>
          <w:rFonts w:hint="default"/>
          <w:lang w:val="en-US"/>
        </w:rPr>
        <w:t xml:space="preserve"> the following;</w:t>
      </w:r>
    </w:p>
    <w:p w14:paraId="532237F3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Management of Care</w:t>
      </w:r>
    </w:p>
    <w:p w14:paraId="39E1FD90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Safety and Infection Control</w:t>
      </w:r>
    </w:p>
    <w:p w14:paraId="253A5D1B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Health Promotion and Maintenance</w:t>
      </w:r>
    </w:p>
    <w:p w14:paraId="77F6FBB6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Psychosocial Integrity</w:t>
      </w:r>
    </w:p>
    <w:p w14:paraId="6420FAF6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Basic Care and Comfort</w:t>
      </w:r>
    </w:p>
    <w:p w14:paraId="6C588D62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Pharmacological and Parenteral Therapies</w:t>
      </w:r>
    </w:p>
    <w:p w14:paraId="23C31B25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Reduction of Risk Potential</w:t>
      </w:r>
    </w:p>
    <w:p w14:paraId="3E3D704B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</w:pPr>
      <w:r>
        <w:t>Physiological Adaptation</w:t>
      </w:r>
    </w:p>
    <w:p w14:paraId="3202FE7D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Table: Mapping Questions to Learning Objectives, Bloom’s Taxonomy, and NCLEX Categories</w:t>
      </w:r>
    </w:p>
    <w:p w14:paraId="32F1D8BC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</w:rPr>
        <w:object>
          <v:shape id="_x0000_i1030" o:spt="75" type="#_x0000_t75" style="height:273.7pt;width:495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xcel.Sheet.12" ShapeID="_x0000_i1030" DrawAspect="Content" ObjectID="_1468075730" r:id="rId16">
            <o:LockedField>false</o:LockedField>
          </o:OLEObject>
        </w:object>
      </w:r>
      <w:r>
        <w:rPr>
          <w:rFonts w:hint="default"/>
          <w:b/>
          <w:bCs/>
          <w:i/>
          <w:iCs/>
          <w:lang w:val="en-US"/>
        </w:rPr>
        <w:t>DOUBLE CLICK TO VIEW TABLE</w:t>
      </w:r>
    </w:p>
    <w:p w14:paraId="651F1704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0" w:leftChars="0" w:hanging="420" w:firstLineChars="0"/>
        <w:rPr>
          <w:b/>
          <w:bCs/>
        </w:rPr>
      </w:pPr>
      <w:r>
        <w:rPr>
          <w:b/>
          <w:bCs/>
        </w:rPr>
        <w:t>Sample Exam Questions with Rationale</w:t>
      </w:r>
    </w:p>
    <w:p w14:paraId="7B2D23C2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both"/>
      </w:pPr>
      <w:r>
        <w:rPr>
          <w:b/>
          <w:bCs/>
          <w:i/>
          <w:iCs/>
        </w:rPr>
        <w:t>Question 1</w:t>
      </w:r>
      <w:r>
        <w:rPr>
          <w:rFonts w:hint="default"/>
          <w:b/>
          <w:bCs/>
          <w:i/>
          <w:iCs/>
          <w:lang w:val="en-US"/>
        </w:rPr>
        <w:t>-</w:t>
      </w:r>
      <w:r>
        <w:t xml:space="preserve"> A patient with Type 2 diabetes presents with chest pain and shortness of breath. Which cardiovascular complication should the nurse monitor for?</w:t>
      </w:r>
    </w:p>
    <w:p w14:paraId="346A528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</w:pPr>
      <w:r>
        <w:rPr>
          <w:i/>
          <w:iCs/>
        </w:rPr>
        <w:t>Rationale</w:t>
      </w:r>
      <w:r>
        <w:rPr>
          <w:rFonts w:hint="default"/>
          <w:i/>
          <w:iCs/>
          <w:lang w:val="en-US"/>
        </w:rPr>
        <w:t>-</w:t>
      </w:r>
      <w:r>
        <w:t xml:space="preserve"> This question assesses the student's ability to identify critical cardiovascular risks, an essential skill in managing diabetic patients. It aligns with the objective of evaluating clinical decision-making skills.</w:t>
      </w:r>
    </w:p>
    <w:p w14:paraId="1B7DF162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both"/>
      </w:pPr>
      <w:r>
        <w:rPr>
          <w:b/>
          <w:bCs/>
          <w:i/>
          <w:iCs/>
        </w:rPr>
        <w:t>Question 2</w:t>
      </w:r>
      <w:r>
        <w:rPr>
          <w:rFonts w:hint="default"/>
          <w:b/>
          <w:bCs/>
          <w:i/>
          <w:iCs/>
          <w:lang w:val="en-US"/>
        </w:rPr>
        <w:t>-</w:t>
      </w:r>
      <w:r>
        <w:t xml:space="preserve"> Multiple-Response: Select all that apply. Which lifestyle modifications should be recommended to reduce cardiovascular risks in a patient with diabetes?</w:t>
      </w:r>
    </w:p>
    <w:p w14:paraId="44C79F0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</w:pPr>
      <w:r>
        <w:rPr>
          <w:i/>
          <w:iCs/>
        </w:rPr>
        <w:t>Rationale</w:t>
      </w:r>
      <w:r>
        <w:rPr>
          <w:rFonts w:hint="default"/>
          <w:i/>
          <w:iCs/>
          <w:lang w:val="en-US"/>
        </w:rPr>
        <w:t>-</w:t>
      </w:r>
      <w:r>
        <w:rPr>
          <w:i/>
          <w:iCs/>
        </w:rPr>
        <w:t xml:space="preserve"> </w:t>
      </w:r>
      <w:r>
        <w:t>This question tests the application of knowledge regarding lifestyle interventions for diabetes management. Students must demonstrate understanding and apply it to clinical situations.</w:t>
      </w:r>
    </w:p>
    <w:p w14:paraId="60CF1671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both"/>
      </w:pPr>
      <w:r>
        <w:rPr>
          <w:b/>
          <w:bCs/>
          <w:i/>
          <w:iCs/>
        </w:rPr>
        <w:t>Question 3</w:t>
      </w:r>
      <w:r>
        <w:rPr>
          <w:rFonts w:hint="default"/>
          <w:b/>
          <w:bCs/>
          <w:i/>
          <w:iCs/>
          <w:lang w:val="en-US"/>
        </w:rPr>
        <w:t>-</w:t>
      </w:r>
      <w:r>
        <w:t xml:space="preserve"> When managing a patient with uncontrolled Type 2 diabetes, which cardiovascular complication poses the highest risk?</w:t>
      </w:r>
    </w:p>
    <w:p w14:paraId="1D03877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</w:pPr>
      <w:r>
        <w:rPr>
          <w:i/>
          <w:iCs/>
        </w:rPr>
        <w:t>Rationale</w:t>
      </w:r>
      <w:r>
        <w:rPr>
          <w:rFonts w:hint="default"/>
          <w:i/>
          <w:iCs/>
          <w:lang w:val="en-US"/>
        </w:rPr>
        <w:t>-</w:t>
      </w:r>
      <w:r>
        <w:t xml:space="preserve"> This question evaluates the student's ability to prioritize high-risk complications, ensuring they understand the hierarchy of care in diabetic emergencies.</w:t>
      </w:r>
    </w:p>
    <w:p w14:paraId="156B6EE5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both"/>
      </w:pPr>
      <w:r>
        <w:rPr>
          <w:b/>
          <w:bCs/>
          <w:i/>
          <w:iCs/>
        </w:rPr>
        <w:t>Question 4</w:t>
      </w:r>
      <w:r>
        <w:rPr>
          <w:rFonts w:hint="default"/>
          <w:b/>
          <w:bCs/>
          <w:i/>
          <w:iCs/>
          <w:lang w:val="en-US"/>
        </w:rPr>
        <w:t>-</w:t>
      </w:r>
      <w:r>
        <w:rPr>
          <w:b/>
          <w:bCs/>
          <w:i/>
          <w:iCs/>
        </w:rPr>
        <w:t xml:space="preserve"> </w:t>
      </w:r>
      <w:r>
        <w:t>A diabetic patient with coronary artery disease requires a care plan. Which of the following should be included?</w:t>
      </w:r>
    </w:p>
    <w:p w14:paraId="69DDF50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</w:pPr>
      <w:r>
        <w:rPr>
          <w:i/>
          <w:iCs/>
        </w:rPr>
        <w:t>Rationale</w:t>
      </w:r>
      <w:r>
        <w:rPr>
          <w:rFonts w:hint="default"/>
          <w:i/>
          <w:iCs/>
          <w:lang w:val="en-US"/>
        </w:rPr>
        <w:t>-</w:t>
      </w:r>
      <w:r>
        <w:t xml:space="preserve"> This question requires students to create a comprehensive care plan, testing higher-level cognitive skills like synthesis and application of knowledge.</w:t>
      </w:r>
    </w:p>
    <w:p w14:paraId="348411C9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both"/>
      </w:pPr>
      <w:r>
        <w:rPr>
          <w:b/>
          <w:bCs/>
          <w:i/>
          <w:iCs/>
        </w:rPr>
        <w:t>Question 5</w:t>
      </w:r>
      <w:r>
        <w:rPr>
          <w:rFonts w:hint="default"/>
          <w:b/>
          <w:bCs/>
          <w:i/>
          <w:iCs/>
          <w:lang w:val="en-US"/>
        </w:rPr>
        <w:t>-</w:t>
      </w:r>
      <w:r>
        <w:t xml:space="preserve"> What is the primary difference between Type 1 and Type 2 diabetes regarding cardiovascular risks?</w:t>
      </w:r>
    </w:p>
    <w:p w14:paraId="102C2B5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</w:pPr>
      <w:r>
        <w:rPr>
          <w:i/>
          <w:iCs/>
        </w:rPr>
        <w:t>Rationale</w:t>
      </w:r>
      <w:r>
        <w:rPr>
          <w:rFonts w:hint="default"/>
          <w:i/>
          <w:iCs/>
          <w:lang w:val="en-US"/>
        </w:rPr>
        <w:t>-</w:t>
      </w:r>
      <w:r>
        <w:t xml:space="preserve"> By assessing the student's ability to differentiate between types of diabetes, this question targets understanding and comprehension.</w:t>
      </w:r>
    </w:p>
    <w:p w14:paraId="2FDC3B77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5" w:leftChars="0" w:hanging="425" w:firstLineChars="0"/>
        <w:jc w:val="both"/>
      </w:pPr>
      <w:r>
        <w:rPr>
          <w:b/>
          <w:bCs/>
          <w:i/>
          <w:iCs/>
        </w:rPr>
        <w:t>Question 6</w:t>
      </w:r>
      <w:r>
        <w:rPr>
          <w:rFonts w:hint="default"/>
          <w:b/>
          <w:bCs/>
          <w:i/>
          <w:iCs/>
          <w:lang w:val="en-US"/>
        </w:rPr>
        <w:t>-</w:t>
      </w:r>
      <w:r>
        <w:t xml:space="preserve"> Which pharmacological treatment is typically used to manage cholesterol in diabetic patients to reduce cardiovascular risk?</w:t>
      </w:r>
    </w:p>
    <w:p w14:paraId="64E5EA9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</w:pPr>
      <w:r>
        <w:rPr>
          <w:i/>
          <w:iCs/>
        </w:rPr>
        <w:t>Rationale</w:t>
      </w:r>
      <w:r>
        <w:rPr>
          <w:rFonts w:hint="default"/>
          <w:i/>
          <w:iCs/>
          <w:lang w:val="en-US"/>
        </w:rPr>
        <w:t>-</w:t>
      </w:r>
      <w:r>
        <w:t xml:space="preserve"> This question tests the student’s recall of common pharmacological interventions, a foundational aspect of diabetic care.</w:t>
      </w:r>
    </w:p>
    <w:p w14:paraId="70D978FA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b/>
          <w:bCs/>
          <w:i/>
          <w:iCs/>
        </w:rPr>
      </w:pPr>
    </w:p>
    <w:p w14:paraId="71EC77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69B23468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References</w:t>
      </w:r>
    </w:p>
    <w:p w14:paraId="65889DF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hanging="480" w:hanging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Adams, R. J., &amp; Khoo, S. T. (1993). Quest: The interactive test analysis system.</w:t>
      </w:r>
    </w:p>
    <w:p w14:paraId="07C6CC5C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hanging="480" w:hanging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Horne, R. N. (1995). Modern well test analysis.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Petroway Inc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926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987.</w:t>
      </w:r>
    </w:p>
    <w:p w14:paraId="43AE94C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hanging="480" w:hanging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Oermann, M. H., Gaberson, K. B., &amp; De Gagne, J. C. (2024).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Evaluation and testing in nursing education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Springer Publishing Company.</w:t>
      </w:r>
    </w:p>
    <w:p w14:paraId="7F3CEEE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hanging="480" w:hanging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Matlock-Hetzel, S. (1997). Basic Concepts in Item and Test Analysis.</w:t>
      </w:r>
    </w:p>
    <w:p w14:paraId="6979A89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hanging="480" w:hanging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Moxley, E., Maturin, L., &amp; Rakstang, K. (2017). NCLEX-RN® success: An integrative lesson plan.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Teaching and Learning in Nursing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(2), 161-164.</w:t>
      </w:r>
    </w:p>
    <w:p w14:paraId="6CA79B8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/>
          <w:b/>
          <w:bCs/>
          <w:lang w:val="en-US"/>
        </w:rPr>
      </w:pPr>
    </w:p>
    <w:p w14:paraId="37FED588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/>
          <w:bCs/>
          <w:lang w:val="en-US"/>
        </w:rPr>
      </w:pPr>
    </w:p>
    <w:p w14:paraId="4F0B4378">
      <w:pPr>
        <w:pStyle w:val="6"/>
        <w:keepNext w:val="0"/>
        <w:keepLines w:val="0"/>
        <w:widowControl/>
        <w:suppressLineNumbers w:val="0"/>
        <w:spacing w:line="360" w:lineRule="auto"/>
      </w:pPr>
    </w:p>
    <w:p w14:paraId="2497D82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1A8F666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</w:rPr>
      </w:pPr>
    </w:p>
    <w:p w14:paraId="694F02CD">
      <w:pPr>
        <w:pStyle w:val="6"/>
        <w:keepNext w:val="0"/>
        <w:keepLines w:val="0"/>
        <w:widowControl/>
        <w:suppressLineNumbers w:val="0"/>
        <w:spacing w:line="360" w:lineRule="auto"/>
      </w:pPr>
    </w:p>
    <w:p w14:paraId="317BA2DB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08F693E6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726006C6">
      <w:pPr>
        <w:spacing w:line="360" w:lineRule="auto"/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840F6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94CC7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94CC7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9964E"/>
    <w:multiLevelType w:val="singleLevel"/>
    <w:tmpl w:val="A36996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58B729"/>
    <w:multiLevelType w:val="singleLevel"/>
    <w:tmpl w:val="A758B7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B04FE2FA"/>
    <w:multiLevelType w:val="singleLevel"/>
    <w:tmpl w:val="B04FE2F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3">
    <w:nsid w:val="B6DE90CE"/>
    <w:multiLevelType w:val="singleLevel"/>
    <w:tmpl w:val="B6DE90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7E84060"/>
    <w:multiLevelType w:val="singleLevel"/>
    <w:tmpl w:val="B7E8406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E0C4DF5"/>
    <w:multiLevelType w:val="singleLevel"/>
    <w:tmpl w:val="BE0C4D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5BFD61B"/>
    <w:multiLevelType w:val="singleLevel"/>
    <w:tmpl w:val="E5BFD61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15BCE51"/>
    <w:multiLevelType w:val="singleLevel"/>
    <w:tmpl w:val="215BCE5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2277F1CF"/>
    <w:multiLevelType w:val="singleLevel"/>
    <w:tmpl w:val="2277F1C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2BF513C"/>
    <w:multiLevelType w:val="singleLevel"/>
    <w:tmpl w:val="22BF513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10">
    <w:nsid w:val="3939EE99"/>
    <w:multiLevelType w:val="singleLevel"/>
    <w:tmpl w:val="3939EE9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C96E48F"/>
    <w:multiLevelType w:val="singleLevel"/>
    <w:tmpl w:val="4C96E48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6734D"/>
    <w:rsid w:val="005E4F29"/>
    <w:rsid w:val="01043138"/>
    <w:rsid w:val="022D17A5"/>
    <w:rsid w:val="02397CB2"/>
    <w:rsid w:val="02632FB4"/>
    <w:rsid w:val="062B6CAE"/>
    <w:rsid w:val="06646A88"/>
    <w:rsid w:val="07BA17B0"/>
    <w:rsid w:val="08A460BD"/>
    <w:rsid w:val="08C52D6F"/>
    <w:rsid w:val="0A54477F"/>
    <w:rsid w:val="0A546CFD"/>
    <w:rsid w:val="0D2A4259"/>
    <w:rsid w:val="115455FC"/>
    <w:rsid w:val="12317569"/>
    <w:rsid w:val="13D8531B"/>
    <w:rsid w:val="1A535F3F"/>
    <w:rsid w:val="1A7C7103"/>
    <w:rsid w:val="1B5B2EEE"/>
    <w:rsid w:val="1C097B8F"/>
    <w:rsid w:val="1D413DDA"/>
    <w:rsid w:val="1DCA3F6C"/>
    <w:rsid w:val="1E83385A"/>
    <w:rsid w:val="1EE03AB4"/>
    <w:rsid w:val="20E13B3C"/>
    <w:rsid w:val="20F14799"/>
    <w:rsid w:val="231C3E29"/>
    <w:rsid w:val="24AF12C8"/>
    <w:rsid w:val="24B1643E"/>
    <w:rsid w:val="251915DE"/>
    <w:rsid w:val="254856B7"/>
    <w:rsid w:val="26795C3D"/>
    <w:rsid w:val="273242DE"/>
    <w:rsid w:val="28AC24C6"/>
    <w:rsid w:val="2B0B32AA"/>
    <w:rsid w:val="2B623CB8"/>
    <w:rsid w:val="2BD30AF4"/>
    <w:rsid w:val="2C01033F"/>
    <w:rsid w:val="2C917C2E"/>
    <w:rsid w:val="2F123144"/>
    <w:rsid w:val="2FDD171B"/>
    <w:rsid w:val="30110AE9"/>
    <w:rsid w:val="30CA159C"/>
    <w:rsid w:val="321A6940"/>
    <w:rsid w:val="3296734D"/>
    <w:rsid w:val="37BE2D84"/>
    <w:rsid w:val="38EA21D0"/>
    <w:rsid w:val="3A1A7360"/>
    <w:rsid w:val="3ABE7E6D"/>
    <w:rsid w:val="3B0D3470"/>
    <w:rsid w:val="3C1D10AF"/>
    <w:rsid w:val="3F382246"/>
    <w:rsid w:val="3FA550A3"/>
    <w:rsid w:val="40356C65"/>
    <w:rsid w:val="405E2028"/>
    <w:rsid w:val="41A213BA"/>
    <w:rsid w:val="41E356A7"/>
    <w:rsid w:val="41FD4053"/>
    <w:rsid w:val="451467E3"/>
    <w:rsid w:val="45660E30"/>
    <w:rsid w:val="45780A86"/>
    <w:rsid w:val="45F922D9"/>
    <w:rsid w:val="45FC6AE1"/>
    <w:rsid w:val="46C277A4"/>
    <w:rsid w:val="4776054C"/>
    <w:rsid w:val="48BB0BE3"/>
    <w:rsid w:val="4A4C61F3"/>
    <w:rsid w:val="4A8D0ADE"/>
    <w:rsid w:val="4BE21410"/>
    <w:rsid w:val="4CC51A03"/>
    <w:rsid w:val="4CEE22E8"/>
    <w:rsid w:val="4DE74FDD"/>
    <w:rsid w:val="4F4971A3"/>
    <w:rsid w:val="50671B79"/>
    <w:rsid w:val="51C82A3A"/>
    <w:rsid w:val="5220694C"/>
    <w:rsid w:val="53EA723C"/>
    <w:rsid w:val="54471B54"/>
    <w:rsid w:val="556C60B3"/>
    <w:rsid w:val="59DA247B"/>
    <w:rsid w:val="5B6D158C"/>
    <w:rsid w:val="5BCE5E90"/>
    <w:rsid w:val="5BE76CD7"/>
    <w:rsid w:val="5D9C1821"/>
    <w:rsid w:val="5ED50624"/>
    <w:rsid w:val="5F6C789E"/>
    <w:rsid w:val="61772657"/>
    <w:rsid w:val="621F230A"/>
    <w:rsid w:val="628345AD"/>
    <w:rsid w:val="644A6117"/>
    <w:rsid w:val="644F5E22"/>
    <w:rsid w:val="65516FAF"/>
    <w:rsid w:val="65FE4864"/>
    <w:rsid w:val="675B47A0"/>
    <w:rsid w:val="69D925B6"/>
    <w:rsid w:val="6A100511"/>
    <w:rsid w:val="6A115F93"/>
    <w:rsid w:val="6B0420A3"/>
    <w:rsid w:val="6B2A0C5E"/>
    <w:rsid w:val="6CAB36D8"/>
    <w:rsid w:val="6F1A57AF"/>
    <w:rsid w:val="6F5A1CBD"/>
    <w:rsid w:val="7000374F"/>
    <w:rsid w:val="72442685"/>
    <w:rsid w:val="72C02163"/>
    <w:rsid w:val="737407F8"/>
    <w:rsid w:val="742915A0"/>
    <w:rsid w:val="7476258E"/>
    <w:rsid w:val="74ED25E3"/>
    <w:rsid w:val="77245A86"/>
    <w:rsid w:val="776E4C01"/>
    <w:rsid w:val="78E57C65"/>
    <w:rsid w:val="79512818"/>
    <w:rsid w:val="79853F6B"/>
    <w:rsid w:val="79FB522F"/>
    <w:rsid w:val="7C01687E"/>
    <w:rsid w:val="7E1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2024-10-01T17:15:00Z</dcterms:created>
  <dc:creator>Were ouma</dc:creator>
  <cp:lastModifiedBy>Were ouma</cp:lastModifiedBy>
  <dcterms:modified xsi:type="dcterms:W3CDTF">2024-10-09T12:15:09Z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F7C53488FC8F40529380A6F88F6244A7_11</vt:lpwstr>
  </property>
</Properties>
</file>