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D400" w14:textId="2AE75665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EDEE58E" w14:textId="77777777" w:rsidR="00980735" w:rsidRPr="00980735" w:rsidRDefault="00980735" w:rsidP="00980735">
      <w:pPr>
        <w:sectPr w:rsidR="00980735" w:rsidRPr="00980735" w:rsidSect="00CE4CB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819657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1505D53" wp14:editId="1237BE41">
                <wp:extent cx="6228000" cy="835305"/>
                <wp:effectExtent l="57150" t="57150" r="20955" b="2222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5EBD99" w14:textId="77777777" w:rsidR="00EC57BD" w:rsidRPr="00EC57BD" w:rsidRDefault="00EC57BD" w:rsidP="00EC57BD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:</w:t>
                            </w:r>
                          </w:p>
                          <w:p w14:paraId="639C542C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L'addition de quantité (ou de colonne)</w:t>
                            </w:r>
                          </w:p>
                          <w:p w14:paraId="7F5601A9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La multiplication de quantité par un nombre non nul</w:t>
                            </w:r>
                          </w:p>
                          <w:p w14:paraId="0512320E" w14:textId="5297387C" w:rsidR="00DA67B2" w:rsidRPr="00EC57BD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05D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5EBD99" w14:textId="77777777" w:rsidR="00EC57BD" w:rsidRPr="00EC57BD" w:rsidRDefault="00EC57BD" w:rsidP="00EC57BD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:</w:t>
                      </w:r>
                    </w:p>
                    <w:p w14:paraId="639C542C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L'addition de quantité (ou de colonne)</w:t>
                      </w:r>
                    </w:p>
                    <w:p w14:paraId="7F5601A9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La multiplication de quantité par un nombre non nul</w:t>
                      </w:r>
                    </w:p>
                    <w:p w14:paraId="0512320E" w14:textId="5297387C" w:rsidR="00DA67B2" w:rsidRPr="00EC57BD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56106B" w14:textId="7B2195D5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527E0C35" w14:textId="75050ED9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12251CB6" w14:textId="274ECE1D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359BB69" w14:textId="7320A0A6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54779C36" w14:textId="17C142F6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0BB0A135" w14:textId="6C329089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30B39069" w14:textId="6ADFC84F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15460049" w14:textId="2614784F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41FEB7B8" w14:textId="3985AA84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34CB3D45" w14:textId="24797B59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73FA6105" w14:textId="26C434BD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768FEAA" w14:textId="2A86E1C3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C58BBC2" w14:textId="3F3DB03B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7EB540E" w14:textId="3C9E8FE4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B635125" w14:textId="7FD2CDC3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 xml:space="preserve">Pour obtenir la quantité d'eau perdu en 9h, on peut ajouter </w:t>
      </w:r>
      <w:r w:rsidR="00CF00B4">
        <w:t>la quantité perdue</w:t>
      </w:r>
      <w:r>
        <w:t xml:space="preserve"> en 2h et 7h (2 + 7 = 9) :  5 + 17,5 = 22,5 L</w:t>
      </w:r>
    </w:p>
    <w:p w14:paraId="5E17963D" w14:textId="25BBC2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68A561CD" w14:textId="46CC4CE4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26AE96A1" w14:textId="24B741DA" w:rsidR="00EC57BD" w:rsidRP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661440" wp14:editId="62C29D22">
                <wp:extent cx="6228000" cy="315925"/>
                <wp:effectExtent l="57150" t="57150" r="20955" b="2730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98BDB" w14:textId="3DB11067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effectuer un passage par l'unité.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61440" id="_x0000_s1027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398BDB" w14:textId="3DB11067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effectuer un passage par l'unité.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B2175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36F55C0" w14:textId="0B33B620" w:rsidR="00EC57BD" w:rsidRDefault="00EC57BD" w:rsidP="00EC57BD">
      <w:pPr>
        <w:spacing w:before="240"/>
      </w:pPr>
      <w:r>
        <w:t xml:space="preserve">Le prix d'une quantité de pomme est proportionnel </w:t>
      </w:r>
      <w:r w:rsidR="00CF00B4">
        <w:t>à</w:t>
      </w:r>
      <w:r>
        <w:t xml:space="preserve">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1AC472CF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1399533" w14:textId="5B91FA00" w:rsidR="00EC57BD" w:rsidRDefault="00B21D8F" w:rsidP="00A75409">
            <w:r>
              <w:rPr>
                <w:b/>
                <w:bCs/>
              </w:rPr>
              <w:t>Masse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kg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691D6F1C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293C7E1C" w14:textId="1C32E06E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10BEB218" w14:textId="27D4987D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1BB89D7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D75375A" w14:textId="29F991B1" w:rsidR="00EC57BD" w:rsidRDefault="00B21D8F" w:rsidP="00A75409">
            <w:r>
              <w:rPr>
                <w:b/>
                <w:bCs/>
              </w:rPr>
              <w:t>Prix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€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14D974D4" w14:textId="6AB52C00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7563A9AD" w14:textId="78EA1093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0B7148B0" w14:textId="548FE8E2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28A8CA3" w14:textId="5DD6180D" w:rsidR="006B4D08" w:rsidRDefault="00EC57BD" w:rsidP="00064B98">
      <w:pPr>
        <w:spacing w:before="240"/>
      </w:pPr>
      <w:r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29B0C4DE" w14:textId="2BDA4F9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D7D479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CDE608" wp14:editId="76F878F4">
                <wp:extent cx="6228000" cy="550012"/>
                <wp:effectExtent l="57150" t="57150" r="20955" b="2159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5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061717" w14:textId="4ADD1D78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calculer le coefficient de proportionnalité.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DE608" id="_x0000_s1028" type="#_x0000_t202" style="width:490.4pt;height: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061717" w14:textId="4ADD1D78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calculer le coefficient de proportionnalité.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3F77B1" w14:textId="77777777" w:rsidR="001C36B8" w:rsidRDefault="001C36B8" w:rsidP="00064B98">
      <w:pPr>
        <w:spacing w:before="240"/>
        <w:rPr>
          <w:b/>
          <w:bCs/>
          <w:sz w:val="24"/>
          <w:szCs w:val="24"/>
        </w:rPr>
      </w:pPr>
    </w:p>
    <w:p w14:paraId="7B9AC4EA" w14:textId="77777777" w:rsidR="001C36B8" w:rsidRDefault="001C36B8" w:rsidP="00064B98">
      <w:pPr>
        <w:spacing w:before="240"/>
        <w:rPr>
          <w:b/>
          <w:bCs/>
          <w:sz w:val="24"/>
          <w:szCs w:val="24"/>
        </w:rPr>
      </w:pPr>
    </w:p>
    <w:p w14:paraId="4A3189D5" w14:textId="55DF8915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lastRenderedPageBreak/>
        <w:t>Exemple :</w:t>
      </w:r>
    </w:p>
    <w:p w14:paraId="69819FF2" w14:textId="6AF84433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59B79575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CE1F283" w14:textId="4A1282FB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73215F22" w14:textId="4C4F70AD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24B897F" w14:textId="5B034059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08C77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2ED8849" w14:textId="745004F6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1D92501C" w14:textId="43AFECFA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1117F1C1" w14:textId="0F6458AA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79659711" w14:textId="71DD5874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0D58C660" w14:textId="081A7078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1BF0195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236157" wp14:editId="489F0085">
                <wp:extent cx="6228000" cy="615849"/>
                <wp:effectExtent l="57150" t="57150" r="20955" b="1333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1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A96A05" w14:textId="77777777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la règle de trois.</w:t>
                            </w:r>
                          </w:p>
                          <w:p w14:paraId="70497586" w14:textId="7B5505A0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« On multiplie la diagonale et on divise par la troisième valeur. 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36157" id="_x0000_s1029" type="#_x0000_t202" style="width:490.4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A96A05" w14:textId="77777777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la règle de trois.</w:t>
                      </w:r>
                    </w:p>
                    <w:p w14:paraId="70497586" w14:textId="7B5505A0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« On multiplie la diagonale et on divise par la troisième valeur. 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C6727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6BFE1B95" w14:textId="30664E58" w:rsidR="00064B98" w:rsidRDefault="00064B98" w:rsidP="00064B98">
      <w:pPr>
        <w:spacing w:before="240"/>
      </w:pPr>
      <w:r>
        <w:t xml:space="preserve">Les ingrédients </w:t>
      </w:r>
      <w:r w:rsidR="00CF00B4">
        <w:t>d’une recette</w:t>
      </w:r>
      <w:r>
        <w:t xml:space="preserve"> sont proportionnels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4A0C393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E7509DC" w14:textId="0B756936" w:rsidR="00064B98" w:rsidRDefault="00064B98" w:rsidP="00A75409">
            <w:r>
              <w:rPr>
                <w:b/>
                <w:bCs/>
              </w:rPr>
              <w:t>Farine (g)</w:t>
            </w:r>
          </w:p>
        </w:tc>
        <w:tc>
          <w:tcPr>
            <w:tcW w:w="1736" w:type="dxa"/>
            <w:vAlign w:val="center"/>
          </w:tcPr>
          <w:p w14:paraId="3B07F199" w14:textId="62F126CB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3ACC48A8" w14:textId="7E298A60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413664A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1FBA0D6" w14:textId="4757D760" w:rsidR="00064B98" w:rsidRDefault="00064B98" w:rsidP="00A75409">
            <w:r>
              <w:rPr>
                <w:b/>
                <w:bCs/>
              </w:rPr>
              <w:t>Sucre (g)</w:t>
            </w:r>
          </w:p>
        </w:tc>
        <w:tc>
          <w:tcPr>
            <w:tcW w:w="1736" w:type="dxa"/>
            <w:vAlign w:val="center"/>
          </w:tcPr>
          <w:p w14:paraId="3D5611E0" w14:textId="2470E85A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29F899F0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5397594B" w14:textId="4FF53352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CE4CB1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AF8E" w14:textId="77777777" w:rsidR="00CE4CB1" w:rsidRDefault="00CE4CB1" w:rsidP="00E13146">
      <w:pPr>
        <w:spacing w:after="0" w:line="240" w:lineRule="auto"/>
      </w:pPr>
      <w:r>
        <w:separator/>
      </w:r>
    </w:p>
  </w:endnote>
  <w:endnote w:type="continuationSeparator" w:id="0">
    <w:p w14:paraId="172A6B08" w14:textId="77777777" w:rsidR="00CE4CB1" w:rsidRDefault="00CE4CB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CCD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1B7B48" wp14:editId="5F55722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A9F2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B7B48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FFA9F2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9B0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099C82" wp14:editId="1BF1806F">
              <wp:simplePos x="0" y="0"/>
              <wp:positionH relativeFrom="rightMargin">
                <wp:posOffset>-258390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989C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99C82" id="_x0000_s1031" style="position:absolute;margin-left:-20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DQmxvT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60D989C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B530" w14:textId="77777777" w:rsidR="00CE4CB1" w:rsidRDefault="00CE4CB1" w:rsidP="00E13146">
      <w:pPr>
        <w:spacing w:after="0" w:line="240" w:lineRule="auto"/>
      </w:pPr>
      <w:r>
        <w:separator/>
      </w:r>
    </w:p>
  </w:footnote>
  <w:footnote w:type="continuationSeparator" w:id="0">
    <w:p w14:paraId="7B141532" w14:textId="77777777" w:rsidR="00CE4CB1" w:rsidRDefault="00CE4CB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B93C4E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5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8364"/>
    </w:tblGrid>
    <w:tr w:rsidR="001C36B8" w:rsidRPr="000507AA" w14:paraId="206BF10F" w14:textId="77777777" w:rsidTr="001C36B8">
      <w:trPr>
        <w:trHeight w:hRule="exact" w:val="642"/>
        <w:jc w:val="center"/>
      </w:trPr>
      <w:tc>
        <w:tcPr>
          <w:tcW w:w="10005" w:type="dxa"/>
          <w:gridSpan w:val="2"/>
          <w:shd w:val="clear" w:color="auto" w:fill="DBE5F1" w:themeFill="accent1" w:themeFillTint="33"/>
          <w:vAlign w:val="center"/>
        </w:tcPr>
        <w:p w14:paraId="4704DBAA" w14:textId="60391DE6" w:rsidR="001C36B8" w:rsidRPr="00B53823" w:rsidRDefault="001C36B8" w:rsidP="001C36B8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1C36B8" w:rsidRPr="000507AA" w14:paraId="2DF3A7B9" w14:textId="77777777" w:rsidTr="001C36B8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80BA04B" w14:textId="57782FE7" w:rsidR="001C36B8" w:rsidRPr="000507AA" w:rsidRDefault="001C36B8" w:rsidP="001C36B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8364" w:type="dxa"/>
          <w:vAlign w:val="center"/>
        </w:tcPr>
        <w:p w14:paraId="211140E7" w14:textId="359CCEF4" w:rsidR="001C36B8" w:rsidRPr="000507AA" w:rsidRDefault="001C36B8" w:rsidP="001C36B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  <w:bookmarkEnd w:id="0"/>
  </w:tbl>
  <w:p w14:paraId="35C1F1D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0EFC5D0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3DE6702" wp14:editId="5622834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313C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DE6702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F7313C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73290">
    <w:abstractNumId w:val="9"/>
  </w:num>
  <w:num w:numId="2" w16cid:durableId="606815133">
    <w:abstractNumId w:val="9"/>
    <w:lvlOverride w:ilvl="0">
      <w:startOverride w:val="1"/>
    </w:lvlOverride>
  </w:num>
  <w:num w:numId="3" w16cid:durableId="1592470074">
    <w:abstractNumId w:val="8"/>
  </w:num>
  <w:num w:numId="4" w16cid:durableId="1235163219">
    <w:abstractNumId w:val="10"/>
  </w:num>
  <w:num w:numId="5" w16cid:durableId="1759252449">
    <w:abstractNumId w:val="6"/>
  </w:num>
  <w:num w:numId="6" w16cid:durableId="1896619043">
    <w:abstractNumId w:val="0"/>
  </w:num>
  <w:num w:numId="7" w16cid:durableId="736249841">
    <w:abstractNumId w:val="14"/>
  </w:num>
  <w:num w:numId="8" w16cid:durableId="376398452">
    <w:abstractNumId w:val="5"/>
  </w:num>
  <w:num w:numId="9" w16cid:durableId="247424261">
    <w:abstractNumId w:val="2"/>
  </w:num>
  <w:num w:numId="10" w16cid:durableId="904342905">
    <w:abstractNumId w:val="11"/>
  </w:num>
  <w:num w:numId="11" w16cid:durableId="1001733928">
    <w:abstractNumId w:val="1"/>
  </w:num>
  <w:num w:numId="12" w16cid:durableId="1638949233">
    <w:abstractNumId w:val="4"/>
  </w:num>
  <w:num w:numId="13" w16cid:durableId="2120950123">
    <w:abstractNumId w:val="13"/>
  </w:num>
  <w:num w:numId="14" w16cid:durableId="168446749">
    <w:abstractNumId w:val="3"/>
  </w:num>
  <w:num w:numId="15" w16cid:durableId="1486778180">
    <w:abstractNumId w:val="7"/>
  </w:num>
  <w:num w:numId="16" w16cid:durableId="144325929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C36B8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1D8F"/>
    <w:rsid w:val="00B269F1"/>
    <w:rsid w:val="00B33689"/>
    <w:rsid w:val="00B4377B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04EEA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CB1"/>
    <w:rsid w:val="00CE4E17"/>
    <w:rsid w:val="00CE61BA"/>
    <w:rsid w:val="00CF00B4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BF82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</cp:lastModifiedBy>
  <cp:revision>6</cp:revision>
  <cp:lastPrinted>2017-09-22T16:58:00Z</cp:lastPrinted>
  <dcterms:created xsi:type="dcterms:W3CDTF">2025-05-16T06:37:00Z</dcterms:created>
  <dcterms:modified xsi:type="dcterms:W3CDTF">2025-09-23T12:32:00Z</dcterms:modified>
</cp:coreProperties>
</file>