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4E4E" w14:textId="77777777" w:rsidR="006355BF" w:rsidRPr="009541D4" w:rsidRDefault="006355BF" w:rsidP="006355BF">
      <w:pPr>
        <w:spacing w:line="360" w:lineRule="auto"/>
        <w:rPr>
          <w:color w:val="000000" w:themeColor="text1"/>
          <w:sz w:val="24"/>
          <w:szCs w:val="24"/>
          <w:lang w:val="en-GB"/>
        </w:rPr>
      </w:pPr>
      <w:r w:rsidRPr="009541D4">
        <w:rPr>
          <w:rFonts w:hint="eastAsia"/>
          <w:color w:val="000000" w:themeColor="text1"/>
          <w:sz w:val="24"/>
          <w:szCs w:val="24"/>
          <w:lang w:val="en-GB"/>
        </w:rPr>
        <w:t>1</w:t>
      </w:r>
      <w:r w:rsidRPr="009541D4">
        <w:rPr>
          <w:color w:val="000000" w:themeColor="text1"/>
          <w:sz w:val="24"/>
          <w:szCs w:val="24"/>
          <w:lang w:val="en-GB"/>
        </w:rPr>
        <w:t>.</w:t>
      </w:r>
      <w:r w:rsidRPr="009541D4">
        <w:rPr>
          <w:rFonts w:hint="eastAsia"/>
          <w:color w:val="000000" w:themeColor="text1"/>
          <w:sz w:val="24"/>
          <w:szCs w:val="24"/>
          <w:lang w:val="en-GB"/>
        </w:rPr>
        <w:t xml:space="preserve"> </w:t>
      </w:r>
      <w:r w:rsidRPr="009541D4">
        <w:rPr>
          <w:rFonts w:hint="eastAsia"/>
          <w:color w:val="000000" w:themeColor="text1"/>
          <w:sz w:val="24"/>
          <w:szCs w:val="24"/>
          <w:lang w:val="en-GB"/>
        </w:rPr>
        <w:t>某项目的基本方案的基本数据估算值如表所列，建设投资现金流量服从年初习惯法，运营期现金流量服从年末习惯法。请选取建设投资、营业收入和经营成本对</w:t>
      </w:r>
      <w:r w:rsidRPr="009541D4">
        <w:rPr>
          <w:color w:val="000000" w:themeColor="text1"/>
          <w:sz w:val="24"/>
          <w:szCs w:val="24"/>
          <w:lang w:val="en-GB"/>
        </w:rPr>
        <w:t>该项目的内部收益率</w:t>
      </w:r>
      <w:r w:rsidRPr="009541D4">
        <w:rPr>
          <w:rFonts w:hint="eastAsia"/>
          <w:color w:val="000000" w:themeColor="text1"/>
          <w:sz w:val="24"/>
          <w:szCs w:val="24"/>
          <w:lang w:val="en-GB"/>
        </w:rPr>
        <w:t>进行敏感性分析（基准收益率</w:t>
      </w:r>
      <w:proofErr w:type="spellStart"/>
      <w:r w:rsidRPr="009541D4">
        <w:rPr>
          <w:rFonts w:hint="eastAsia"/>
          <w:color w:val="000000" w:themeColor="text1"/>
          <w:sz w:val="24"/>
          <w:szCs w:val="24"/>
          <w:lang w:val="en-GB"/>
        </w:rPr>
        <w:t>i</w:t>
      </w:r>
      <w:r w:rsidRPr="009541D4">
        <w:rPr>
          <w:rFonts w:hint="eastAsia"/>
          <w:color w:val="000000" w:themeColor="text1"/>
          <w:sz w:val="24"/>
          <w:szCs w:val="24"/>
          <w:vertAlign w:val="subscript"/>
          <w:lang w:val="en-GB"/>
        </w:rPr>
        <w:t>c</w:t>
      </w:r>
      <w:proofErr w:type="spellEnd"/>
      <w:r w:rsidRPr="009541D4">
        <w:rPr>
          <w:rFonts w:hint="eastAsia"/>
          <w:color w:val="000000" w:themeColor="text1"/>
          <w:sz w:val="24"/>
          <w:szCs w:val="24"/>
          <w:lang w:val="en-GB"/>
        </w:rPr>
        <w:t>=</w:t>
      </w:r>
      <w:r w:rsidRPr="009541D4">
        <w:rPr>
          <w:color w:val="000000" w:themeColor="text1"/>
          <w:sz w:val="24"/>
          <w:szCs w:val="24"/>
          <w:lang w:val="en-GB"/>
        </w:rPr>
        <w:t>6</w:t>
      </w:r>
      <w:r w:rsidRPr="009541D4">
        <w:rPr>
          <w:rFonts w:hint="eastAsia"/>
          <w:color w:val="000000" w:themeColor="text1"/>
          <w:sz w:val="24"/>
          <w:szCs w:val="24"/>
          <w:lang w:val="en-GB"/>
        </w:rPr>
        <w:t>%</w:t>
      </w:r>
      <w:r w:rsidRPr="009541D4">
        <w:rPr>
          <w:rFonts w:hint="eastAsia"/>
          <w:color w:val="000000" w:themeColor="text1"/>
          <w:sz w:val="24"/>
          <w:szCs w:val="24"/>
          <w:lang w:val="en-GB"/>
        </w:rPr>
        <w:t>，影响因素的变化幅度为</w:t>
      </w:r>
      <w:r w:rsidRPr="009541D4">
        <w:rPr>
          <w:rFonts w:hint="eastAsia"/>
          <w:color w:val="000000" w:themeColor="text1"/>
          <w:sz w:val="24"/>
          <w:szCs w:val="24"/>
          <w:lang w:val="en-GB"/>
        </w:rPr>
        <w:t>+</w:t>
      </w:r>
      <w:r w:rsidRPr="009541D4">
        <w:rPr>
          <w:color w:val="000000" w:themeColor="text1"/>
          <w:sz w:val="24"/>
          <w:szCs w:val="24"/>
          <w:lang w:val="en-GB"/>
        </w:rPr>
        <w:t>10%</w:t>
      </w:r>
      <w:r w:rsidRPr="009541D4">
        <w:rPr>
          <w:color w:val="000000" w:themeColor="text1"/>
          <w:sz w:val="24"/>
          <w:szCs w:val="24"/>
          <w:lang w:val="en-GB"/>
        </w:rPr>
        <w:t>和</w:t>
      </w:r>
      <w:r w:rsidRPr="009541D4">
        <w:rPr>
          <w:rFonts w:hint="eastAsia"/>
          <w:color w:val="000000" w:themeColor="text1"/>
          <w:sz w:val="24"/>
          <w:szCs w:val="24"/>
          <w:lang w:val="en-GB"/>
        </w:rPr>
        <w:t>-</w:t>
      </w:r>
      <w:r w:rsidRPr="009541D4">
        <w:rPr>
          <w:color w:val="000000" w:themeColor="text1"/>
          <w:sz w:val="24"/>
          <w:szCs w:val="24"/>
          <w:lang w:val="en-GB"/>
        </w:rPr>
        <w:t>10%</w:t>
      </w:r>
      <w:r w:rsidRPr="009541D4">
        <w:rPr>
          <w:rFonts w:hint="eastAsia"/>
          <w:color w:val="000000" w:themeColor="text1"/>
          <w:sz w:val="24"/>
          <w:szCs w:val="24"/>
          <w:lang w:val="en-GB"/>
        </w:rPr>
        <w:t>）。</w:t>
      </w:r>
    </w:p>
    <w:p w14:paraId="45D7C533" w14:textId="77777777" w:rsidR="006355BF" w:rsidRPr="009541D4" w:rsidRDefault="006355BF" w:rsidP="006355BF">
      <w:pPr>
        <w:spacing w:line="360" w:lineRule="auto"/>
        <w:rPr>
          <w:color w:val="000000" w:themeColor="text1"/>
          <w:sz w:val="24"/>
          <w:szCs w:val="24"/>
          <w:lang w:val="en-GB"/>
        </w:rPr>
      </w:pPr>
      <w:r w:rsidRPr="009541D4">
        <w:rPr>
          <w:noProof/>
          <w:color w:val="000000" w:themeColor="text1"/>
        </w:rPr>
        <w:drawing>
          <wp:inline distT="0" distB="0" distL="0" distR="0" wp14:anchorId="1776C4AD" wp14:editId="4263DAC4">
            <wp:extent cx="4092796" cy="1059416"/>
            <wp:effectExtent l="0" t="0" r="317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599" cy="106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807"/>
        <w:gridCol w:w="807"/>
        <w:gridCol w:w="807"/>
        <w:gridCol w:w="808"/>
        <w:gridCol w:w="807"/>
        <w:gridCol w:w="807"/>
        <w:gridCol w:w="807"/>
        <w:gridCol w:w="808"/>
      </w:tblGrid>
      <w:tr w:rsidR="006355BF" w:rsidRPr="009541D4" w14:paraId="1FE267C1" w14:textId="77777777" w:rsidTr="00F25751">
        <w:tc>
          <w:tcPr>
            <w:tcW w:w="1838" w:type="dxa"/>
          </w:tcPr>
          <w:p w14:paraId="01B51E95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因素</w:t>
            </w: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/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年份</w:t>
            </w:r>
          </w:p>
        </w:tc>
        <w:tc>
          <w:tcPr>
            <w:tcW w:w="807" w:type="dxa"/>
          </w:tcPr>
          <w:p w14:paraId="1C62E092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1</w:t>
            </w:r>
          </w:p>
        </w:tc>
        <w:tc>
          <w:tcPr>
            <w:tcW w:w="807" w:type="dxa"/>
          </w:tcPr>
          <w:p w14:paraId="184DFB7D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2</w:t>
            </w:r>
          </w:p>
        </w:tc>
        <w:tc>
          <w:tcPr>
            <w:tcW w:w="807" w:type="dxa"/>
          </w:tcPr>
          <w:p w14:paraId="02B5A89B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</w:p>
        </w:tc>
        <w:tc>
          <w:tcPr>
            <w:tcW w:w="808" w:type="dxa"/>
          </w:tcPr>
          <w:p w14:paraId="0E11ECA5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4</w:t>
            </w:r>
          </w:p>
        </w:tc>
        <w:tc>
          <w:tcPr>
            <w:tcW w:w="807" w:type="dxa"/>
          </w:tcPr>
          <w:p w14:paraId="60B04178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5</w:t>
            </w:r>
          </w:p>
        </w:tc>
        <w:tc>
          <w:tcPr>
            <w:tcW w:w="807" w:type="dxa"/>
          </w:tcPr>
          <w:p w14:paraId="64CC8D08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6</w:t>
            </w:r>
          </w:p>
        </w:tc>
        <w:tc>
          <w:tcPr>
            <w:tcW w:w="807" w:type="dxa"/>
          </w:tcPr>
          <w:p w14:paraId="164B5017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7</w:t>
            </w:r>
          </w:p>
        </w:tc>
        <w:tc>
          <w:tcPr>
            <w:tcW w:w="808" w:type="dxa"/>
          </w:tcPr>
          <w:p w14:paraId="624C3036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</w:p>
        </w:tc>
      </w:tr>
      <w:tr w:rsidR="006355BF" w:rsidRPr="009541D4" w14:paraId="30536736" w14:textId="77777777" w:rsidTr="00F25751">
        <w:tc>
          <w:tcPr>
            <w:tcW w:w="1838" w:type="dxa"/>
          </w:tcPr>
          <w:p w14:paraId="4BB30C50" w14:textId="77777777" w:rsidR="006355BF" w:rsidRPr="009541D4" w:rsidRDefault="006355BF" w:rsidP="00F25751">
            <w:pPr>
              <w:spacing w:line="360" w:lineRule="auto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1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现金流入</w:t>
            </w:r>
          </w:p>
        </w:tc>
        <w:tc>
          <w:tcPr>
            <w:tcW w:w="807" w:type="dxa"/>
          </w:tcPr>
          <w:p w14:paraId="2EEC318E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3635DBEB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7" w:type="dxa"/>
          </w:tcPr>
          <w:p w14:paraId="4B429D36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8" w:type="dxa"/>
          </w:tcPr>
          <w:p w14:paraId="55960E76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7" w:type="dxa"/>
          </w:tcPr>
          <w:p w14:paraId="78B5A9A5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7" w:type="dxa"/>
          </w:tcPr>
          <w:p w14:paraId="6C3A048B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7" w:type="dxa"/>
          </w:tcPr>
          <w:p w14:paraId="08CD2E07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8" w:type="dxa"/>
          </w:tcPr>
          <w:p w14:paraId="426B7AD0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1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100</w:t>
            </w:r>
          </w:p>
        </w:tc>
      </w:tr>
      <w:tr w:rsidR="006355BF" w:rsidRPr="009541D4" w14:paraId="5204B254" w14:textId="77777777" w:rsidTr="00F25751">
        <w:tc>
          <w:tcPr>
            <w:tcW w:w="1838" w:type="dxa"/>
          </w:tcPr>
          <w:p w14:paraId="0AAB60CE" w14:textId="77777777" w:rsidR="006355BF" w:rsidRPr="009541D4" w:rsidRDefault="006355BF" w:rsidP="00F25751">
            <w:pPr>
              <w:spacing w:line="360" w:lineRule="auto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 xml:space="preserve"> 1.1 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年营业收入</w:t>
            </w:r>
          </w:p>
        </w:tc>
        <w:tc>
          <w:tcPr>
            <w:tcW w:w="807" w:type="dxa"/>
          </w:tcPr>
          <w:p w14:paraId="6BAD7EAC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79E18364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7" w:type="dxa"/>
          </w:tcPr>
          <w:p w14:paraId="5B7A9DB8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8" w:type="dxa"/>
          </w:tcPr>
          <w:p w14:paraId="0A018891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7" w:type="dxa"/>
          </w:tcPr>
          <w:p w14:paraId="77E0EBA7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7" w:type="dxa"/>
          </w:tcPr>
          <w:p w14:paraId="0ABD62BA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7" w:type="dxa"/>
          </w:tcPr>
          <w:p w14:paraId="1E813331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  <w:tc>
          <w:tcPr>
            <w:tcW w:w="808" w:type="dxa"/>
          </w:tcPr>
          <w:p w14:paraId="5D95AC6D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8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</w:tr>
      <w:tr w:rsidR="006355BF" w:rsidRPr="009541D4" w14:paraId="6D7E9713" w14:textId="77777777" w:rsidTr="00F25751">
        <w:tc>
          <w:tcPr>
            <w:tcW w:w="1838" w:type="dxa"/>
          </w:tcPr>
          <w:p w14:paraId="193A2D77" w14:textId="77777777" w:rsidR="006355BF" w:rsidRPr="009541D4" w:rsidRDefault="006355BF" w:rsidP="00F25751">
            <w:pPr>
              <w:spacing w:line="360" w:lineRule="auto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 xml:space="preserve"> 1.2 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期末残值回收</w:t>
            </w:r>
          </w:p>
        </w:tc>
        <w:tc>
          <w:tcPr>
            <w:tcW w:w="807" w:type="dxa"/>
          </w:tcPr>
          <w:p w14:paraId="67EEE5C0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52F0E771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7EEBBB14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8" w:type="dxa"/>
          </w:tcPr>
          <w:p w14:paraId="3474F716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0637D48C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26E1B243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3B807F0B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8" w:type="dxa"/>
          </w:tcPr>
          <w:p w14:paraId="4B96A682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00</w:t>
            </w:r>
          </w:p>
        </w:tc>
      </w:tr>
      <w:tr w:rsidR="006355BF" w:rsidRPr="009541D4" w14:paraId="24177A6D" w14:textId="77777777" w:rsidTr="00F25751">
        <w:tc>
          <w:tcPr>
            <w:tcW w:w="1838" w:type="dxa"/>
          </w:tcPr>
          <w:p w14:paraId="2C76A98B" w14:textId="77777777" w:rsidR="006355BF" w:rsidRPr="009541D4" w:rsidRDefault="006355BF" w:rsidP="00F25751">
            <w:pPr>
              <w:spacing w:line="360" w:lineRule="auto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2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现金流出</w:t>
            </w:r>
          </w:p>
        </w:tc>
        <w:tc>
          <w:tcPr>
            <w:tcW w:w="807" w:type="dxa"/>
          </w:tcPr>
          <w:p w14:paraId="5F52F3DD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2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500</w:t>
            </w:r>
          </w:p>
        </w:tc>
        <w:tc>
          <w:tcPr>
            <w:tcW w:w="807" w:type="dxa"/>
          </w:tcPr>
          <w:p w14:paraId="0C62523C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32F97F52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8" w:type="dxa"/>
          </w:tcPr>
          <w:p w14:paraId="2896371F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25CD5AEF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52263EEA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20488AC6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8" w:type="dxa"/>
          </w:tcPr>
          <w:p w14:paraId="1A0099C2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</w:tr>
      <w:tr w:rsidR="006355BF" w:rsidRPr="009541D4" w14:paraId="15F78BC6" w14:textId="77777777" w:rsidTr="00F25751">
        <w:tc>
          <w:tcPr>
            <w:tcW w:w="1838" w:type="dxa"/>
          </w:tcPr>
          <w:p w14:paraId="33C05DFF" w14:textId="77777777" w:rsidR="006355BF" w:rsidRPr="009541D4" w:rsidRDefault="006355BF" w:rsidP="00F25751">
            <w:pPr>
              <w:spacing w:line="360" w:lineRule="auto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 xml:space="preserve"> 2.1 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建设投资</w:t>
            </w:r>
          </w:p>
        </w:tc>
        <w:tc>
          <w:tcPr>
            <w:tcW w:w="807" w:type="dxa"/>
          </w:tcPr>
          <w:p w14:paraId="75E2D487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2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500</w:t>
            </w:r>
          </w:p>
        </w:tc>
        <w:tc>
          <w:tcPr>
            <w:tcW w:w="807" w:type="dxa"/>
          </w:tcPr>
          <w:p w14:paraId="1A003788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155F12E2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8" w:type="dxa"/>
          </w:tcPr>
          <w:p w14:paraId="7B641D99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4AD06AF2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38A3A333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78B8BAD5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8" w:type="dxa"/>
          </w:tcPr>
          <w:p w14:paraId="61E47F61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6355BF" w:rsidRPr="009541D4" w14:paraId="5E8CB181" w14:textId="77777777" w:rsidTr="00F25751">
        <w:tc>
          <w:tcPr>
            <w:tcW w:w="1838" w:type="dxa"/>
          </w:tcPr>
          <w:p w14:paraId="54B9F51C" w14:textId="77777777" w:rsidR="006355BF" w:rsidRPr="009541D4" w:rsidRDefault="006355BF" w:rsidP="00F25751">
            <w:pPr>
              <w:spacing w:line="360" w:lineRule="auto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 xml:space="preserve"> 2.2 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年经营成本</w:t>
            </w:r>
          </w:p>
        </w:tc>
        <w:tc>
          <w:tcPr>
            <w:tcW w:w="807" w:type="dxa"/>
          </w:tcPr>
          <w:p w14:paraId="7CFD0644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</w:p>
        </w:tc>
        <w:tc>
          <w:tcPr>
            <w:tcW w:w="807" w:type="dxa"/>
          </w:tcPr>
          <w:p w14:paraId="11E64967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4A9AC112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8" w:type="dxa"/>
          </w:tcPr>
          <w:p w14:paraId="2DEDA269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107C6BF1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1045AF35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5C5F2FA3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8" w:type="dxa"/>
          </w:tcPr>
          <w:p w14:paraId="4AB36093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</w:tr>
      <w:tr w:rsidR="006355BF" w:rsidRPr="009541D4" w14:paraId="29C9B42E" w14:textId="77777777" w:rsidTr="00F25751">
        <w:tc>
          <w:tcPr>
            <w:tcW w:w="1838" w:type="dxa"/>
          </w:tcPr>
          <w:p w14:paraId="5682945A" w14:textId="77777777" w:rsidR="006355BF" w:rsidRPr="009541D4" w:rsidRDefault="006355BF" w:rsidP="00F25751">
            <w:pPr>
              <w:spacing w:line="360" w:lineRule="auto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3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净现金流量</w:t>
            </w:r>
          </w:p>
        </w:tc>
        <w:tc>
          <w:tcPr>
            <w:tcW w:w="807" w:type="dxa"/>
          </w:tcPr>
          <w:p w14:paraId="6A822F83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-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2500</w:t>
            </w:r>
          </w:p>
        </w:tc>
        <w:tc>
          <w:tcPr>
            <w:tcW w:w="807" w:type="dxa"/>
          </w:tcPr>
          <w:p w14:paraId="1F65A73C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4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19CD58D4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4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8" w:type="dxa"/>
          </w:tcPr>
          <w:p w14:paraId="75D5810C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4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1AC4A6DE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4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05424FB8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4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7" w:type="dxa"/>
          </w:tcPr>
          <w:p w14:paraId="5BF8FABE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rFonts w:hint="eastAsia"/>
                <w:color w:val="000000" w:themeColor="text1"/>
                <w:sz w:val="18"/>
                <w:szCs w:val="18"/>
                <w:lang w:val="en-GB"/>
              </w:rPr>
              <w:t>4</w:t>
            </w: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50</w:t>
            </w:r>
          </w:p>
        </w:tc>
        <w:tc>
          <w:tcPr>
            <w:tcW w:w="808" w:type="dxa"/>
          </w:tcPr>
          <w:p w14:paraId="79B82E00" w14:textId="77777777" w:rsidR="006355BF" w:rsidRPr="009541D4" w:rsidRDefault="006355BF" w:rsidP="00F25751">
            <w:pPr>
              <w:spacing w:line="360" w:lineRule="auto"/>
              <w:jc w:val="center"/>
              <w:rPr>
                <w:color w:val="000000" w:themeColor="text1"/>
                <w:sz w:val="18"/>
                <w:szCs w:val="18"/>
                <w:lang w:val="en-GB"/>
              </w:rPr>
            </w:pPr>
            <w:r w:rsidRPr="009541D4">
              <w:rPr>
                <w:color w:val="000000" w:themeColor="text1"/>
                <w:sz w:val="18"/>
                <w:szCs w:val="18"/>
                <w:lang w:val="en-GB"/>
              </w:rPr>
              <w:t>750</w:t>
            </w:r>
          </w:p>
        </w:tc>
      </w:tr>
    </w:tbl>
    <w:p w14:paraId="3A121E0E" w14:textId="77777777" w:rsidR="006355BF" w:rsidRDefault="006355BF" w:rsidP="006355BF">
      <w:pPr>
        <w:spacing w:line="360" w:lineRule="auto"/>
        <w:rPr>
          <w:sz w:val="24"/>
          <w:szCs w:val="24"/>
          <w:lang w:val="en-GB"/>
        </w:rPr>
      </w:pPr>
    </w:p>
    <w:p w14:paraId="6417D4A7" w14:textId="77777777" w:rsidR="006355BF" w:rsidRDefault="006355BF" w:rsidP="006355BF">
      <w:pPr>
        <w:spacing w:line="360" w:lineRule="auto"/>
        <w:rPr>
          <w:sz w:val="24"/>
          <w:szCs w:val="24"/>
          <w:lang w:val="en-GB"/>
        </w:rPr>
      </w:pPr>
    </w:p>
    <w:p w14:paraId="0145F525" w14:textId="77777777" w:rsidR="006355BF" w:rsidRPr="00062710" w:rsidRDefault="006355BF" w:rsidP="006355BF">
      <w:pPr>
        <w:spacing w:line="360" w:lineRule="auto"/>
        <w:rPr>
          <w:color w:val="000000" w:themeColor="text1"/>
          <w:sz w:val="24"/>
          <w:szCs w:val="24"/>
          <w:lang w:val="en-GB"/>
        </w:rPr>
      </w:pPr>
      <w:r w:rsidRPr="00062710">
        <w:rPr>
          <w:rFonts w:hint="eastAsia"/>
          <w:color w:val="000000" w:themeColor="text1"/>
          <w:sz w:val="24"/>
          <w:szCs w:val="24"/>
          <w:lang w:val="en-GB"/>
        </w:rPr>
        <w:t>2</w:t>
      </w:r>
      <w:r w:rsidRPr="00062710">
        <w:rPr>
          <w:color w:val="000000" w:themeColor="text1"/>
          <w:sz w:val="24"/>
          <w:szCs w:val="24"/>
          <w:lang w:val="en-GB"/>
        </w:rPr>
        <w:t xml:space="preserve">. 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奇异软件企业为增值税一般纳税人，主营某软件的开发和销售。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202</w:t>
      </w:r>
      <w:r w:rsidRPr="00062710">
        <w:rPr>
          <w:color w:val="000000" w:themeColor="text1"/>
          <w:sz w:val="24"/>
          <w:szCs w:val="24"/>
          <w:lang w:val="en-GB"/>
        </w:rPr>
        <w:t>2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年</w:t>
      </w:r>
      <w:r w:rsidRPr="00062710">
        <w:rPr>
          <w:color w:val="000000" w:themeColor="text1"/>
          <w:sz w:val="24"/>
          <w:szCs w:val="24"/>
          <w:lang w:val="en-GB"/>
        </w:rPr>
        <w:t>10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月进项税额合计为</w:t>
      </w:r>
      <w:r w:rsidRPr="00062710">
        <w:rPr>
          <w:color w:val="000000" w:themeColor="text1"/>
          <w:sz w:val="24"/>
          <w:szCs w:val="24"/>
          <w:lang w:val="en-GB"/>
        </w:rPr>
        <w:t>32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0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万元。当月销售收入如下：</w:t>
      </w:r>
    </w:p>
    <w:p w14:paraId="73DA442F" w14:textId="77777777" w:rsidR="006355BF" w:rsidRPr="00062710" w:rsidRDefault="006355BF" w:rsidP="006355BF">
      <w:pPr>
        <w:spacing w:line="360" w:lineRule="auto"/>
        <w:rPr>
          <w:rFonts w:hint="eastAsia"/>
          <w:color w:val="000000" w:themeColor="text1"/>
          <w:sz w:val="24"/>
          <w:szCs w:val="24"/>
          <w:lang w:val="en-GB"/>
        </w:rPr>
      </w:pPr>
      <w:r w:rsidRPr="00062710">
        <w:rPr>
          <w:rFonts w:hint="eastAsia"/>
          <w:color w:val="000000" w:themeColor="text1"/>
          <w:sz w:val="24"/>
          <w:szCs w:val="24"/>
          <w:lang w:val="en-GB"/>
        </w:rPr>
        <w:t>当月销售开发软件收入共计</w:t>
      </w:r>
      <w:r w:rsidRPr="00062710">
        <w:rPr>
          <w:color w:val="000000" w:themeColor="text1"/>
          <w:sz w:val="24"/>
          <w:szCs w:val="24"/>
          <w:lang w:val="en-GB"/>
        </w:rPr>
        <w:t>95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00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万元；销售嵌入式软件，取得销售收入共计</w:t>
      </w:r>
      <w:r w:rsidRPr="00062710">
        <w:rPr>
          <w:color w:val="000000" w:themeColor="text1"/>
          <w:sz w:val="24"/>
          <w:szCs w:val="24"/>
          <w:lang w:val="en-GB"/>
        </w:rPr>
        <w:t>9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00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万元，其中硬件设备销售额为</w:t>
      </w:r>
      <w:r w:rsidRPr="00062710">
        <w:rPr>
          <w:color w:val="000000" w:themeColor="text1"/>
          <w:sz w:val="24"/>
          <w:szCs w:val="24"/>
          <w:lang w:val="en-GB"/>
        </w:rPr>
        <w:t>70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0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万元；为满足客户升级需要，将进口软件产品进行本地化改造后销售，共取得收入</w:t>
      </w:r>
      <w:r w:rsidRPr="00062710">
        <w:rPr>
          <w:color w:val="000000" w:themeColor="text1"/>
          <w:sz w:val="24"/>
          <w:szCs w:val="24"/>
          <w:lang w:val="en-GB"/>
        </w:rPr>
        <w:t>100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万元；对老客户收取当年的维护费用</w:t>
      </w:r>
      <w:r w:rsidRPr="00062710">
        <w:rPr>
          <w:color w:val="000000" w:themeColor="text1"/>
          <w:sz w:val="24"/>
          <w:szCs w:val="24"/>
          <w:lang w:val="en-GB"/>
        </w:rPr>
        <w:t>80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万元。问当月销售软件应缴纳增值税金额以及能否申请增值税即征即退？即征即退增值税额为多少？（收入为不含税销售收入，当月不存在专用于软件产品开发生产设备及工具的进项税额，增值税适用税率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1</w:t>
      </w:r>
      <w:r w:rsidRPr="00062710">
        <w:rPr>
          <w:color w:val="000000" w:themeColor="text1"/>
          <w:sz w:val="24"/>
          <w:szCs w:val="24"/>
          <w:lang w:val="en-GB"/>
        </w:rPr>
        <w:t>3%</w:t>
      </w:r>
      <w:r w:rsidRPr="00062710">
        <w:rPr>
          <w:color w:val="000000" w:themeColor="text1"/>
          <w:sz w:val="24"/>
          <w:szCs w:val="24"/>
          <w:lang w:val="en-GB"/>
        </w:rPr>
        <w:t>，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一般纳税人销售软件缴纳增值税，税负超过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3%</w:t>
      </w:r>
      <w:r w:rsidRPr="00062710">
        <w:rPr>
          <w:rFonts w:hint="eastAsia"/>
          <w:color w:val="000000" w:themeColor="text1"/>
          <w:sz w:val="24"/>
          <w:szCs w:val="24"/>
          <w:lang w:val="en-GB"/>
        </w:rPr>
        <w:t>部分适用增值税即征即退政策）</w:t>
      </w:r>
    </w:p>
    <w:p w14:paraId="56EC60D1" w14:textId="43FD6AAF" w:rsidR="000B0FB6" w:rsidRPr="006355BF" w:rsidRDefault="000B0FB6" w:rsidP="006355BF">
      <w:pPr>
        <w:rPr>
          <w:lang w:val="en-GB"/>
        </w:rPr>
      </w:pPr>
    </w:p>
    <w:sectPr w:rsidR="000B0FB6" w:rsidRPr="006355BF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C2196" w14:textId="77777777" w:rsidR="00EC48C2" w:rsidRDefault="00EC48C2" w:rsidP="00A74767">
      <w:r>
        <w:separator/>
      </w:r>
    </w:p>
  </w:endnote>
  <w:endnote w:type="continuationSeparator" w:id="0">
    <w:p w14:paraId="1DA4D326" w14:textId="77777777" w:rsidR="00EC48C2" w:rsidRDefault="00EC48C2" w:rsidP="00A74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CED39" w14:textId="77777777" w:rsidR="00EC48C2" w:rsidRDefault="00EC48C2" w:rsidP="00A74767">
      <w:r>
        <w:separator/>
      </w:r>
    </w:p>
  </w:footnote>
  <w:footnote w:type="continuationSeparator" w:id="0">
    <w:p w14:paraId="2406A3A2" w14:textId="77777777" w:rsidR="00EC48C2" w:rsidRDefault="00EC48C2" w:rsidP="00A747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455B3"/>
    <w:multiLevelType w:val="hybridMultilevel"/>
    <w:tmpl w:val="9AE6176E"/>
    <w:lvl w:ilvl="0" w:tplc="A7726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9681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78F"/>
    <w:rsid w:val="000B0FB6"/>
    <w:rsid w:val="001015B7"/>
    <w:rsid w:val="00162692"/>
    <w:rsid w:val="001B1519"/>
    <w:rsid w:val="002400DB"/>
    <w:rsid w:val="00265E0B"/>
    <w:rsid w:val="003561F4"/>
    <w:rsid w:val="003B7C2D"/>
    <w:rsid w:val="00403F72"/>
    <w:rsid w:val="00427EEB"/>
    <w:rsid w:val="004502EF"/>
    <w:rsid w:val="00492B46"/>
    <w:rsid w:val="004A1839"/>
    <w:rsid w:val="004A61F2"/>
    <w:rsid w:val="004D0BBD"/>
    <w:rsid w:val="004E6E64"/>
    <w:rsid w:val="004F480B"/>
    <w:rsid w:val="0052745D"/>
    <w:rsid w:val="0057692C"/>
    <w:rsid w:val="005B124E"/>
    <w:rsid w:val="006273B6"/>
    <w:rsid w:val="006355BF"/>
    <w:rsid w:val="00760CA0"/>
    <w:rsid w:val="00790A5E"/>
    <w:rsid w:val="007E58A4"/>
    <w:rsid w:val="008E1ECC"/>
    <w:rsid w:val="00972EF0"/>
    <w:rsid w:val="009950F6"/>
    <w:rsid w:val="009F0359"/>
    <w:rsid w:val="00A11675"/>
    <w:rsid w:val="00A74767"/>
    <w:rsid w:val="00AC278F"/>
    <w:rsid w:val="00AD7549"/>
    <w:rsid w:val="00AE6F5C"/>
    <w:rsid w:val="00BA559A"/>
    <w:rsid w:val="00CD5646"/>
    <w:rsid w:val="00DB36DD"/>
    <w:rsid w:val="00DD30D9"/>
    <w:rsid w:val="00EA63A4"/>
    <w:rsid w:val="00EC3D02"/>
    <w:rsid w:val="00EC48C2"/>
    <w:rsid w:val="00F3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2C6F1"/>
  <w15:chartTrackingRefBased/>
  <w15:docId w15:val="{DF56E8A1-78D4-452A-A7A7-2F4E003A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5B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0CA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7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476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47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4767"/>
    <w:rPr>
      <w:sz w:val="18"/>
      <w:szCs w:val="18"/>
    </w:rPr>
  </w:style>
  <w:style w:type="table" w:styleId="a8">
    <w:name w:val="Table Grid"/>
    <w:basedOn w:val="a1"/>
    <w:uiPriority w:val="39"/>
    <w:rsid w:val="006355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4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364</Characters>
  <Application>Microsoft Office Word</Application>
  <DocSecurity>0</DocSecurity>
  <Lines>12</Lines>
  <Paragraphs>5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Jiangfu Liao</cp:lastModifiedBy>
  <cp:revision>3</cp:revision>
  <dcterms:created xsi:type="dcterms:W3CDTF">2025-04-08T10:30:00Z</dcterms:created>
  <dcterms:modified xsi:type="dcterms:W3CDTF">2025-04-08T10:32:00Z</dcterms:modified>
</cp:coreProperties>
</file>