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FF5" w:rsidRPr="00380FF5" w:rsidRDefault="00380FF5" w:rsidP="00485095">
      <w:pPr>
        <w:shd w:val="clear" w:color="auto" w:fill="FFFFFF"/>
        <w:spacing w:after="120" w:line="240" w:lineRule="auto"/>
        <w:outlineLvl w:val="2"/>
        <w:rPr>
          <w:rFonts w:ascii="Segoe UI" w:eastAsia="Times New Roman" w:hAnsi="Segoe UI" w:cs="Segoe UI"/>
          <w:b/>
          <w:color w:val="000000" w:themeColor="text1"/>
          <w:sz w:val="27"/>
          <w:szCs w:val="27"/>
          <w:lang w:eastAsia="en-GB"/>
        </w:rPr>
      </w:pPr>
      <w:r w:rsidRPr="00380FF5">
        <w:rPr>
          <w:rFonts w:ascii="Segoe UI" w:eastAsia="Times New Roman" w:hAnsi="Segoe UI" w:cs="Segoe UI"/>
          <w:b/>
          <w:color w:val="000000" w:themeColor="text1"/>
          <w:sz w:val="27"/>
          <w:szCs w:val="27"/>
          <w:lang w:eastAsia="en-GB"/>
        </w:rPr>
        <w:t>STRATEGIC LITIGATION</w:t>
      </w:r>
    </w:p>
    <w:p w:rsidR="00380FF5" w:rsidRPr="00380FF5" w:rsidRDefault="00380FF5" w:rsidP="00380FF5">
      <w:pPr>
        <w:shd w:val="clear" w:color="auto" w:fill="FFFFFF"/>
        <w:spacing w:after="120" w:line="240" w:lineRule="auto"/>
        <w:jc w:val="both"/>
        <w:outlineLvl w:val="2"/>
        <w:rPr>
          <w:rFonts w:ascii="Times New Roman" w:eastAsia="Times New Roman" w:hAnsi="Times New Roman" w:cs="Times New Roman"/>
          <w:sz w:val="24"/>
          <w:szCs w:val="24"/>
          <w:lang w:eastAsia="en-GB"/>
        </w:rPr>
      </w:pPr>
      <w:r w:rsidRPr="00380FF5">
        <w:rPr>
          <w:rFonts w:ascii="Times New Roman" w:eastAsia="Times New Roman" w:hAnsi="Times New Roman" w:cs="Times New Roman"/>
          <w:sz w:val="24"/>
          <w:szCs w:val="24"/>
          <w:lang w:eastAsia="en-GB"/>
        </w:rPr>
        <w:t xml:space="preserve">At </w:t>
      </w:r>
      <w:proofErr w:type="spellStart"/>
      <w:r w:rsidRPr="00380FF5">
        <w:rPr>
          <w:rFonts w:ascii="Times New Roman" w:eastAsia="Times New Roman" w:hAnsi="Times New Roman" w:cs="Times New Roman"/>
          <w:sz w:val="24"/>
          <w:szCs w:val="24"/>
          <w:lang w:eastAsia="en-GB"/>
        </w:rPr>
        <w:t>Nyale</w:t>
      </w:r>
      <w:proofErr w:type="spellEnd"/>
      <w:r w:rsidRPr="00380FF5">
        <w:rPr>
          <w:rFonts w:ascii="Times New Roman" w:eastAsia="Times New Roman" w:hAnsi="Times New Roman" w:cs="Times New Roman"/>
          <w:sz w:val="24"/>
          <w:szCs w:val="24"/>
          <w:lang w:eastAsia="en-GB"/>
        </w:rPr>
        <w:t xml:space="preserve"> Institute, we use legal advocacy and strategic litigation to advance </w:t>
      </w:r>
      <w:r w:rsidRPr="003D0391">
        <w:rPr>
          <w:rFonts w:ascii="Times New Roman" w:eastAsia="Times New Roman" w:hAnsi="Times New Roman" w:cs="Times New Roman"/>
          <w:bCs/>
          <w:sz w:val="24"/>
          <w:szCs w:val="24"/>
          <w:lang w:eastAsia="en-GB"/>
        </w:rPr>
        <w:t>sexual and reproductive health rights (SRHR</w:t>
      </w:r>
      <w:r w:rsidRPr="00380FF5">
        <w:rPr>
          <w:rFonts w:ascii="Times New Roman" w:eastAsia="Times New Roman" w:hAnsi="Times New Roman" w:cs="Times New Roman"/>
          <w:b/>
          <w:bCs/>
          <w:sz w:val="24"/>
          <w:szCs w:val="24"/>
          <w:lang w:eastAsia="en-GB"/>
        </w:rPr>
        <w:t>)</w:t>
      </w:r>
      <w:r w:rsidRPr="00380FF5">
        <w:rPr>
          <w:rFonts w:ascii="Times New Roman" w:eastAsia="Times New Roman" w:hAnsi="Times New Roman" w:cs="Times New Roman"/>
          <w:sz w:val="24"/>
          <w:szCs w:val="24"/>
          <w:lang w:eastAsia="en-GB"/>
        </w:rPr>
        <w:t xml:space="preserve"> and protect the </w:t>
      </w:r>
      <w:r w:rsidR="00721C0F">
        <w:rPr>
          <w:rFonts w:ascii="Times New Roman" w:eastAsia="Times New Roman" w:hAnsi="Times New Roman" w:cs="Times New Roman"/>
          <w:sz w:val="24"/>
          <w:szCs w:val="24"/>
          <w:lang w:eastAsia="en-GB"/>
        </w:rPr>
        <w:t xml:space="preserve">rights and </w:t>
      </w:r>
      <w:r w:rsidRPr="00380FF5">
        <w:rPr>
          <w:rFonts w:ascii="Times New Roman" w:eastAsia="Times New Roman" w:hAnsi="Times New Roman" w:cs="Times New Roman"/>
          <w:sz w:val="24"/>
          <w:szCs w:val="24"/>
          <w:lang w:eastAsia="en-GB"/>
        </w:rPr>
        <w:t>freedoms of vulnerable groups. By challenging injustices in court, we aim to hold institutions accountable, influence policy, and establish legal precedents that strengthen human rights protections. Our work is driven by the belief that the law is a powerful tool for achieving systemic change and ensuring just</w:t>
      </w:r>
      <w:r w:rsidR="003C5F45">
        <w:rPr>
          <w:rFonts w:ascii="Times New Roman" w:eastAsia="Times New Roman" w:hAnsi="Times New Roman" w:cs="Times New Roman"/>
          <w:sz w:val="24"/>
          <w:szCs w:val="24"/>
          <w:lang w:eastAsia="en-GB"/>
        </w:rPr>
        <w:t>ice for vulnerable people</w:t>
      </w:r>
      <w:r w:rsidRPr="00380FF5">
        <w:rPr>
          <w:rFonts w:ascii="Times New Roman" w:eastAsia="Times New Roman" w:hAnsi="Times New Roman" w:cs="Times New Roman"/>
          <w:sz w:val="24"/>
          <w:szCs w:val="24"/>
          <w:lang w:eastAsia="en-GB"/>
        </w:rPr>
        <w:t>.</w:t>
      </w:r>
    </w:p>
    <w:p w:rsidR="00485095" w:rsidRPr="00485095" w:rsidRDefault="00485095" w:rsidP="00485095">
      <w:pPr>
        <w:shd w:val="clear" w:color="auto" w:fill="FFFFFF"/>
        <w:spacing w:after="120" w:line="240" w:lineRule="auto"/>
        <w:outlineLvl w:val="2"/>
        <w:rPr>
          <w:rFonts w:ascii="Segoe UI" w:eastAsia="Times New Roman" w:hAnsi="Segoe UI" w:cs="Segoe UI"/>
          <w:b/>
          <w:color w:val="000000" w:themeColor="text1"/>
          <w:sz w:val="27"/>
          <w:szCs w:val="27"/>
          <w:lang w:eastAsia="en-GB"/>
        </w:rPr>
      </w:pPr>
      <w:r w:rsidRPr="00485095">
        <w:rPr>
          <w:rFonts w:ascii="Segoe UI" w:eastAsia="Times New Roman" w:hAnsi="Segoe UI" w:cs="Segoe UI"/>
          <w:b/>
          <w:color w:val="000000" w:themeColor="text1"/>
          <w:sz w:val="27"/>
          <w:szCs w:val="27"/>
          <w:lang w:eastAsia="en-GB"/>
        </w:rPr>
        <w:t>AC (MINOR) SUING THROUGH A LITIGATION GUARDIAN MR. CJ VS MR SOLOMON JENALA, BLANTYRE DISTRICT COUNCIL</w:t>
      </w:r>
      <w:r w:rsidR="00F91110">
        <w:rPr>
          <w:rFonts w:ascii="Segoe UI" w:eastAsia="Times New Roman" w:hAnsi="Segoe UI" w:cs="Segoe UI"/>
          <w:b/>
          <w:color w:val="000000" w:themeColor="text1"/>
          <w:sz w:val="27"/>
          <w:szCs w:val="27"/>
          <w:lang w:eastAsia="en-GB"/>
        </w:rPr>
        <w:t xml:space="preserve"> </w:t>
      </w:r>
      <w:r w:rsidRPr="00485095">
        <w:rPr>
          <w:rFonts w:ascii="Segoe UI" w:eastAsia="Times New Roman" w:hAnsi="Segoe UI" w:cs="Segoe UI"/>
          <w:b/>
          <w:color w:val="000000" w:themeColor="text1"/>
          <w:sz w:val="27"/>
          <w:szCs w:val="27"/>
          <w:lang w:eastAsia="en-GB"/>
        </w:rPr>
        <w:t>(CHILEKA HEALTH CENTRE), ATTORNEY GENERAL AND MALAWI HUMAN RIGHTS COMMISSION</w:t>
      </w:r>
    </w:p>
    <w:p w:rsidR="00485095" w:rsidRDefault="00485095" w:rsidP="00485095">
      <w:pPr>
        <w:pStyle w:val="NormalWeb"/>
      </w:pPr>
      <w:proofErr w:type="spellStart"/>
      <w:r>
        <w:t>Nyale</w:t>
      </w:r>
      <w:proofErr w:type="spellEnd"/>
      <w:r>
        <w:t xml:space="preserve"> Institute and CHRR have facilitated access to the High Court for a 14-year-old survivor of sexual violence (AC – Minor). The case </w:t>
      </w:r>
      <w:r w:rsidR="00F91110">
        <w:t>brought against the Ministry of Health and other parties</w:t>
      </w:r>
      <w:r w:rsidR="00F91110" w:rsidRPr="00F91110">
        <w:t xml:space="preserve"> </w:t>
      </w:r>
      <w:r w:rsidR="00F91110">
        <w:t>raises important questions about access to reproductive h</w:t>
      </w:r>
      <w:r w:rsidR="00F91110">
        <w:t xml:space="preserve">ealthcare and the protection of the </w:t>
      </w:r>
      <w:r w:rsidR="00F91110">
        <w:t>rights</w:t>
      </w:r>
      <w:r w:rsidR="00F91110">
        <w:t xml:space="preserve"> of survivors of sexual violence</w:t>
      </w:r>
      <w:r w:rsidR="00F91110">
        <w:t>.</w:t>
      </w:r>
    </w:p>
    <w:p w:rsidR="00485095" w:rsidRDefault="00485095" w:rsidP="00485095">
      <w:pPr>
        <w:pStyle w:val="NormalWeb"/>
      </w:pPr>
      <w:r>
        <w:t>The matter is set for trial in May</w:t>
      </w:r>
      <w:r>
        <w:t xml:space="preserve"> 2025</w:t>
      </w:r>
      <w:r w:rsidR="00F91110">
        <w:t xml:space="preserve"> where</w:t>
      </w:r>
      <w:r w:rsidR="00F91110" w:rsidRPr="00F91110">
        <w:t xml:space="preserve"> </w:t>
      </w:r>
      <w:r w:rsidR="00F91110">
        <w:t>i</w:t>
      </w:r>
      <w:r w:rsidR="00F91110">
        <w:t>t is expected that the proceedings will bring attention to key issues, including</w:t>
      </w:r>
      <w:r w:rsidR="00F91110" w:rsidRPr="00F91110">
        <w:t xml:space="preserve"> </w:t>
      </w:r>
      <w:r w:rsidR="00F91110">
        <w:t xml:space="preserve">whether the denial of termination of pregnancy services violated the </w:t>
      </w:r>
      <w:r w:rsidR="003C5F45">
        <w:t xml:space="preserve">minor’s rights and </w:t>
      </w:r>
      <w:r w:rsidR="00F91110">
        <w:t>legal protections</w:t>
      </w:r>
      <w:r w:rsidR="00F91110">
        <w:t xml:space="preserve"> and</w:t>
      </w:r>
      <w:r w:rsidR="00F91110">
        <w:t xml:space="preserve"> how</w:t>
      </w:r>
      <w:r w:rsidR="00F91110">
        <w:t xml:space="preserve"> the current</w:t>
      </w:r>
      <w:r w:rsidR="00F91110">
        <w:t xml:space="preserve"> legal and institutional frameworks affect</w:t>
      </w:r>
      <w:r w:rsidR="003C5F45">
        <w:t>s</w:t>
      </w:r>
      <w:r w:rsidR="00F91110">
        <w:t xml:space="preserve"> survivors of sexual violence seeking healthcare.</w:t>
      </w:r>
    </w:p>
    <w:p w:rsidR="00F91110" w:rsidRPr="00380FF5" w:rsidRDefault="00485095" w:rsidP="00380FF5">
      <w:pPr>
        <w:pStyle w:val="NormalWeb"/>
      </w:pPr>
      <w:r>
        <w:t>This case represents a significant step in advocating for reproductive justice and gender equality in Malawi.</w:t>
      </w:r>
    </w:p>
    <w:p w:rsidR="00F91110" w:rsidRPr="00380FF5" w:rsidRDefault="00380FF5" w:rsidP="00380FF5">
      <w:pPr>
        <w:shd w:val="clear" w:color="auto" w:fill="FFFFFF"/>
        <w:spacing w:after="120" w:line="240" w:lineRule="auto"/>
        <w:outlineLvl w:val="2"/>
        <w:rPr>
          <w:rFonts w:ascii="Segoe UI" w:eastAsia="Times New Roman" w:hAnsi="Segoe UI" w:cs="Segoe UI"/>
          <w:b/>
          <w:color w:val="000000" w:themeColor="text1"/>
          <w:sz w:val="27"/>
          <w:szCs w:val="27"/>
          <w:lang w:eastAsia="en-GB"/>
        </w:rPr>
      </w:pPr>
      <w:r w:rsidRPr="00380FF5">
        <w:rPr>
          <w:rFonts w:ascii="Segoe UI" w:eastAsia="Times New Roman" w:hAnsi="Segoe UI" w:cs="Segoe UI"/>
          <w:b/>
          <w:color w:val="000000" w:themeColor="text1"/>
          <w:sz w:val="27"/>
          <w:szCs w:val="27"/>
          <w:lang w:eastAsia="en-GB"/>
        </w:rPr>
        <w:t>THE STATE (ON THE APPLICATION BY HM (GUARDIAN) ON BEHALF OF CM (MINOR) VS THE HOSPITAL DIRECTOR OF QUEENS ELIZABETH CENTRAL HOSPITAL AND THE MINISTER OF HEALTH: JUDICIAL REVIEW CASE NUMBER 03 OF 2021 (UNREPORTED) (HIGH COURT OF MALAWI, ZOMBA DISTRICT REGISTRY)</w:t>
      </w:r>
    </w:p>
    <w:p w:rsidR="00F91110" w:rsidRPr="003D0391" w:rsidRDefault="00F91110" w:rsidP="00F91110">
      <w:pPr>
        <w:pStyle w:val="NormalWeb"/>
      </w:pPr>
      <w:proofErr w:type="spellStart"/>
      <w:r w:rsidRPr="003D0391">
        <w:t>Nyale</w:t>
      </w:r>
      <w:proofErr w:type="spellEnd"/>
      <w:r w:rsidRPr="003D0391">
        <w:t xml:space="preserve"> Institute, alongside KK Attorney</w:t>
      </w:r>
      <w:r w:rsidR="003C5F45" w:rsidRPr="003D0391">
        <w:t>s</w:t>
      </w:r>
      <w:r w:rsidRPr="003D0391">
        <w:t xml:space="preserve"> and WLSA, supported a 15-year-old survivor of sexual violence (CM) in seeking legal clarity on abortion access after a hospital denied her request for a safe abortion.</w:t>
      </w:r>
    </w:p>
    <w:p w:rsidR="00F91110" w:rsidRPr="003D0391" w:rsidRDefault="00F91110" w:rsidP="00F91110">
      <w:pPr>
        <w:pStyle w:val="NormalWeb"/>
      </w:pPr>
      <w:r w:rsidRPr="003D0391">
        <w:t xml:space="preserve">On June 15, 2021, the Malawi High Court ruled that while abortion is generally restricted, it is legal when a woman's </w:t>
      </w:r>
      <w:r w:rsidRPr="003D0391">
        <w:rPr>
          <w:rStyle w:val="Strong"/>
        </w:rPr>
        <w:t>life or health—both physical and mental—is at risk</w:t>
      </w:r>
      <w:r w:rsidRPr="003D0391">
        <w:t>. The court also clarified that women and girls seeking an abortion must formally request the procedure from a healthcare provider, who will assess their condition.</w:t>
      </w:r>
      <w:r w:rsidR="003D0391" w:rsidRPr="003D0391">
        <w:t xml:space="preserve"> This ruling </w:t>
      </w:r>
      <w:r w:rsidR="003C5F45" w:rsidRPr="003D0391">
        <w:t>set an important precedent</w:t>
      </w:r>
      <w:r w:rsidR="00EF699D">
        <w:t xml:space="preserve"> </w:t>
      </w:r>
      <w:bookmarkStart w:id="0" w:name="_GoBack"/>
      <w:bookmarkEnd w:id="0"/>
      <w:r w:rsidR="00EF699D">
        <w:t xml:space="preserve">which </w:t>
      </w:r>
      <w:r w:rsidRPr="003D0391">
        <w:t>is binding on all lower courts and public institutions.</w:t>
      </w:r>
      <w:r w:rsidR="003D0391" w:rsidRPr="003D0391">
        <w:t xml:space="preserve"> It </w:t>
      </w:r>
      <w:r w:rsidR="003D0391" w:rsidRPr="003D0391">
        <w:t>was</w:t>
      </w:r>
      <w:r w:rsidR="003D0391" w:rsidRPr="003D0391">
        <w:t xml:space="preserve"> also</w:t>
      </w:r>
      <w:r w:rsidR="003D0391" w:rsidRPr="003D0391">
        <w:t xml:space="preserve"> </w:t>
      </w:r>
      <w:r w:rsidR="003D0391" w:rsidRPr="003D0391">
        <w:rPr>
          <w:rStyle w:val="Strong"/>
          <w:b w:val="0"/>
        </w:rPr>
        <w:t>the</w:t>
      </w:r>
      <w:r w:rsidR="003D0391" w:rsidRPr="003D0391">
        <w:rPr>
          <w:rStyle w:val="Strong"/>
        </w:rPr>
        <w:t xml:space="preserve"> </w:t>
      </w:r>
      <w:r w:rsidR="003D0391" w:rsidRPr="003D0391">
        <w:rPr>
          <w:rStyle w:val="Strong"/>
          <w:b w:val="0"/>
        </w:rPr>
        <w:t>first time a Malawian court interpreted abortion laws outside of a criminal case</w:t>
      </w:r>
      <w:r w:rsidR="003D0391">
        <w:t>.</w:t>
      </w:r>
    </w:p>
    <w:p w:rsidR="00F91110" w:rsidRPr="003D0391" w:rsidRDefault="00F91110" w:rsidP="00380FF5">
      <w:pPr>
        <w:pStyle w:val="NormalWeb"/>
      </w:pPr>
      <w:r w:rsidRPr="003D0391">
        <w:t>This marks a key step in advancing reproductive rights in Malawi.</w:t>
      </w:r>
    </w:p>
    <w:sectPr w:rsidR="00F91110" w:rsidRPr="003D0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095"/>
    <w:rsid w:val="00380FF5"/>
    <w:rsid w:val="003C5F45"/>
    <w:rsid w:val="003D0391"/>
    <w:rsid w:val="00485095"/>
    <w:rsid w:val="00721C0F"/>
    <w:rsid w:val="00996A73"/>
    <w:rsid w:val="00E63002"/>
    <w:rsid w:val="00EF699D"/>
    <w:rsid w:val="00F91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7BE26-8157-4B41-AA0B-F9EAB3372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509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91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369691">
      <w:bodyDiv w:val="1"/>
      <w:marLeft w:val="0"/>
      <w:marRight w:val="0"/>
      <w:marTop w:val="0"/>
      <w:marBottom w:val="0"/>
      <w:divBdr>
        <w:top w:val="none" w:sz="0" w:space="0" w:color="auto"/>
        <w:left w:val="none" w:sz="0" w:space="0" w:color="auto"/>
        <w:bottom w:val="none" w:sz="0" w:space="0" w:color="auto"/>
        <w:right w:val="none" w:sz="0" w:space="0" w:color="auto"/>
      </w:divBdr>
    </w:div>
    <w:div w:id="428236114">
      <w:bodyDiv w:val="1"/>
      <w:marLeft w:val="0"/>
      <w:marRight w:val="0"/>
      <w:marTop w:val="0"/>
      <w:marBottom w:val="0"/>
      <w:divBdr>
        <w:top w:val="none" w:sz="0" w:space="0" w:color="auto"/>
        <w:left w:val="none" w:sz="0" w:space="0" w:color="auto"/>
        <w:bottom w:val="none" w:sz="0" w:space="0" w:color="auto"/>
        <w:right w:val="none" w:sz="0" w:space="0" w:color="auto"/>
      </w:divBdr>
    </w:div>
    <w:div w:id="453788149">
      <w:bodyDiv w:val="1"/>
      <w:marLeft w:val="0"/>
      <w:marRight w:val="0"/>
      <w:marTop w:val="0"/>
      <w:marBottom w:val="0"/>
      <w:divBdr>
        <w:top w:val="none" w:sz="0" w:space="0" w:color="auto"/>
        <w:left w:val="none" w:sz="0" w:space="0" w:color="auto"/>
        <w:bottom w:val="none" w:sz="0" w:space="0" w:color="auto"/>
        <w:right w:val="none" w:sz="0" w:space="0" w:color="auto"/>
      </w:divBdr>
    </w:div>
    <w:div w:id="157589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2025-03-04T18:21:00Z</dcterms:created>
  <dcterms:modified xsi:type="dcterms:W3CDTF">2025-03-04T19:08:00Z</dcterms:modified>
</cp:coreProperties>
</file>