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D96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96"/>
          <w:szCs w:val="96"/>
        </w:rPr>
      </w:pPr>
    </w:p>
    <w:p w:rsidR="00003D96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96"/>
          <w:szCs w:val="96"/>
        </w:rPr>
      </w:pPr>
      <w:r>
        <w:rPr>
          <w:rFonts w:ascii="Andalus" w:hAnsi="Andalus" w:cs="Andalus"/>
          <w:b/>
          <w:noProof/>
          <w:sz w:val="96"/>
          <w:szCs w:val="96"/>
          <w:lang w:val="fr-FR" w:eastAsia="fr-FR"/>
        </w:rPr>
        <w:drawing>
          <wp:inline distT="0" distB="0" distL="0" distR="0" wp14:anchorId="5701662C" wp14:editId="6BB99C4B">
            <wp:extent cx="2457450" cy="37719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D96" w:rsidRPr="00C93B8A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nl-BE"/>
        </w:rPr>
      </w:pPr>
    </w:p>
    <w:p w:rsidR="00003D96" w:rsidRPr="00D75CD8" w:rsidRDefault="00003D96" w:rsidP="00003D96">
      <w:pPr>
        <w:pStyle w:val="Title"/>
        <w:jc w:val="center"/>
        <w:rPr>
          <w:lang w:val="fr-FR"/>
        </w:rPr>
      </w:pPr>
      <w:r w:rsidRPr="00D75CD8">
        <w:rPr>
          <w:lang w:val="fr-FR"/>
        </w:rPr>
        <w:t>TP</w:t>
      </w:r>
      <w:r>
        <w:rPr>
          <w:lang w:val="fr-FR"/>
        </w:rPr>
        <w:t>4</w:t>
      </w:r>
      <w:r w:rsidRPr="00D75CD8">
        <w:rPr>
          <w:lang w:val="fr-FR"/>
        </w:rPr>
        <w:t xml:space="preserve"> </w:t>
      </w:r>
      <w:r>
        <w:rPr>
          <w:lang w:val="fr-FR"/>
        </w:rPr>
        <w:t>Plan Industriel Commercial</w:t>
      </w:r>
    </w:p>
    <w:p w:rsidR="00003D96" w:rsidRPr="00D75CD8" w:rsidRDefault="00003D96" w:rsidP="00003D96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FR"/>
        </w:rPr>
      </w:pPr>
    </w:p>
    <w:p w:rsidR="00003D96" w:rsidRPr="00D75CD8" w:rsidRDefault="00003D96" w:rsidP="00003D96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FR"/>
        </w:rPr>
      </w:pPr>
    </w:p>
    <w:p w:rsidR="00003D96" w:rsidRPr="00003D96" w:rsidRDefault="00003D96" w:rsidP="00003D96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BE"/>
        </w:rPr>
      </w:pPr>
      <w:r w:rsidRPr="00003D96">
        <w:rPr>
          <w:rFonts w:ascii="Andalus" w:hAnsi="Andalus" w:cs="Andalus"/>
          <w:b/>
          <w:sz w:val="36"/>
          <w:szCs w:val="36"/>
          <w:lang w:val="fr-BE"/>
        </w:rPr>
        <w:t>de Groot Didier</w:t>
      </w:r>
    </w:p>
    <w:p w:rsidR="00003D96" w:rsidRPr="00003D96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fr-BE"/>
        </w:rPr>
      </w:pPr>
      <w:r w:rsidRPr="00003D96">
        <w:rPr>
          <w:rFonts w:ascii="Andalus" w:hAnsi="Andalus" w:cs="Andalus"/>
          <w:b/>
          <w:sz w:val="36"/>
          <w:szCs w:val="36"/>
          <w:lang w:val="fr-BE"/>
        </w:rPr>
        <w:t xml:space="preserve">De </w:t>
      </w:r>
      <w:proofErr w:type="spellStart"/>
      <w:r w:rsidRPr="00003D96">
        <w:rPr>
          <w:rFonts w:ascii="Andalus" w:hAnsi="Andalus" w:cs="Andalus"/>
          <w:b/>
          <w:sz w:val="36"/>
          <w:szCs w:val="36"/>
          <w:lang w:val="fr-BE"/>
        </w:rPr>
        <w:t>Troyer</w:t>
      </w:r>
      <w:proofErr w:type="spellEnd"/>
      <w:r w:rsidRPr="00003D96">
        <w:rPr>
          <w:rFonts w:ascii="Andalus" w:hAnsi="Andalus" w:cs="Andalus"/>
          <w:b/>
          <w:sz w:val="36"/>
          <w:szCs w:val="36"/>
          <w:lang w:val="fr-BE"/>
        </w:rPr>
        <w:t xml:space="preserve"> Vincent</w:t>
      </w:r>
    </w:p>
    <w:p w:rsidR="00003D96" w:rsidRPr="00003D96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fr-BE"/>
        </w:rPr>
      </w:pPr>
      <w:proofErr w:type="spellStart"/>
      <w:r w:rsidRPr="00003D96">
        <w:rPr>
          <w:rFonts w:ascii="Andalus" w:hAnsi="Andalus" w:cs="Andalus"/>
          <w:b/>
          <w:sz w:val="36"/>
          <w:szCs w:val="36"/>
          <w:lang w:val="fr-BE"/>
        </w:rPr>
        <w:t>Godfroid</w:t>
      </w:r>
      <w:proofErr w:type="spellEnd"/>
      <w:r w:rsidRPr="00003D96">
        <w:rPr>
          <w:rFonts w:ascii="Andalus" w:hAnsi="Andalus" w:cs="Andalus"/>
          <w:b/>
          <w:sz w:val="36"/>
          <w:szCs w:val="36"/>
          <w:lang w:val="fr-BE"/>
        </w:rPr>
        <w:t xml:space="preserve"> Jonathan</w:t>
      </w:r>
    </w:p>
    <w:p w:rsidR="00003D96" w:rsidRPr="00AC6CDC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fr-BE"/>
        </w:rPr>
      </w:pPr>
      <w:r w:rsidRPr="00AC6CDC">
        <w:rPr>
          <w:rFonts w:ascii="Andalus" w:hAnsi="Andalus" w:cs="Andalus"/>
          <w:b/>
          <w:sz w:val="36"/>
          <w:szCs w:val="36"/>
          <w:lang w:val="fr-BE"/>
        </w:rPr>
        <w:t>Yilma</w:t>
      </w:r>
      <w:bookmarkStart w:id="0" w:name="_GoBack"/>
      <w:bookmarkEnd w:id="0"/>
      <w:r w:rsidRPr="00AC6CDC">
        <w:rPr>
          <w:rFonts w:ascii="Andalus" w:hAnsi="Andalus" w:cs="Andalus"/>
          <w:b/>
          <w:sz w:val="36"/>
          <w:szCs w:val="36"/>
          <w:lang w:val="fr-BE"/>
        </w:rPr>
        <w:t xml:space="preserve">z </w:t>
      </w:r>
      <w:proofErr w:type="spellStart"/>
      <w:r w:rsidRPr="00AC6CDC">
        <w:rPr>
          <w:rFonts w:ascii="Andalus" w:hAnsi="Andalus" w:cs="Andalus"/>
          <w:b/>
          <w:sz w:val="36"/>
          <w:szCs w:val="36"/>
          <w:lang w:val="fr-BE"/>
        </w:rPr>
        <w:t>Enes</w:t>
      </w:r>
      <w:proofErr w:type="spellEnd"/>
    </w:p>
    <w:p w:rsidR="00003D96" w:rsidRPr="00AC6CDC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fr-BE"/>
        </w:rPr>
      </w:pPr>
    </w:p>
    <w:p w:rsidR="00003D96" w:rsidRPr="00AC6CDC" w:rsidRDefault="00003D96" w:rsidP="00236551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fr-BE"/>
        </w:rPr>
      </w:pPr>
    </w:p>
    <w:p w:rsidR="007B4291" w:rsidRDefault="00236551" w:rsidP="00236551">
      <w:pPr>
        <w:spacing w:after="0" w:line="240" w:lineRule="auto"/>
        <w:jc w:val="center"/>
        <w:rPr>
          <w:rFonts w:ascii="Andalus" w:hAnsi="Andalus" w:cs="Andalus"/>
          <w:sz w:val="24"/>
          <w:szCs w:val="24"/>
          <w:lang w:val="fr-FR"/>
        </w:rPr>
      </w:pPr>
      <w:r>
        <w:rPr>
          <w:rFonts w:ascii="Andalus" w:hAnsi="Andalus" w:cs="Andalus"/>
          <w:noProof/>
          <w:sz w:val="24"/>
          <w:szCs w:val="24"/>
          <w:lang w:val="fr-FR"/>
        </w:rPr>
        <w:drawing>
          <wp:inline distT="0" distB="0" distL="0" distR="0" wp14:anchorId="353D05E1" wp14:editId="0117601C">
            <wp:extent cx="1775460" cy="911092"/>
            <wp:effectExtent l="0" t="0" r="0" b="0"/>
            <wp:docPr id="6" name="Picture 6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epscf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035" cy="9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5F" w:rsidRPr="008D245F" w:rsidRDefault="008D245F" w:rsidP="008D245F">
      <w:pPr>
        <w:pStyle w:val="Heading1"/>
        <w:rPr>
          <w:lang w:val="fr-BE"/>
        </w:rPr>
      </w:pPr>
      <w:r>
        <w:rPr>
          <w:lang w:val="fr-BE"/>
        </w:rPr>
        <w:lastRenderedPageBreak/>
        <w:t>Analyse de l’historique de production</w:t>
      </w:r>
    </w:p>
    <w:p w:rsidR="008D245F" w:rsidRPr="008D245F" w:rsidRDefault="008D245F" w:rsidP="008D245F">
      <w:pPr>
        <w:pStyle w:val="Heading2"/>
        <w:spacing w:after="120"/>
        <w:rPr>
          <w:lang w:val="fr-BE"/>
        </w:rPr>
      </w:pPr>
      <w:r>
        <w:rPr>
          <w:lang w:val="fr-BE"/>
        </w:rPr>
        <w:t>Troisième année de production :</w:t>
      </w:r>
    </w:p>
    <w:p w:rsidR="00003D96" w:rsidRPr="00F6313D" w:rsidRDefault="00F6313D" w:rsidP="00003D96">
      <w:pPr>
        <w:jc w:val="both"/>
        <w:rPr>
          <w:lang w:val="fr-BE"/>
        </w:rPr>
      </w:pPr>
      <w:r w:rsidRPr="00F6313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972810" cy="30353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8" b="-3187"/>
                    <a:stretch/>
                  </pic:blipFill>
                  <pic:spPr bwMode="auto">
                    <a:xfrm>
                      <a:off x="0" y="0"/>
                      <a:ext cx="59728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3D96">
        <w:rPr>
          <w:lang w:val="fr-BE"/>
        </w:rPr>
        <w:t>Ci-dessous, comme présenté dans le TP2, sont repris les chiffres générés par les cinq premières années d’activité de l’entreprise :</w:t>
      </w:r>
      <w:r w:rsidRPr="00F6313D">
        <w:rPr>
          <w:lang w:val="fr-BE"/>
        </w:rPr>
        <w:t xml:space="preserve"> </w:t>
      </w:r>
    </w:p>
    <w:p w:rsidR="00003D96" w:rsidRDefault="00003D96" w:rsidP="00003D96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L’exercice sera fait pour la troisième année d’activité.</w:t>
      </w:r>
    </w:p>
    <w:p w:rsidR="00003D96" w:rsidRDefault="00403EC5" w:rsidP="00F6313D">
      <w:pPr>
        <w:spacing w:before="120" w:after="120"/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Durant cette année, la production s’est étendue en 3 familles :</w:t>
      </w:r>
    </w:p>
    <w:p w:rsidR="00403EC5" w:rsidRDefault="00403EC5" w:rsidP="00403EC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 moteurs spécifiques, fabriqués en atelier spécialisés</w:t>
      </w:r>
    </w:p>
    <w:p w:rsidR="00403EC5" w:rsidRDefault="00403EC5" w:rsidP="00403EC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 moteurs 2205 et 2306 fabriqués en grande série</w:t>
      </w:r>
    </w:p>
    <w:p w:rsidR="00403EC5" w:rsidRDefault="00403EC5" w:rsidP="00403EC5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Au début de l’année, la production a été relativement constante. Une demande plus accrue s’est faite ressentir à l’approche des mois estivaux étant donné que les moteurs sont destinés au modélisme utilisé en extérieur.</w:t>
      </w:r>
    </w:p>
    <w:p w:rsidR="00403EC5" w:rsidRDefault="00403EC5" w:rsidP="00403EC5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 amortissements des investissements effectués sur les l’année 0 et l’année 1 ont été répartis sur plusieurs années :</w:t>
      </w:r>
    </w:p>
    <w:p w:rsidR="00B224E6" w:rsidRDefault="00403EC5" w:rsidP="00403EC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Achat du bâtiment</w:t>
      </w:r>
      <w:r w:rsidR="00B224E6">
        <w:rPr>
          <w:sz w:val="24"/>
          <w:szCs w:val="24"/>
          <w:lang w:val="fr-BE"/>
        </w:rPr>
        <w:t> :</w:t>
      </w:r>
    </w:p>
    <w:p w:rsidR="00403EC5" w:rsidRDefault="00B224E6" w:rsidP="00B22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année 0 : </w:t>
      </w:r>
      <w:r w:rsidR="00E465DD">
        <w:rPr>
          <w:sz w:val="24"/>
          <w:szCs w:val="24"/>
          <w:lang w:val="fr-BE"/>
        </w:rPr>
        <w:t>10.000.000</w:t>
      </w:r>
      <w:r>
        <w:rPr>
          <w:sz w:val="24"/>
          <w:szCs w:val="24"/>
          <w:lang w:val="fr-BE"/>
        </w:rPr>
        <w:t xml:space="preserve"> €</w:t>
      </w:r>
      <w:r w:rsidR="00E465DD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>amortis sur 20 ans</w:t>
      </w:r>
    </w:p>
    <w:p w:rsidR="00B224E6" w:rsidRDefault="00B224E6" w:rsidP="00B22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année 1 : 5.000.000 € amortis sur 20 ans</w:t>
      </w:r>
    </w:p>
    <w:p w:rsidR="00403EC5" w:rsidRDefault="00403EC5" w:rsidP="00403EC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Achat des machines de production et équipements</w:t>
      </w:r>
      <w:r w:rsidR="00B224E6">
        <w:rPr>
          <w:sz w:val="24"/>
          <w:szCs w:val="24"/>
          <w:lang w:val="fr-BE"/>
        </w:rPr>
        <w:t> :</w:t>
      </w:r>
    </w:p>
    <w:p w:rsidR="00B224E6" w:rsidRDefault="00B224E6" w:rsidP="00B22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Année 0 : 5.000.000 € amortis sur 5 ans</w:t>
      </w:r>
    </w:p>
    <w:p w:rsidR="00B224E6" w:rsidRDefault="00B224E6" w:rsidP="00B22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Année 1 : 5.000.000 € amortis sur 5 ans</w:t>
      </w:r>
    </w:p>
    <w:p w:rsidR="00D3468A" w:rsidRDefault="00D3468A" w:rsidP="00C9321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lastRenderedPageBreak/>
        <w:t>Les frais fixes sont attribués à la recherche et au développement, à la direction, les ressources humaines, les services financiers et commerciales, les assurances, le personnel de production, les ingénieurs, etc.</w:t>
      </w:r>
    </w:p>
    <w:p w:rsidR="00D3468A" w:rsidRDefault="00D3468A" w:rsidP="00C9321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 frais variables reprennent quant à eux les frais relatifs à la production comme les frais d’énergie</w:t>
      </w:r>
      <w:r w:rsidR="00D12D3D">
        <w:rPr>
          <w:sz w:val="24"/>
          <w:szCs w:val="24"/>
          <w:lang w:val="fr-BE"/>
        </w:rPr>
        <w:t>, le</w:t>
      </w:r>
      <w:r w:rsidR="006C16F2">
        <w:rPr>
          <w:sz w:val="24"/>
          <w:szCs w:val="24"/>
          <w:lang w:val="fr-BE"/>
        </w:rPr>
        <w:t>s effectifs de production supplémentaires, etc.</w:t>
      </w:r>
    </w:p>
    <w:p w:rsidR="008D245F" w:rsidRDefault="008D245F" w:rsidP="008D245F">
      <w:pPr>
        <w:pStyle w:val="Heading2"/>
        <w:rPr>
          <w:lang w:val="fr-BE"/>
        </w:rPr>
      </w:pPr>
      <w:r>
        <w:rPr>
          <w:lang w:val="fr-BE"/>
        </w:rPr>
        <w:t>Budget</w:t>
      </w:r>
    </w:p>
    <w:p w:rsidR="006C16F2" w:rsidRDefault="006C16F2" w:rsidP="00C9321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L’ensemble de ces frais, déduits du chiffre d’affaire affublé ensuite de l’imposition due nous a donné le bénéfice reporté et sont repris dans le tableau suivant :</w:t>
      </w:r>
    </w:p>
    <w:tbl>
      <w:tblPr>
        <w:tblW w:w="8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4120"/>
        <w:gridCol w:w="940"/>
        <w:gridCol w:w="960"/>
      </w:tblGrid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Ventes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30000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Frais Fixes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 xml:space="preserve">Salaires admin. </w:t>
            </w:r>
            <w:proofErr w:type="spellStart"/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Moy</w:t>
            </w:r>
            <w:proofErr w:type="spellEnd"/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 xml:space="preserve"> [30 pers.]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R&amp;D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Intérêts sur emprunts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Assurance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Télécommunication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Sous-traitance/entretien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Petit outillage et produit entretien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Brevets, enregistrements et documentation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Publicité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7750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Frais Variables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MP - Transport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5368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Intérim et heures sup.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Énergie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Entretien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7000</w:t>
            </w:r>
          </w:p>
        </w:tc>
      </w:tr>
      <w:tr w:rsidR="004E1109" w:rsidRPr="004E1109" w:rsidTr="004E1109">
        <w:trPr>
          <w:trHeight w:val="300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Amortissements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2750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 xml:space="preserve">Bénéfice avant </w:t>
            </w:r>
            <w:proofErr w:type="spellStart"/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impos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12500</w:t>
            </w:r>
          </w:p>
        </w:tc>
      </w:tr>
      <w:tr w:rsidR="004E1109" w:rsidRPr="004E1109" w:rsidTr="004E1109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proofErr w:type="spellStart"/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Impos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34%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Bénéfice reporté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8251.25</w:t>
            </w:r>
          </w:p>
        </w:tc>
      </w:tr>
    </w:tbl>
    <w:p w:rsidR="006C16F2" w:rsidRDefault="006C16F2" w:rsidP="00C93218">
      <w:pPr>
        <w:jc w:val="both"/>
        <w:rPr>
          <w:sz w:val="24"/>
          <w:szCs w:val="24"/>
          <w:lang w:val="fr-BE"/>
        </w:rPr>
      </w:pPr>
    </w:p>
    <w:p w:rsidR="006C16F2" w:rsidRDefault="006C16F2" w:rsidP="00C9321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Comme expliqué ci-dessus, n</w:t>
      </w:r>
      <w:r w:rsidR="00D3468A">
        <w:rPr>
          <w:sz w:val="24"/>
          <w:szCs w:val="24"/>
          <w:lang w:val="fr-BE"/>
        </w:rPr>
        <w:t xml:space="preserve">ous avons dû faire appel à du personnel supplémentaire (intérimaire) </w:t>
      </w:r>
      <w:r w:rsidR="00B224E6">
        <w:rPr>
          <w:sz w:val="24"/>
          <w:szCs w:val="24"/>
          <w:lang w:val="fr-BE"/>
        </w:rPr>
        <w:t xml:space="preserve">et dû demander au personnel engagé de prester des heures supplémentaires </w:t>
      </w:r>
      <w:r w:rsidR="00D3468A">
        <w:rPr>
          <w:sz w:val="24"/>
          <w:szCs w:val="24"/>
          <w:lang w:val="fr-BE"/>
        </w:rPr>
        <w:t>pour pouvoir assur</w:t>
      </w:r>
      <w:r w:rsidR="00B224E6">
        <w:rPr>
          <w:sz w:val="24"/>
          <w:szCs w:val="24"/>
          <w:lang w:val="fr-BE"/>
        </w:rPr>
        <w:t>er</w:t>
      </w:r>
      <w:r w:rsidR="00D3468A">
        <w:rPr>
          <w:sz w:val="24"/>
          <w:szCs w:val="24"/>
          <w:lang w:val="fr-BE"/>
        </w:rPr>
        <w:t xml:space="preserve"> une surproduction en été. Une faible augmentation s’est également faite sentir lors des fêtes de fin d’année.</w:t>
      </w:r>
    </w:p>
    <w:p w:rsidR="008D245F" w:rsidRDefault="006C16F2" w:rsidP="00236551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Ces augmentations de demande de produits ont été remarquées sur les années de production précédentes. Le pic de production a donc pu être anticipé dans une certaine mesure et il n’y a jamais eu de rupture de stock. </w:t>
      </w:r>
      <w:r>
        <w:rPr>
          <w:sz w:val="24"/>
          <w:szCs w:val="24"/>
          <w:lang w:val="fr-BE"/>
        </w:rPr>
        <w:br w:type="page"/>
      </w:r>
    </w:p>
    <w:p w:rsidR="008D245F" w:rsidRDefault="008D245F" w:rsidP="008D245F">
      <w:pPr>
        <w:pStyle w:val="Heading1"/>
        <w:rPr>
          <w:lang w:val="fr-BE"/>
        </w:rPr>
      </w:pPr>
      <w:r>
        <w:rPr>
          <w:lang w:val="fr-BE"/>
        </w:rPr>
        <w:lastRenderedPageBreak/>
        <w:t>Plan Commercial</w:t>
      </w:r>
    </w:p>
    <w:p w:rsidR="007B4291" w:rsidRDefault="008D245F" w:rsidP="006C16F2">
      <w:pPr>
        <w:spacing w:after="160" w:line="259" w:lineRule="auto"/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w:drawing>
          <wp:anchor distT="182880" distB="274320" distL="114300" distR="114300" simplePos="0" relativeHeight="251658240" behindDoc="1" locked="0" layoutInCell="1" allowOverlap="1" wp14:anchorId="0C9D5C32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4992624" cy="3675888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3675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6F2">
        <w:rPr>
          <w:sz w:val="24"/>
          <w:szCs w:val="24"/>
          <w:lang w:val="fr-BE"/>
        </w:rPr>
        <w:t>Le graphique suivant reprend les besoins et la production cumulée sur l’année numéro 3.</w:t>
      </w:r>
    </w:p>
    <w:p w:rsidR="006C16F2" w:rsidRDefault="006C16F2" w:rsidP="006C16F2">
      <w:pPr>
        <w:spacing w:after="160" w:line="259" w:lineRule="auto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 valeurs représentées par ce graphique sont quant à elle reprise dans le tableau du dessous.</w:t>
      </w:r>
    </w:p>
    <w:p w:rsidR="007B4291" w:rsidRPr="007B4291" w:rsidRDefault="007B4291" w:rsidP="007B42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BE" w:eastAsia="fr-BE"/>
        </w:rPr>
      </w:pPr>
    </w:p>
    <w:p w:rsidR="006C16F2" w:rsidRDefault="007B4291" w:rsidP="007B4291">
      <w:pPr>
        <w:spacing w:after="160" w:line="259" w:lineRule="auto"/>
        <w:jc w:val="center"/>
        <w:rPr>
          <w:sz w:val="24"/>
          <w:szCs w:val="24"/>
          <w:lang w:val="fr-BE"/>
        </w:rPr>
      </w:pPr>
      <w:r w:rsidRPr="007B4291">
        <w:rPr>
          <w:noProof/>
        </w:rPr>
        <w:drawing>
          <wp:inline distT="0" distB="0" distL="0" distR="0">
            <wp:extent cx="5972810" cy="25099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F12" w:rsidRDefault="00730F12" w:rsidP="00C93218">
      <w:pPr>
        <w:jc w:val="both"/>
        <w:rPr>
          <w:sz w:val="24"/>
          <w:szCs w:val="24"/>
          <w:lang w:val="fr-BE"/>
        </w:rPr>
      </w:pPr>
    </w:p>
    <w:sectPr w:rsidR="00730F12" w:rsidSect="002D7E98">
      <w:headerReference w:type="default" r:id="rId13"/>
      <w:footerReference w:type="default" r:id="rId14"/>
      <w:footerReference w:type="first" r:id="rId15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961" w:rsidRDefault="00A65961" w:rsidP="002D7E98">
      <w:pPr>
        <w:spacing w:after="0" w:line="240" w:lineRule="auto"/>
      </w:pPr>
      <w:r>
        <w:separator/>
      </w:r>
    </w:p>
  </w:endnote>
  <w:endnote w:type="continuationSeparator" w:id="0">
    <w:p w:rsidR="00A65961" w:rsidRDefault="00A65961" w:rsidP="002D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7992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551" w:rsidRDefault="00236551">
        <w:pPr>
          <w:pStyle w:val="Footer"/>
          <w:jc w:val="center"/>
        </w:pPr>
      </w:p>
      <w:p w:rsidR="00236551" w:rsidRDefault="00236551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2E3164A">
              <wp:simplePos x="0" y="0"/>
              <wp:positionH relativeFrom="margin">
                <wp:posOffset>-635</wp:posOffset>
              </wp:positionH>
              <wp:positionV relativeFrom="paragraph">
                <wp:posOffset>46990</wp:posOffset>
              </wp:positionV>
              <wp:extent cx="618490" cy="317500"/>
              <wp:effectExtent l="0" t="0" r="0" b="6350"/>
              <wp:wrapNone/>
              <wp:docPr id="1" name="Picture 1" descr="A close up of a sign&#10;&#10;Description generated with very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iepscf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4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2D7E98" w:rsidRDefault="002D7E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7E98" w:rsidRDefault="002D7E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E98" w:rsidRDefault="002D7E98" w:rsidP="002D7E98">
    <w:pPr>
      <w:pStyle w:val="Footer"/>
      <w:jc w:val="center"/>
    </w:pPr>
    <w:proofErr w:type="spellStart"/>
    <w:r>
      <w:t>Rédacteur</w:t>
    </w:r>
    <w:proofErr w:type="spellEnd"/>
    <w:r>
      <w:t>: Didier de Groot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961" w:rsidRDefault="00A65961" w:rsidP="002D7E98">
      <w:pPr>
        <w:spacing w:after="0" w:line="240" w:lineRule="auto"/>
      </w:pPr>
      <w:r>
        <w:separator/>
      </w:r>
    </w:p>
  </w:footnote>
  <w:footnote w:type="continuationSeparator" w:id="0">
    <w:p w:rsidR="00A65961" w:rsidRDefault="00A65961" w:rsidP="002D7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E98" w:rsidRDefault="002D7E98" w:rsidP="002D7E98">
    <w:pPr>
      <w:pStyle w:val="Header"/>
      <w:jc w:val="center"/>
    </w:pPr>
    <w:r>
      <w:t>Gestion de Production – TP4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541B0"/>
    <w:multiLevelType w:val="hybridMultilevel"/>
    <w:tmpl w:val="30C2CFE6"/>
    <w:lvl w:ilvl="0" w:tplc="042C50D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96"/>
    <w:rsid w:val="00003D96"/>
    <w:rsid w:val="00080FF5"/>
    <w:rsid w:val="001F3555"/>
    <w:rsid w:val="00236551"/>
    <w:rsid w:val="002D7E98"/>
    <w:rsid w:val="00403EC5"/>
    <w:rsid w:val="0046636F"/>
    <w:rsid w:val="004E1109"/>
    <w:rsid w:val="006C16F2"/>
    <w:rsid w:val="00730F12"/>
    <w:rsid w:val="00790454"/>
    <w:rsid w:val="007B4291"/>
    <w:rsid w:val="008D245F"/>
    <w:rsid w:val="00A65961"/>
    <w:rsid w:val="00B17B62"/>
    <w:rsid w:val="00B224E6"/>
    <w:rsid w:val="00C43C09"/>
    <w:rsid w:val="00C65B86"/>
    <w:rsid w:val="00C93218"/>
    <w:rsid w:val="00D12D3D"/>
    <w:rsid w:val="00D3468A"/>
    <w:rsid w:val="00E465DD"/>
    <w:rsid w:val="00EA09BC"/>
    <w:rsid w:val="00F6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3AC21"/>
  <w15:chartTrackingRefBased/>
  <w15:docId w15:val="{48CE3AD2-3515-4D02-AAEC-49F70C39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D96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3D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03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9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403EC5"/>
    <w:pPr>
      <w:ind w:left="720"/>
      <w:contextualSpacing/>
    </w:pPr>
  </w:style>
  <w:style w:type="table" w:styleId="TableGrid">
    <w:name w:val="Table Grid"/>
    <w:basedOn w:val="TableNormal"/>
    <w:uiPriority w:val="39"/>
    <w:rsid w:val="0008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7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E9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7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E9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Groot Didier</dc:creator>
  <cp:keywords/>
  <dc:description/>
  <cp:lastModifiedBy>de Groot Didier</cp:lastModifiedBy>
  <cp:revision>7</cp:revision>
  <dcterms:created xsi:type="dcterms:W3CDTF">2018-03-18T19:29:00Z</dcterms:created>
  <dcterms:modified xsi:type="dcterms:W3CDTF">2018-03-22T08:57:00Z</dcterms:modified>
</cp:coreProperties>
</file>