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8A" w:rsidRDefault="00C93B8A" w:rsidP="000700DE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</w:rPr>
      </w:pPr>
    </w:p>
    <w:p w:rsidR="00E40FB8" w:rsidRDefault="00C93B8A" w:rsidP="000700DE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</w:rPr>
      </w:pPr>
      <w:r>
        <w:rPr>
          <w:rFonts w:ascii="Andalus" w:hAnsi="Andalus" w:cs="Andalus"/>
          <w:b/>
          <w:noProof/>
          <w:sz w:val="96"/>
          <w:szCs w:val="96"/>
          <w:lang w:val="fr-FR" w:eastAsia="fr-FR"/>
        </w:rPr>
        <w:drawing>
          <wp:inline distT="0" distB="0" distL="0" distR="0">
            <wp:extent cx="2457450" cy="37719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B8" w:rsidRPr="00C93B8A" w:rsidRDefault="00E40FB8" w:rsidP="000700DE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nl-BE"/>
        </w:rPr>
      </w:pPr>
    </w:p>
    <w:p w:rsidR="00D75CD8" w:rsidRPr="00D75CD8" w:rsidRDefault="00D75CD8" w:rsidP="00D75CD8">
      <w:pPr>
        <w:pStyle w:val="Titre"/>
        <w:jc w:val="center"/>
        <w:rPr>
          <w:lang w:val="fr-FR"/>
        </w:rPr>
      </w:pPr>
      <w:r w:rsidRPr="00D75CD8">
        <w:rPr>
          <w:lang w:val="fr-FR"/>
        </w:rPr>
        <w:t>TP2 Planification Stratégique</w:t>
      </w:r>
    </w:p>
    <w:p w:rsidR="00D75CD8" w:rsidRPr="00D75CD8" w:rsidRDefault="00D75CD8" w:rsidP="00C93B8A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</w:p>
    <w:p w:rsidR="00D75CD8" w:rsidRPr="00D75CD8" w:rsidRDefault="00D75CD8" w:rsidP="00C93B8A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</w:p>
    <w:p w:rsidR="00E40FB8" w:rsidRPr="00D75CD8" w:rsidRDefault="00E40FB8" w:rsidP="00C93B8A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  <w:r w:rsidRPr="00D75CD8">
        <w:rPr>
          <w:rFonts w:ascii="Andalus" w:hAnsi="Andalus" w:cs="Andalus"/>
          <w:b/>
          <w:sz w:val="36"/>
          <w:szCs w:val="36"/>
          <w:lang w:val="fr-FR"/>
        </w:rPr>
        <w:t>De Groot Didier</w:t>
      </w:r>
    </w:p>
    <w:p w:rsidR="00E40FB8" w:rsidRPr="000D4C35" w:rsidRDefault="00E40FB8" w:rsidP="000700DE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r w:rsidRPr="000D4C35">
        <w:rPr>
          <w:rFonts w:ascii="Andalus" w:hAnsi="Andalus" w:cs="Andalus"/>
          <w:b/>
          <w:sz w:val="36"/>
          <w:szCs w:val="36"/>
        </w:rPr>
        <w:t>De Troyer Vincent</w:t>
      </w:r>
    </w:p>
    <w:p w:rsidR="00E40FB8" w:rsidRPr="000D4C35" w:rsidRDefault="00E40FB8" w:rsidP="000700DE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r w:rsidRPr="000D4C35">
        <w:rPr>
          <w:rFonts w:ascii="Andalus" w:hAnsi="Andalus" w:cs="Andalus"/>
          <w:b/>
          <w:sz w:val="36"/>
          <w:szCs w:val="36"/>
        </w:rPr>
        <w:t>Godfroid Jonathan</w:t>
      </w:r>
    </w:p>
    <w:p w:rsidR="00E159B2" w:rsidRPr="000D4C35" w:rsidRDefault="00E40FB8" w:rsidP="000700DE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r w:rsidRPr="000D4C35">
        <w:rPr>
          <w:rFonts w:ascii="Andalus" w:hAnsi="Andalus" w:cs="Andalus"/>
          <w:b/>
          <w:sz w:val="36"/>
          <w:szCs w:val="36"/>
        </w:rPr>
        <w:t>Yilmaz Enes</w:t>
      </w:r>
    </w:p>
    <w:p w:rsidR="00D75CD8" w:rsidRPr="000D4C35" w:rsidRDefault="00D75CD8" w:rsidP="000700DE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</w:p>
    <w:p w:rsidR="00D75CD8" w:rsidRPr="000D4C35" w:rsidRDefault="00D75CD8" w:rsidP="00D75CD8">
      <w:pPr>
        <w:spacing w:after="0" w:line="240" w:lineRule="auto"/>
        <w:jc w:val="right"/>
        <w:rPr>
          <w:rFonts w:ascii="Andalus" w:hAnsi="Andalus" w:cs="Andalus"/>
          <w:b/>
          <w:sz w:val="36"/>
          <w:szCs w:val="36"/>
        </w:rPr>
      </w:pPr>
    </w:p>
    <w:p w:rsidR="00D75CD8" w:rsidRPr="000D4C35" w:rsidRDefault="00D75CD8" w:rsidP="00D75CD8">
      <w:pPr>
        <w:spacing w:after="0" w:line="240" w:lineRule="auto"/>
        <w:jc w:val="right"/>
        <w:rPr>
          <w:rFonts w:ascii="Andalus" w:hAnsi="Andalus" w:cs="Andalus"/>
          <w:b/>
          <w:sz w:val="36"/>
          <w:szCs w:val="36"/>
        </w:rPr>
      </w:pPr>
    </w:p>
    <w:p w:rsidR="00D75CD8" w:rsidRPr="000D4C35" w:rsidRDefault="00D75CD8" w:rsidP="00D75CD8">
      <w:pPr>
        <w:spacing w:after="0" w:line="240" w:lineRule="auto"/>
        <w:jc w:val="right"/>
        <w:rPr>
          <w:rFonts w:ascii="Andalus" w:hAnsi="Andalus" w:cs="Andalus"/>
          <w:b/>
          <w:sz w:val="36"/>
          <w:szCs w:val="36"/>
        </w:rPr>
      </w:pPr>
    </w:p>
    <w:p w:rsidR="00D75CD8" w:rsidRPr="000D4C35" w:rsidRDefault="00D75CD8" w:rsidP="00D75CD8">
      <w:pPr>
        <w:spacing w:after="0" w:line="240" w:lineRule="auto"/>
        <w:jc w:val="right"/>
        <w:rPr>
          <w:rFonts w:ascii="Andalus" w:hAnsi="Andalus" w:cs="Andalus"/>
          <w:b/>
          <w:sz w:val="28"/>
          <w:szCs w:val="28"/>
        </w:rPr>
      </w:pPr>
    </w:p>
    <w:p w:rsidR="00455D83" w:rsidRPr="00111F98" w:rsidRDefault="00D75CD8" w:rsidP="00111F98">
      <w:pPr>
        <w:spacing w:after="0" w:line="240" w:lineRule="auto"/>
        <w:jc w:val="right"/>
        <w:rPr>
          <w:rFonts w:ascii="Andalus" w:hAnsi="Andalus" w:cs="Andalus"/>
          <w:b/>
          <w:sz w:val="28"/>
          <w:szCs w:val="28"/>
          <w:lang w:val="fr-FR"/>
        </w:rPr>
      </w:pPr>
      <w:r w:rsidRPr="00D75CD8">
        <w:rPr>
          <w:rFonts w:ascii="Andalus" w:hAnsi="Andalus" w:cs="Andalus"/>
          <w:b/>
          <w:sz w:val="28"/>
          <w:szCs w:val="28"/>
          <w:lang w:val="fr-FR"/>
        </w:rPr>
        <w:t xml:space="preserve">Rédacteur : de Troyer </w:t>
      </w:r>
      <w:r w:rsidR="00111F98">
        <w:rPr>
          <w:rFonts w:ascii="Andalus" w:hAnsi="Andalus" w:cs="Andalus"/>
          <w:b/>
          <w:sz w:val="28"/>
          <w:szCs w:val="28"/>
          <w:lang w:val="fr-FR"/>
        </w:rPr>
        <w:t>Vincen</w:t>
      </w:r>
      <w:r w:rsidR="000D4C35">
        <w:rPr>
          <w:rFonts w:ascii="Andalus" w:hAnsi="Andalus" w:cs="Andalus"/>
          <w:b/>
          <w:sz w:val="28"/>
          <w:szCs w:val="28"/>
          <w:lang w:val="fr-FR"/>
        </w:rPr>
        <w:t>t</w:t>
      </w:r>
    </w:p>
    <w:p w:rsidR="00625787" w:rsidRDefault="00D41700" w:rsidP="000D4C35">
      <w:pPr>
        <w:pStyle w:val="Titre1"/>
        <w:rPr>
          <w:lang w:val="fr-BE"/>
        </w:rPr>
      </w:pPr>
      <w:r>
        <w:rPr>
          <w:lang w:val="fr-BE"/>
        </w:rPr>
        <w:lastRenderedPageBreak/>
        <w:t>Scénario d’investissement</w:t>
      </w:r>
    </w:p>
    <w:p w:rsidR="002924DA" w:rsidRDefault="002924DA" w:rsidP="000D4C35">
      <w:pPr>
        <w:pStyle w:val="Titre2"/>
        <w:rPr>
          <w:lang w:val="fr-BE"/>
        </w:rPr>
      </w:pPr>
    </w:p>
    <w:p w:rsidR="000D4C35" w:rsidRDefault="00551F54" w:rsidP="000D4C35">
      <w:pPr>
        <w:pStyle w:val="Titre2"/>
        <w:rPr>
          <w:lang w:val="fr-BE"/>
        </w:rPr>
      </w:pPr>
      <w:r>
        <w:rPr>
          <w:lang w:val="fr-BE"/>
        </w:rPr>
        <w:t>Horizon stratégique</w:t>
      </w:r>
    </w:p>
    <w:p w:rsidR="00551F54" w:rsidRPr="00551F54" w:rsidRDefault="00551F54" w:rsidP="00B25710">
      <w:pPr>
        <w:jc w:val="both"/>
        <w:rPr>
          <w:lang w:val="fr-BE"/>
        </w:rPr>
      </w:pPr>
      <w:proofErr w:type="spellStart"/>
      <w:r>
        <w:rPr>
          <w:lang w:val="fr-BE"/>
        </w:rPr>
        <w:t>Narcos</w:t>
      </w:r>
      <w:proofErr w:type="spellEnd"/>
      <w:r>
        <w:rPr>
          <w:lang w:val="fr-BE"/>
        </w:rPr>
        <w:t xml:space="preserve"> cherche à s’implanter dans le marché des drones de courses en comblant le manque dans le milieu de gamme. Le </w:t>
      </w:r>
      <w:r w:rsidR="00B25710">
        <w:rPr>
          <w:lang w:val="fr-BE"/>
        </w:rPr>
        <w:t>marché</w:t>
      </w:r>
      <w:r>
        <w:rPr>
          <w:lang w:val="fr-BE"/>
        </w:rPr>
        <w:t xml:space="preserve"> haut de gamme est déjà </w:t>
      </w:r>
      <w:r w:rsidR="00B25710">
        <w:rPr>
          <w:lang w:val="fr-BE"/>
        </w:rPr>
        <w:t>très</w:t>
      </w:r>
      <w:r w:rsidR="00787E98">
        <w:rPr>
          <w:lang w:val="fr-BE"/>
        </w:rPr>
        <w:t xml:space="preserve"> concurrentiel,</w:t>
      </w:r>
      <w:r w:rsidR="00B25710">
        <w:rPr>
          <w:lang w:val="fr-BE"/>
        </w:rPr>
        <w:t xml:space="preserve"> il est fort probable que d’autres compagnies cherchent à rattraper leurs retards dans le milieu de gamme. </w:t>
      </w:r>
      <w:proofErr w:type="spellStart"/>
      <w:r w:rsidR="00B25710">
        <w:rPr>
          <w:lang w:val="fr-BE"/>
        </w:rPr>
        <w:t>Narcos</w:t>
      </w:r>
      <w:proofErr w:type="spellEnd"/>
      <w:r w:rsidR="00B25710">
        <w:rPr>
          <w:lang w:val="fr-BE"/>
        </w:rPr>
        <w:t xml:space="preserve"> vise donc à s’emparer de 30% du marché milieux de gamme.</w:t>
      </w:r>
    </w:p>
    <w:p w:rsidR="00902860" w:rsidRPr="008120DA" w:rsidRDefault="00902860" w:rsidP="00111F9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La production</w:t>
      </w:r>
      <w:r w:rsidR="000056D4" w:rsidRPr="008120DA">
        <w:rPr>
          <w:sz w:val="24"/>
          <w:szCs w:val="24"/>
          <w:lang w:val="fr-BE"/>
        </w:rPr>
        <w:t xml:space="preserve"> </w:t>
      </w:r>
      <w:r w:rsidR="00111F98">
        <w:rPr>
          <w:sz w:val="24"/>
          <w:szCs w:val="24"/>
          <w:lang w:val="fr-BE"/>
        </w:rPr>
        <w:t xml:space="preserve">de </w:t>
      </w:r>
      <w:r w:rsidR="000056D4" w:rsidRPr="008120DA">
        <w:rPr>
          <w:sz w:val="24"/>
          <w:szCs w:val="24"/>
          <w:lang w:val="fr-BE"/>
        </w:rPr>
        <w:t>moteur</w:t>
      </w:r>
      <w:r>
        <w:rPr>
          <w:sz w:val="24"/>
          <w:szCs w:val="24"/>
          <w:lang w:val="fr-BE"/>
        </w:rPr>
        <w:t xml:space="preserve"> </w:t>
      </w:r>
      <w:proofErr w:type="spellStart"/>
      <w:r>
        <w:rPr>
          <w:sz w:val="24"/>
          <w:szCs w:val="24"/>
          <w:lang w:val="fr-BE"/>
        </w:rPr>
        <w:t>brushless</w:t>
      </w:r>
      <w:proofErr w:type="spellEnd"/>
      <w:r>
        <w:rPr>
          <w:sz w:val="24"/>
          <w:szCs w:val="24"/>
          <w:lang w:val="fr-BE"/>
        </w:rPr>
        <w:t xml:space="preserve"> pour </w:t>
      </w:r>
      <w:proofErr w:type="spellStart"/>
      <w:r w:rsidR="0057452C">
        <w:rPr>
          <w:sz w:val="24"/>
          <w:szCs w:val="24"/>
          <w:lang w:val="fr-BE"/>
        </w:rPr>
        <w:t>quadcoptaire</w:t>
      </w:r>
      <w:proofErr w:type="spellEnd"/>
      <w:r w:rsidR="000056D4" w:rsidRPr="008120DA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 xml:space="preserve">est </w:t>
      </w:r>
      <w:r w:rsidR="000056D4" w:rsidRPr="008120DA">
        <w:rPr>
          <w:sz w:val="24"/>
          <w:szCs w:val="24"/>
          <w:lang w:val="fr-BE"/>
        </w:rPr>
        <w:t xml:space="preserve">un secteur en plein développement, </w:t>
      </w:r>
      <w:r w:rsidR="00C16059">
        <w:rPr>
          <w:sz w:val="24"/>
          <w:szCs w:val="24"/>
          <w:lang w:val="fr-BE"/>
        </w:rPr>
        <w:t>il faut donc mettre l’accent sur la recherche et le développement</w:t>
      </w:r>
      <w:r w:rsidR="000056D4" w:rsidRPr="008120DA">
        <w:rPr>
          <w:sz w:val="24"/>
          <w:szCs w:val="24"/>
          <w:lang w:val="fr-BE"/>
        </w:rPr>
        <w:t>.</w:t>
      </w:r>
      <w:r w:rsidR="00551F54">
        <w:rPr>
          <w:sz w:val="24"/>
          <w:szCs w:val="24"/>
          <w:lang w:val="fr-BE"/>
        </w:rPr>
        <w:t xml:space="preserve"> </w:t>
      </w:r>
    </w:p>
    <w:p w:rsidR="00A84B62" w:rsidRDefault="0015753C" w:rsidP="00111F9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Afin d’aider cette R&amp;D</w:t>
      </w:r>
      <w:r w:rsidR="0057452C">
        <w:rPr>
          <w:sz w:val="24"/>
          <w:szCs w:val="24"/>
          <w:lang w:val="fr-BE"/>
        </w:rPr>
        <w:t>, la première année</w:t>
      </w:r>
      <w:r>
        <w:rPr>
          <w:sz w:val="24"/>
          <w:szCs w:val="24"/>
          <w:lang w:val="fr-BE"/>
        </w:rPr>
        <w:t xml:space="preserve"> nous allons dé</w:t>
      </w:r>
      <w:r w:rsidRPr="008120DA">
        <w:rPr>
          <w:sz w:val="24"/>
          <w:szCs w:val="24"/>
          <w:lang w:val="fr-BE"/>
        </w:rPr>
        <w:t>velopper</w:t>
      </w:r>
      <w:r>
        <w:rPr>
          <w:sz w:val="24"/>
          <w:szCs w:val="24"/>
          <w:lang w:val="fr-BE"/>
        </w:rPr>
        <w:t xml:space="preserve"> </w:t>
      </w:r>
      <w:r w:rsidR="000056D4" w:rsidRPr="008120DA">
        <w:rPr>
          <w:sz w:val="24"/>
          <w:szCs w:val="24"/>
          <w:lang w:val="fr-BE"/>
        </w:rPr>
        <w:t>des moteurs sur mesure pour les clients (workshop)</w:t>
      </w:r>
      <w:r w:rsidR="00111F98">
        <w:rPr>
          <w:sz w:val="24"/>
          <w:szCs w:val="24"/>
          <w:lang w:val="fr-BE"/>
        </w:rPr>
        <w:t>.</w:t>
      </w:r>
      <w:r w:rsidR="000056D4" w:rsidRPr="008120DA">
        <w:rPr>
          <w:sz w:val="24"/>
          <w:szCs w:val="24"/>
          <w:lang w:val="fr-BE"/>
        </w:rPr>
        <w:t xml:space="preserve"> Ainsi, nous </w:t>
      </w:r>
      <w:r>
        <w:rPr>
          <w:sz w:val="24"/>
          <w:szCs w:val="24"/>
          <w:lang w:val="fr-BE"/>
        </w:rPr>
        <w:t>aurons</w:t>
      </w:r>
      <w:r w:rsidR="000056D4" w:rsidRPr="008120DA">
        <w:rPr>
          <w:sz w:val="24"/>
          <w:szCs w:val="24"/>
          <w:lang w:val="fr-BE"/>
        </w:rPr>
        <w:t xml:space="preserve"> deux avantages majeurs</w:t>
      </w:r>
      <w:r w:rsidR="009735B3">
        <w:rPr>
          <w:sz w:val="24"/>
          <w:szCs w:val="24"/>
          <w:lang w:val="fr-BE"/>
        </w:rPr>
        <w:t>, c</w:t>
      </w:r>
      <w:r w:rsidR="000056D4" w:rsidRPr="008120DA">
        <w:rPr>
          <w:sz w:val="24"/>
          <w:szCs w:val="24"/>
          <w:lang w:val="fr-BE"/>
        </w:rPr>
        <w:t>ibler les besoins des clients et bénéficier d</w:t>
      </w:r>
      <w:r w:rsidR="00111F98">
        <w:rPr>
          <w:sz w:val="24"/>
          <w:szCs w:val="24"/>
          <w:lang w:val="fr-BE"/>
        </w:rPr>
        <w:t xml:space="preserve">e </w:t>
      </w:r>
      <w:r w:rsidR="0057452C">
        <w:rPr>
          <w:sz w:val="24"/>
          <w:szCs w:val="24"/>
          <w:lang w:val="fr-BE"/>
        </w:rPr>
        <w:t>leurs savoirs</w:t>
      </w:r>
      <w:r w:rsidR="000056D4" w:rsidRPr="008120DA">
        <w:rPr>
          <w:sz w:val="24"/>
          <w:szCs w:val="24"/>
          <w:lang w:val="fr-BE"/>
        </w:rPr>
        <w:t xml:space="preserve">. </w:t>
      </w:r>
    </w:p>
    <w:p w:rsidR="000056D4" w:rsidRDefault="00A84B62" w:rsidP="00111F9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années suivantes, nous allons manufacturer en batch les moteurs ayant les meilleures performances et le plus de succès.  Le prix de production sera considérablement réduit</w:t>
      </w:r>
      <w:r w:rsidR="0057452C">
        <w:rPr>
          <w:sz w:val="24"/>
          <w:szCs w:val="24"/>
          <w:lang w:val="fr-BE"/>
        </w:rPr>
        <w:t xml:space="preserve"> grâce à l’automatisation</w:t>
      </w:r>
      <w:r w:rsidR="00787E98">
        <w:rPr>
          <w:sz w:val="24"/>
          <w:szCs w:val="24"/>
          <w:lang w:val="fr-BE"/>
        </w:rPr>
        <w:t xml:space="preserve"> et le travail en batch</w:t>
      </w:r>
      <w:r>
        <w:rPr>
          <w:sz w:val="24"/>
          <w:szCs w:val="24"/>
          <w:lang w:val="fr-BE"/>
        </w:rPr>
        <w:t>.</w:t>
      </w:r>
    </w:p>
    <w:p w:rsidR="00111F98" w:rsidRDefault="0015753C" w:rsidP="00111F9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</w:t>
      </w:r>
      <w:r w:rsidR="000D4C35">
        <w:rPr>
          <w:sz w:val="24"/>
          <w:szCs w:val="24"/>
          <w:lang w:val="fr-BE"/>
        </w:rPr>
        <w:t xml:space="preserve"> différents scénarios</w:t>
      </w:r>
      <w:r w:rsidR="00111F98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>ont été tester avec le calcul du NPV suivant</w:t>
      </w:r>
    </w:p>
    <w:p w:rsidR="00551F54" w:rsidRPr="001E43B0" w:rsidRDefault="00551F54" w:rsidP="00551F54">
      <w:pPr>
        <w:pStyle w:val="Titre1"/>
      </w:pPr>
      <w:r w:rsidRPr="001E43B0">
        <w:t>Business case</w:t>
      </w:r>
    </w:p>
    <w:p w:rsidR="00111F98" w:rsidRPr="001E43B0" w:rsidRDefault="00D57211" w:rsidP="000D4C35">
      <w:pPr>
        <w:pStyle w:val="Titre2"/>
      </w:pPr>
      <w:proofErr w:type="spellStart"/>
      <w:r w:rsidRPr="001E43B0">
        <w:t>Formule</w:t>
      </w:r>
      <w:proofErr w:type="spellEnd"/>
      <w:r w:rsidR="009C5C21" w:rsidRPr="001E43B0">
        <w:t xml:space="preserve"> du NPV (Net P</w:t>
      </w:r>
      <w:r w:rsidR="00111F98" w:rsidRPr="001E43B0">
        <w:t>resent Value)</w:t>
      </w:r>
    </w:p>
    <w:p w:rsidR="00844EE6" w:rsidRPr="00844EE6" w:rsidRDefault="00844EE6" w:rsidP="00844EE6">
      <w:pPr>
        <w:rPr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BE"/>
            </w:rPr>
            <m:t>Wacc=i=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Equity</m:t>
              </m:r>
            </m:num>
            <m:den>
              <m:r>
                <w:rPr>
                  <w:rFonts w:ascii="Cambria Math" w:hAnsi="Cambria Math"/>
                  <w:lang w:val="fr-BE"/>
                </w:rPr>
                <m:t>Equity+Dettes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n</m:t>
              </m:r>
            </m:e>
            <m:sub>
              <m:r>
                <w:rPr>
                  <w:rFonts w:ascii="Cambria Math" w:hAnsi="Cambria Math"/>
                  <w:lang w:val="fr-BE"/>
                </w:rPr>
                <m:t>E</m:t>
              </m:r>
            </m:sub>
          </m:sSub>
          <m:r>
            <w:rPr>
              <w:rFonts w:ascii="Cambria Math" w:hAnsi="Cambria Math"/>
              <w:lang w:val="fr-B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Dettes</m:t>
              </m:r>
            </m:num>
            <m:den>
              <m:r>
                <w:rPr>
                  <w:rFonts w:ascii="Cambria Math" w:hAnsi="Cambria Math"/>
                  <w:lang w:val="fr-BE"/>
                </w:rPr>
                <m:t>Equity+Dettes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n</m:t>
              </m:r>
            </m:e>
            <m:sub>
              <m:r>
                <w:rPr>
                  <w:rFonts w:ascii="Cambria Math" w:hAnsi="Cambria Math"/>
                  <w:lang w:val="fr-BE"/>
                </w:rPr>
                <m:t>D</m:t>
              </m:r>
            </m:sub>
          </m:sSub>
          <m:r>
            <w:rPr>
              <w:rFonts w:ascii="Cambria Math" w:hAnsi="Cambria Math"/>
              <w:lang w:val="fr-BE"/>
            </w:rPr>
            <m:t>(1-0.33)</m:t>
          </m:r>
        </m:oMath>
      </m:oMathPara>
    </w:p>
    <w:p w:rsidR="009735B3" w:rsidRPr="00134AF4" w:rsidRDefault="009735B3" w:rsidP="00134AF4">
      <w:pPr>
        <w:rPr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BE"/>
            </w:rPr>
            <m:t>Bénéfice=Ventes-Coûts variables-Coûts fixes</m:t>
          </m:r>
        </m:oMath>
      </m:oMathPara>
    </w:p>
    <w:p w:rsidR="009735B3" w:rsidRPr="00134AF4" w:rsidRDefault="009735B3" w:rsidP="00134AF4">
      <w:pPr>
        <w:rPr>
          <w:lang w:val="fr-B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fr-BE"/>
            </w:rPr>
            <m:t>Cash Flow</m:t>
          </m:r>
          <m:r>
            <w:rPr>
              <w:rFonts w:ascii="Cambria Math" w:hAnsi="Cambria Math"/>
              <w:lang w:val="fr-BE"/>
            </w:rPr>
            <m:t>=Bénéfice-Investissement</m:t>
          </m:r>
        </m:oMath>
      </m:oMathPara>
    </w:p>
    <w:p w:rsidR="009735B3" w:rsidRPr="0015753C" w:rsidRDefault="009735B3" w:rsidP="00134AF4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l-BE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t</m:t>
              </m:r>
              <m:r>
                <w:rPr>
                  <w:rFonts w:ascii="Cambria Math" w:hAnsi="Cambria Math"/>
                  <w:lang w:val="nl-BE"/>
                </w:rPr>
                <m:t>=0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fr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BE"/>
                    </w:rPr>
                    <m:t>Cas</m:t>
                  </m:r>
                  <m:r>
                    <w:rPr>
                      <w:rFonts w:ascii="Cambria Math" w:hAnsi="Cambria Math"/>
                      <w:lang w:val="nl-BE"/>
                    </w:rPr>
                    <m:t xml:space="preserve">h </m:t>
                  </m:r>
                  <m:r>
                    <w:rPr>
                      <w:rFonts w:ascii="Cambria Math" w:hAnsi="Cambria Math"/>
                      <w:lang w:val="fr-BE"/>
                    </w:rPr>
                    <m:t>Flow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(1+</m:t>
                      </m:r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nl-BE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BE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2924DA" w:rsidRDefault="002924DA" w:rsidP="0015753C">
      <w:pPr>
        <w:pStyle w:val="Titre2"/>
        <w:rPr>
          <w:lang w:val="nl-BE"/>
        </w:rPr>
      </w:pPr>
    </w:p>
    <w:p w:rsidR="0015753C" w:rsidRDefault="002924DA" w:rsidP="0015753C">
      <w:pPr>
        <w:pStyle w:val="Titre2"/>
        <w:rPr>
          <w:lang w:val="nl-BE"/>
        </w:rPr>
      </w:pPr>
      <w:proofErr w:type="spellStart"/>
      <w:r>
        <w:rPr>
          <w:lang w:val="nl-BE"/>
        </w:rPr>
        <w:t>Calcul</w:t>
      </w:r>
      <w:proofErr w:type="spellEnd"/>
      <w:r>
        <w:rPr>
          <w:lang w:val="nl-BE"/>
        </w:rPr>
        <w:t xml:space="preserve"> du</w:t>
      </w:r>
      <w:r w:rsidR="00D57211">
        <w:rPr>
          <w:lang w:val="nl-BE"/>
        </w:rPr>
        <w:t xml:space="preserve"> WACC</w:t>
      </w:r>
    </w:p>
    <w:p w:rsidR="002924DA" w:rsidRDefault="002924DA" w:rsidP="002924DA">
      <w:pPr>
        <w:rPr>
          <w:rFonts w:eastAsiaTheme="minorEastAsia"/>
          <w:lang w:val="fr-BE"/>
        </w:rPr>
      </w:pPr>
      <w:r>
        <w:rPr>
          <w:sz w:val="24"/>
          <w:szCs w:val="24"/>
          <w:lang w:val="fr-BE"/>
        </w:rPr>
        <w:t>Les fonds propres de l’entreprise sont de 15 Millions d’euro. Afin de pouvoir réaliser le projet de manière confortable il faut emprunter 22 Millions d’euro. Le projet est relativement risqu</w:t>
      </w:r>
      <w:r w:rsidR="0057452C">
        <w:rPr>
          <w:sz w:val="24"/>
          <w:szCs w:val="24"/>
          <w:lang w:val="fr-BE"/>
        </w:rPr>
        <w:t>é</w:t>
      </w:r>
      <w:r>
        <w:rPr>
          <w:sz w:val="24"/>
          <w:szCs w:val="24"/>
          <w:lang w:val="fr-BE"/>
        </w:rPr>
        <w:t xml:space="preserve"> car il cible un secteur de niche</w:t>
      </w:r>
      <w:r w:rsidR="0057452C">
        <w:rPr>
          <w:sz w:val="24"/>
          <w:szCs w:val="24"/>
          <w:lang w:val="fr-BE"/>
        </w:rPr>
        <w:t>. L</w:t>
      </w:r>
      <w:r>
        <w:rPr>
          <w:sz w:val="24"/>
          <w:szCs w:val="24"/>
          <w:lang w:val="fr-BE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n</m:t>
            </m:r>
          </m:e>
          <m:sub>
            <m:r>
              <w:rPr>
                <w:rFonts w:ascii="Cambria Math" w:hAnsi="Cambria Math"/>
                <w:lang w:val="fr-BE"/>
              </w:rPr>
              <m:t>E</m:t>
            </m:r>
          </m:sub>
        </m:sSub>
      </m:oMath>
      <w:r>
        <w:rPr>
          <w:rFonts w:eastAsiaTheme="minorEastAsia"/>
          <w:lang w:val="fr-BE"/>
        </w:rPr>
        <w:t xml:space="preserve"> est donc de 12%.</w:t>
      </w:r>
    </w:p>
    <w:tbl>
      <w:tblPr>
        <w:tblW w:w="7229" w:type="dxa"/>
        <w:tblInd w:w="1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9"/>
        <w:gridCol w:w="2448"/>
        <w:gridCol w:w="2332"/>
      </w:tblGrid>
      <w:tr w:rsidR="00844EE6" w:rsidRPr="00844EE6" w:rsidTr="003F1080">
        <w:trPr>
          <w:trHeight w:val="280"/>
        </w:trPr>
        <w:tc>
          <w:tcPr>
            <w:tcW w:w="24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44EE6" w:rsidRPr="00844EE6" w:rsidRDefault="00844EE6" w:rsidP="003F1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proofErr w:type="spellStart"/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Equity</w:t>
            </w:r>
            <w:proofErr w:type="spellEnd"/>
          </w:p>
        </w:tc>
        <w:tc>
          <w:tcPr>
            <w:tcW w:w="24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44EE6" w:rsidRPr="00844EE6" w:rsidRDefault="00844EE6" w:rsidP="003F1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Dettes</w:t>
            </w:r>
          </w:p>
        </w:tc>
        <w:tc>
          <w:tcPr>
            <w:tcW w:w="233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44EE6" w:rsidRPr="00844EE6" w:rsidRDefault="00844EE6" w:rsidP="003F1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WACC</w:t>
            </w:r>
          </w:p>
        </w:tc>
      </w:tr>
      <w:tr w:rsidR="00844EE6" w:rsidRPr="00844EE6" w:rsidTr="003F1080">
        <w:trPr>
          <w:trHeight w:val="280"/>
        </w:trPr>
        <w:tc>
          <w:tcPr>
            <w:tcW w:w="24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15.000.000 €</w:t>
            </w:r>
          </w:p>
        </w:tc>
        <w:tc>
          <w:tcPr>
            <w:tcW w:w="24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22.000.000 €</w:t>
            </w:r>
          </w:p>
        </w:tc>
        <w:tc>
          <w:tcPr>
            <w:tcW w:w="233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0,0606</w:t>
            </w:r>
          </w:p>
        </w:tc>
      </w:tr>
      <w:tr w:rsidR="00844EE6" w:rsidRPr="00844EE6" w:rsidTr="003F1080">
        <w:trPr>
          <w:trHeight w:val="280"/>
        </w:trPr>
        <w:tc>
          <w:tcPr>
            <w:tcW w:w="24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12%</w:t>
            </w:r>
          </w:p>
        </w:tc>
        <w:tc>
          <w:tcPr>
            <w:tcW w:w="24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3%</w:t>
            </w:r>
          </w:p>
        </w:tc>
        <w:tc>
          <w:tcPr>
            <w:tcW w:w="233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</w:p>
        </w:tc>
      </w:tr>
    </w:tbl>
    <w:p w:rsidR="001E43B0" w:rsidRDefault="0015753C" w:rsidP="001E43B0">
      <w:pPr>
        <w:pStyle w:val="Titre2"/>
        <w:rPr>
          <w:lang w:val="nl-BE"/>
        </w:rPr>
      </w:pPr>
      <w:r>
        <w:rPr>
          <w:lang w:val="nl-BE"/>
        </w:rPr>
        <w:lastRenderedPageBreak/>
        <w:t xml:space="preserve">Tableau </w:t>
      </w:r>
      <w:r w:rsidR="002924DA">
        <w:rPr>
          <w:lang w:val="nl-BE"/>
        </w:rPr>
        <w:t>NPV</w:t>
      </w:r>
    </w:p>
    <w:tbl>
      <w:tblPr>
        <w:tblW w:w="9910" w:type="dxa"/>
        <w:tblInd w:w="-3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0"/>
        <w:gridCol w:w="1276"/>
        <w:gridCol w:w="1365"/>
        <w:gridCol w:w="1328"/>
        <w:gridCol w:w="1417"/>
        <w:gridCol w:w="1418"/>
        <w:gridCol w:w="1276"/>
      </w:tblGrid>
      <w:tr w:rsidR="001E43B0" w:rsidRPr="00175995" w:rsidTr="003971CC">
        <w:trPr>
          <w:trHeight w:val="255"/>
        </w:trPr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proofErr w:type="spellStart"/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Annee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0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5</w:t>
            </w: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Volume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0,00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50.000,00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1.800.000,00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2.000.000,00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2.000.000,00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1.800.000,00</w:t>
            </w: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Prix unitaire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0,00 €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35,00 €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15,00 €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15,00 €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15,00 €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15,00 €</w:t>
            </w: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Prix de production unitaire variable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0,00 €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20,00 €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3,67 €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3,50 €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3,50 €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3,11 €</w:t>
            </w: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Ventes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0,00 €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1.750.000,00 €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27.000.000,00 €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30.000.000,00 €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30.000.000,00 €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27.000.000,00 €</w:t>
            </w: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Coûts fixes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0,00 €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250.000,00 €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6.750.000,00 €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7.750.000,00 €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7.750.000,00 €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7.750.000,00 €</w:t>
            </w: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C</w:t>
            </w: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oûts variable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0,00 €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1.000.000,00 €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6.600.000,00 €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7.000.000,00 €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7.000.000,00 €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5.600.000,00 €</w:t>
            </w: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Bénéfice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0,00 €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500.000,00 €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13.650.000,00 €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15.250.000,00 €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15.250.000,00 €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13.650.000,00 €</w:t>
            </w: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I</w:t>
            </w: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nvestissement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15.000.000,00 €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10.000.000,00 €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fr-BE" w:eastAsia="fr-B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fr-BE" w:eastAsia="fr-B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fr-BE" w:eastAsia="fr-BE"/>
              </w:rPr>
            </w:pP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Cashflow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-15.000.000,00 €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-9.500.000,00 €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13.650.000,00 €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15.250.000,00 €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15.250.000,00 €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13.650.000,00 €</w:t>
            </w: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Cashflow actualisés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-15.000.000,00 €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-8.957.194,04 €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12.134.710,11 €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12.782.475,69 €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12.052.117,37 €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10.171.254,88 €</w:t>
            </w:r>
          </w:p>
        </w:tc>
      </w:tr>
      <w:tr w:rsidR="001E43B0" w:rsidRPr="00175995" w:rsidTr="003971CC">
        <w:trPr>
          <w:trHeight w:val="255"/>
        </w:trPr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fr-BE" w:eastAsia="fr-BE"/>
              </w:rPr>
              <w:t>NPV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-15.000.000,00 €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-23.957.194,04 €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-11.822.483,93 €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959.991,76 €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13.012.109,13 €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E43B0" w:rsidRPr="00175995" w:rsidRDefault="001E43B0" w:rsidP="003971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</w:pPr>
            <w:r w:rsidRPr="00175995">
              <w:rPr>
                <w:rFonts w:eastAsia="Times New Roman" w:cstheme="minorHAnsi"/>
                <w:color w:val="000000"/>
                <w:sz w:val="16"/>
                <w:szCs w:val="16"/>
                <w:lang w:val="fr-BE" w:eastAsia="fr-BE"/>
              </w:rPr>
              <w:t>23.183.364,01 €</w:t>
            </w:r>
          </w:p>
        </w:tc>
      </w:tr>
    </w:tbl>
    <w:p w:rsidR="001E43B0" w:rsidRPr="001E43B0" w:rsidRDefault="001E43B0" w:rsidP="001E43B0">
      <w:pPr>
        <w:rPr>
          <w:lang w:val="nl-BE"/>
        </w:rPr>
      </w:pPr>
    </w:p>
    <w:p w:rsidR="0015753C" w:rsidRDefault="0015753C" w:rsidP="0015753C">
      <w:pPr>
        <w:pStyle w:val="Titre2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Description de chaque année</w:t>
      </w:r>
    </w:p>
    <w:p w:rsidR="008120DA" w:rsidRPr="008120DA" w:rsidRDefault="008120DA" w:rsidP="00111F98">
      <w:pPr>
        <w:jc w:val="both"/>
        <w:rPr>
          <w:sz w:val="24"/>
          <w:szCs w:val="24"/>
          <w:lang w:val="fr-BE"/>
        </w:rPr>
      </w:pPr>
      <w:r w:rsidRPr="008120DA">
        <w:rPr>
          <w:sz w:val="24"/>
          <w:szCs w:val="24"/>
          <w:u w:val="single"/>
          <w:lang w:val="fr-BE"/>
        </w:rPr>
        <w:t>Année 0</w:t>
      </w:r>
      <w:r w:rsidRPr="008120DA">
        <w:rPr>
          <w:sz w:val="24"/>
          <w:szCs w:val="24"/>
          <w:lang w:val="fr-BE"/>
        </w:rPr>
        <w:t xml:space="preserve"> est nécessaire pour l’</w:t>
      </w:r>
      <w:r w:rsidR="000D4C35">
        <w:rPr>
          <w:sz w:val="24"/>
          <w:szCs w:val="24"/>
          <w:lang w:val="fr-BE"/>
        </w:rPr>
        <w:t>investisseme</w:t>
      </w:r>
      <w:r w:rsidRPr="008120DA">
        <w:rPr>
          <w:sz w:val="24"/>
          <w:szCs w:val="24"/>
          <w:lang w:val="fr-BE"/>
        </w:rPr>
        <w:t xml:space="preserve">nt et l’achat du matériel permettant le développement d’un workshop et d’un début de ligne de production. L’investissement est alors de </w:t>
      </w:r>
      <w:r w:rsidR="00902860">
        <w:rPr>
          <w:sz w:val="24"/>
          <w:szCs w:val="24"/>
          <w:lang w:val="fr-BE"/>
        </w:rPr>
        <w:t>15</w:t>
      </w:r>
      <w:r w:rsidRPr="008120DA">
        <w:rPr>
          <w:sz w:val="24"/>
          <w:szCs w:val="24"/>
          <w:lang w:val="fr-BE"/>
        </w:rPr>
        <w:t>.000.000 €</w:t>
      </w:r>
      <w:r w:rsidR="00A25679">
        <w:rPr>
          <w:sz w:val="24"/>
          <w:szCs w:val="24"/>
          <w:lang w:val="fr-BE"/>
        </w:rPr>
        <w:t>. On notera que la somme des dettes et fond propre est supérieur à l’investissement car on doit également couvrir les premiers couts fixe ainsi que les premiers couts variables.</w:t>
      </w:r>
    </w:p>
    <w:p w:rsidR="00A84B62" w:rsidRDefault="008120DA" w:rsidP="00111F98">
      <w:pPr>
        <w:jc w:val="both"/>
        <w:rPr>
          <w:sz w:val="24"/>
          <w:szCs w:val="24"/>
          <w:lang w:val="fr-BE"/>
        </w:rPr>
      </w:pPr>
      <w:r w:rsidRPr="008120DA">
        <w:rPr>
          <w:sz w:val="24"/>
          <w:szCs w:val="24"/>
          <w:u w:val="single"/>
          <w:lang w:val="fr-BE"/>
        </w:rPr>
        <w:t>Année 1</w:t>
      </w:r>
      <w:r w:rsidRPr="008120DA">
        <w:rPr>
          <w:sz w:val="24"/>
          <w:szCs w:val="24"/>
          <w:lang w:val="fr-BE"/>
        </w:rPr>
        <w:t xml:space="preserve"> Mise en place du workshop et création des premiers moteurs en a</w:t>
      </w:r>
      <w:r w:rsidR="00902860">
        <w:rPr>
          <w:sz w:val="24"/>
          <w:szCs w:val="24"/>
          <w:lang w:val="fr-BE"/>
        </w:rPr>
        <w:t>s</w:t>
      </w:r>
      <w:r w:rsidRPr="008120DA">
        <w:rPr>
          <w:sz w:val="24"/>
          <w:szCs w:val="24"/>
          <w:lang w:val="fr-BE"/>
        </w:rPr>
        <w:t xml:space="preserve">sociation avec les clients. Le prix des moteurs est </w:t>
      </w:r>
      <w:r w:rsidR="00F4461D">
        <w:rPr>
          <w:sz w:val="24"/>
          <w:szCs w:val="24"/>
          <w:lang w:val="fr-BE"/>
        </w:rPr>
        <w:t>de 35</w:t>
      </w:r>
      <w:r w:rsidRPr="008120DA">
        <w:rPr>
          <w:sz w:val="24"/>
          <w:szCs w:val="24"/>
          <w:lang w:val="fr-BE"/>
        </w:rPr>
        <w:t xml:space="preserve">€ car la production unitaire variable est plus </w:t>
      </w:r>
      <w:r w:rsidR="00A84B62" w:rsidRPr="008120DA">
        <w:rPr>
          <w:sz w:val="24"/>
          <w:szCs w:val="24"/>
          <w:lang w:val="fr-BE"/>
        </w:rPr>
        <w:t>élevée</w:t>
      </w:r>
      <w:r w:rsidRPr="008120DA">
        <w:rPr>
          <w:sz w:val="24"/>
          <w:szCs w:val="24"/>
          <w:lang w:val="fr-BE"/>
        </w:rPr>
        <w:t xml:space="preserve"> 2</w:t>
      </w:r>
      <w:r w:rsidR="00F4461D">
        <w:rPr>
          <w:sz w:val="24"/>
          <w:szCs w:val="24"/>
          <w:lang w:val="fr-BE"/>
        </w:rPr>
        <w:t>0</w:t>
      </w:r>
      <w:r w:rsidRPr="008120DA">
        <w:rPr>
          <w:sz w:val="24"/>
          <w:szCs w:val="24"/>
          <w:lang w:val="fr-BE"/>
        </w:rPr>
        <w:t xml:space="preserve">€. </w:t>
      </w:r>
      <w:r w:rsidR="00F4461D">
        <w:rPr>
          <w:sz w:val="24"/>
          <w:szCs w:val="24"/>
          <w:lang w:val="fr-BE"/>
        </w:rPr>
        <w:t xml:space="preserve">En </w:t>
      </w:r>
      <w:r w:rsidRPr="008120DA">
        <w:rPr>
          <w:sz w:val="24"/>
          <w:szCs w:val="24"/>
          <w:lang w:val="fr-BE"/>
        </w:rPr>
        <w:t xml:space="preserve">contrepartie </w:t>
      </w:r>
      <w:r w:rsidR="000D4C35" w:rsidRPr="008120DA">
        <w:rPr>
          <w:sz w:val="24"/>
          <w:szCs w:val="24"/>
          <w:lang w:val="fr-BE"/>
        </w:rPr>
        <w:t>le client</w:t>
      </w:r>
      <w:r w:rsidRPr="008120DA">
        <w:rPr>
          <w:sz w:val="24"/>
          <w:szCs w:val="24"/>
          <w:lang w:val="fr-BE"/>
        </w:rPr>
        <w:t xml:space="preserve"> </w:t>
      </w:r>
      <w:r w:rsidR="000D4C35" w:rsidRPr="008120DA">
        <w:rPr>
          <w:sz w:val="24"/>
          <w:szCs w:val="24"/>
          <w:lang w:val="fr-BE"/>
        </w:rPr>
        <w:t>reçoit</w:t>
      </w:r>
      <w:r w:rsidRPr="008120DA">
        <w:rPr>
          <w:sz w:val="24"/>
          <w:szCs w:val="24"/>
          <w:lang w:val="fr-BE"/>
        </w:rPr>
        <w:t xml:space="preserve"> un moteur personnalisé à </w:t>
      </w:r>
      <w:r w:rsidR="00902860">
        <w:rPr>
          <w:sz w:val="24"/>
          <w:szCs w:val="24"/>
          <w:lang w:val="fr-BE"/>
        </w:rPr>
        <w:t>s</w:t>
      </w:r>
      <w:r w:rsidRPr="008120DA">
        <w:rPr>
          <w:sz w:val="24"/>
          <w:szCs w:val="24"/>
          <w:lang w:val="fr-BE"/>
        </w:rPr>
        <w:t xml:space="preserve">es besoins. </w:t>
      </w:r>
      <w:r w:rsidR="00D57211">
        <w:rPr>
          <w:sz w:val="24"/>
          <w:szCs w:val="24"/>
          <w:lang w:val="fr-BE"/>
        </w:rPr>
        <w:t xml:space="preserve">Nous </w:t>
      </w:r>
      <w:r w:rsidRPr="008120DA">
        <w:rPr>
          <w:sz w:val="24"/>
          <w:szCs w:val="24"/>
          <w:lang w:val="fr-BE"/>
        </w:rPr>
        <w:t>investiss</w:t>
      </w:r>
      <w:r w:rsidR="00D57211">
        <w:rPr>
          <w:sz w:val="24"/>
          <w:szCs w:val="24"/>
          <w:lang w:val="fr-BE"/>
        </w:rPr>
        <w:t>ons</w:t>
      </w:r>
      <w:r w:rsidRPr="008120DA">
        <w:rPr>
          <w:sz w:val="24"/>
          <w:szCs w:val="24"/>
          <w:lang w:val="fr-BE"/>
        </w:rPr>
        <w:t xml:space="preserve"> </w:t>
      </w:r>
      <w:r w:rsidR="00D57211" w:rsidRPr="008120DA">
        <w:rPr>
          <w:sz w:val="24"/>
          <w:szCs w:val="24"/>
          <w:lang w:val="fr-BE"/>
        </w:rPr>
        <w:t xml:space="preserve">10.000.000€ </w:t>
      </w:r>
      <w:r w:rsidRPr="008120DA">
        <w:rPr>
          <w:sz w:val="24"/>
          <w:szCs w:val="24"/>
          <w:lang w:val="fr-BE"/>
        </w:rPr>
        <w:t xml:space="preserve">supplémentaire </w:t>
      </w:r>
      <w:r w:rsidR="00D57211">
        <w:rPr>
          <w:sz w:val="24"/>
          <w:szCs w:val="24"/>
          <w:lang w:val="fr-BE"/>
        </w:rPr>
        <w:t>pour</w:t>
      </w:r>
      <w:r w:rsidRPr="008120DA">
        <w:rPr>
          <w:sz w:val="24"/>
          <w:szCs w:val="24"/>
          <w:lang w:val="fr-BE"/>
        </w:rPr>
        <w:t xml:space="preserve"> automatiser la ligne de production</w:t>
      </w:r>
      <w:r w:rsidR="00D57211">
        <w:rPr>
          <w:sz w:val="24"/>
          <w:szCs w:val="24"/>
          <w:lang w:val="fr-BE"/>
        </w:rPr>
        <w:t>. Cet</w:t>
      </w:r>
      <w:r w:rsidRPr="008120DA">
        <w:rPr>
          <w:sz w:val="24"/>
          <w:szCs w:val="24"/>
          <w:lang w:val="fr-BE"/>
        </w:rPr>
        <w:t xml:space="preserve"> investissement est effectué</w:t>
      </w:r>
      <w:r w:rsidR="000D4C35">
        <w:rPr>
          <w:sz w:val="24"/>
          <w:szCs w:val="24"/>
          <w:lang w:val="fr-BE"/>
        </w:rPr>
        <w:t xml:space="preserve"> la 2è</w:t>
      </w:r>
      <w:r w:rsidR="00D57211">
        <w:rPr>
          <w:sz w:val="24"/>
          <w:szCs w:val="24"/>
          <w:lang w:val="fr-BE"/>
        </w:rPr>
        <w:t xml:space="preserve">me année </w:t>
      </w:r>
      <w:r w:rsidRPr="008120DA">
        <w:rPr>
          <w:sz w:val="24"/>
          <w:szCs w:val="24"/>
          <w:lang w:val="fr-BE"/>
        </w:rPr>
        <w:t>car</w:t>
      </w:r>
      <w:r w:rsidR="00D57211">
        <w:rPr>
          <w:sz w:val="24"/>
          <w:szCs w:val="24"/>
          <w:lang w:val="fr-BE"/>
        </w:rPr>
        <w:t xml:space="preserve"> il</w:t>
      </w:r>
      <w:r w:rsidRPr="008120DA">
        <w:rPr>
          <w:sz w:val="24"/>
          <w:szCs w:val="24"/>
          <w:lang w:val="fr-BE"/>
        </w:rPr>
        <w:t xml:space="preserve"> </w:t>
      </w:r>
      <w:r w:rsidR="00902860" w:rsidRPr="008120DA">
        <w:rPr>
          <w:sz w:val="24"/>
          <w:szCs w:val="24"/>
          <w:lang w:val="fr-BE"/>
        </w:rPr>
        <w:t>était</w:t>
      </w:r>
      <w:r w:rsidR="00902860">
        <w:rPr>
          <w:sz w:val="24"/>
          <w:szCs w:val="24"/>
          <w:lang w:val="fr-BE"/>
        </w:rPr>
        <w:t xml:space="preserve"> inutile pour le workshop. </w:t>
      </w:r>
      <w:r w:rsidR="00787E98">
        <w:rPr>
          <w:sz w:val="24"/>
          <w:szCs w:val="24"/>
          <w:lang w:val="fr-BE"/>
        </w:rPr>
        <w:t xml:space="preserve">Le volume augmente très rapidement et arrivera </w:t>
      </w:r>
      <w:proofErr w:type="spellStart"/>
      <w:r w:rsidR="00787E98">
        <w:rPr>
          <w:sz w:val="24"/>
          <w:szCs w:val="24"/>
          <w:lang w:val="fr-BE"/>
        </w:rPr>
        <w:t>tres</w:t>
      </w:r>
      <w:proofErr w:type="spellEnd"/>
      <w:r w:rsidR="00787E98">
        <w:rPr>
          <w:sz w:val="24"/>
          <w:szCs w:val="24"/>
          <w:lang w:val="fr-BE"/>
        </w:rPr>
        <w:t xml:space="preserve"> vite à saturation. </w:t>
      </w:r>
    </w:p>
    <w:p w:rsidR="008120DA" w:rsidRDefault="00902860" w:rsidP="00111F98">
      <w:pPr>
        <w:jc w:val="both"/>
        <w:rPr>
          <w:sz w:val="24"/>
          <w:szCs w:val="24"/>
          <w:lang w:val="fr-BE"/>
        </w:rPr>
      </w:pPr>
      <w:r w:rsidRPr="00111F98">
        <w:rPr>
          <w:sz w:val="24"/>
          <w:szCs w:val="24"/>
          <w:u w:val="single"/>
          <w:lang w:val="fr-BE"/>
        </w:rPr>
        <w:t>Anné</w:t>
      </w:r>
      <w:r w:rsidR="008120DA" w:rsidRPr="00111F98">
        <w:rPr>
          <w:sz w:val="24"/>
          <w:szCs w:val="24"/>
          <w:u w:val="single"/>
          <w:lang w:val="fr-BE"/>
        </w:rPr>
        <w:t>e 2</w:t>
      </w:r>
      <w:r w:rsidR="00F4461D">
        <w:rPr>
          <w:sz w:val="24"/>
          <w:szCs w:val="24"/>
          <w:u w:val="single"/>
          <w:lang w:val="fr-BE"/>
        </w:rPr>
        <w:t xml:space="preserve"> </w:t>
      </w:r>
      <w:r w:rsidR="00111F98" w:rsidRPr="00111F98">
        <w:rPr>
          <w:sz w:val="24"/>
          <w:szCs w:val="24"/>
          <w:lang w:val="fr-BE"/>
        </w:rPr>
        <w:t xml:space="preserve">La production de moteur en Batch remplace les moteurs fait en work shop </w:t>
      </w:r>
      <w:r w:rsidR="000D4C35" w:rsidRPr="00111F98">
        <w:rPr>
          <w:sz w:val="24"/>
          <w:szCs w:val="24"/>
          <w:lang w:val="fr-BE"/>
        </w:rPr>
        <w:t>les co</w:t>
      </w:r>
      <w:r w:rsidR="000D4C35">
        <w:rPr>
          <w:sz w:val="24"/>
          <w:szCs w:val="24"/>
          <w:lang w:val="fr-BE"/>
        </w:rPr>
        <w:t>û</w:t>
      </w:r>
      <w:r w:rsidR="000D4C35" w:rsidRPr="00111F98">
        <w:rPr>
          <w:sz w:val="24"/>
          <w:szCs w:val="24"/>
          <w:lang w:val="fr-BE"/>
        </w:rPr>
        <w:t>ts variables</w:t>
      </w:r>
      <w:r w:rsidR="00111F98" w:rsidRPr="00111F98">
        <w:rPr>
          <w:sz w:val="24"/>
          <w:szCs w:val="24"/>
          <w:lang w:val="fr-BE"/>
        </w:rPr>
        <w:t xml:space="preserve"> diminue par contre le co</w:t>
      </w:r>
      <w:r w:rsidR="00111F98">
        <w:rPr>
          <w:sz w:val="24"/>
          <w:szCs w:val="24"/>
          <w:lang w:val="fr-BE"/>
        </w:rPr>
        <w:t>û</w:t>
      </w:r>
      <w:r w:rsidR="00111F98" w:rsidRPr="00111F98">
        <w:rPr>
          <w:sz w:val="24"/>
          <w:szCs w:val="24"/>
          <w:lang w:val="fr-BE"/>
        </w:rPr>
        <w:t>t fixe augmente</w:t>
      </w:r>
      <w:r w:rsidR="00F4461D">
        <w:rPr>
          <w:sz w:val="24"/>
          <w:szCs w:val="24"/>
          <w:lang w:val="fr-BE"/>
        </w:rPr>
        <w:t xml:space="preserve"> due à la maintenance de l’équipement mais également car le coup du stockage augmente</w:t>
      </w:r>
      <w:r w:rsidR="00111F98">
        <w:rPr>
          <w:sz w:val="24"/>
          <w:szCs w:val="24"/>
          <w:lang w:val="fr-BE"/>
        </w:rPr>
        <w:t>.</w:t>
      </w:r>
      <w:r w:rsidR="00F4461D">
        <w:rPr>
          <w:sz w:val="24"/>
          <w:szCs w:val="24"/>
          <w:lang w:val="fr-BE"/>
        </w:rPr>
        <w:t xml:space="preserve"> </w:t>
      </w:r>
      <w:r w:rsidR="00111F98">
        <w:rPr>
          <w:sz w:val="24"/>
          <w:szCs w:val="24"/>
          <w:lang w:val="fr-BE"/>
        </w:rPr>
        <w:t xml:space="preserve"> Le volume augmente grâce à l’automatisation. R</w:t>
      </w:r>
      <w:r w:rsidR="00F4461D">
        <w:rPr>
          <w:sz w:val="24"/>
          <w:szCs w:val="24"/>
          <w:lang w:val="fr-BE"/>
        </w:rPr>
        <w:t>ésultat un moteur qui coûtais 20</w:t>
      </w:r>
      <w:r w:rsidR="00111F98">
        <w:rPr>
          <w:sz w:val="24"/>
          <w:szCs w:val="24"/>
          <w:lang w:val="fr-BE"/>
        </w:rPr>
        <w:t xml:space="preserve"> </w:t>
      </w:r>
      <w:r w:rsidR="00F4461D">
        <w:rPr>
          <w:sz w:val="24"/>
          <w:szCs w:val="24"/>
          <w:lang w:val="fr-BE"/>
        </w:rPr>
        <w:t>€ à produire ne coûte plus que 7</w:t>
      </w:r>
      <w:r w:rsidR="00111F98">
        <w:rPr>
          <w:sz w:val="24"/>
          <w:szCs w:val="24"/>
          <w:lang w:val="fr-BE"/>
        </w:rPr>
        <w:t>€.</w:t>
      </w:r>
    </w:p>
    <w:p w:rsidR="00111F98" w:rsidRDefault="00F4461D" w:rsidP="00111F9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u w:val="single"/>
          <w:lang w:val="fr-BE"/>
        </w:rPr>
        <w:t>Année 3 et 4</w:t>
      </w:r>
      <w:r w:rsidR="00111F98">
        <w:rPr>
          <w:sz w:val="24"/>
          <w:szCs w:val="24"/>
          <w:lang w:val="fr-BE"/>
        </w:rPr>
        <w:t xml:space="preserve"> </w:t>
      </w:r>
      <w:bookmarkStart w:id="0" w:name="_GoBack"/>
      <w:bookmarkEnd w:id="0"/>
      <w:r w:rsidR="00111F98">
        <w:rPr>
          <w:sz w:val="24"/>
          <w:szCs w:val="24"/>
          <w:lang w:val="fr-BE"/>
        </w:rPr>
        <w:t>Le NPV est enfin positif</w:t>
      </w:r>
      <w:r>
        <w:rPr>
          <w:sz w:val="24"/>
          <w:szCs w:val="24"/>
          <w:lang w:val="fr-BE"/>
        </w:rPr>
        <w:t>. L’investissement commence à être rentable.</w:t>
      </w:r>
    </w:p>
    <w:p w:rsidR="001655FB" w:rsidRDefault="000D4C35" w:rsidP="0057452C">
      <w:pPr>
        <w:jc w:val="both"/>
        <w:rPr>
          <w:sz w:val="24"/>
          <w:szCs w:val="24"/>
          <w:lang w:val="fr-BE"/>
        </w:rPr>
      </w:pPr>
      <w:r w:rsidRPr="00111F98">
        <w:rPr>
          <w:sz w:val="24"/>
          <w:szCs w:val="24"/>
          <w:u w:val="single"/>
          <w:lang w:val="fr-BE"/>
        </w:rPr>
        <w:t>Année</w:t>
      </w:r>
      <w:r w:rsidR="00111F98" w:rsidRPr="00111F98">
        <w:rPr>
          <w:sz w:val="24"/>
          <w:szCs w:val="24"/>
          <w:u w:val="single"/>
          <w:lang w:val="fr-BE"/>
        </w:rPr>
        <w:t xml:space="preserve"> 5</w:t>
      </w:r>
      <w:r w:rsidR="0057452C">
        <w:rPr>
          <w:sz w:val="24"/>
          <w:szCs w:val="24"/>
          <w:lang w:val="fr-BE"/>
        </w:rPr>
        <w:t xml:space="preserve"> le résultat fin</w:t>
      </w:r>
      <w:r w:rsidR="00111F98">
        <w:rPr>
          <w:sz w:val="24"/>
          <w:szCs w:val="24"/>
          <w:lang w:val="fr-BE"/>
        </w:rPr>
        <w:t xml:space="preserve">al est de de </w:t>
      </w:r>
      <w:r w:rsidR="00A25679" w:rsidRPr="00844EE6">
        <w:rPr>
          <w:rFonts w:ascii="Calibri" w:eastAsia="Times New Roman" w:hAnsi="Calibri" w:cs="Calibri"/>
          <w:color w:val="000000"/>
          <w:lang w:val="fr-BE" w:eastAsia="fr-BE"/>
        </w:rPr>
        <w:t xml:space="preserve">23.183.364 </w:t>
      </w:r>
      <w:r w:rsidR="00111F98">
        <w:rPr>
          <w:sz w:val="24"/>
          <w:szCs w:val="24"/>
          <w:lang w:val="fr-BE"/>
        </w:rPr>
        <w:t>€</w:t>
      </w:r>
      <w:r w:rsidR="00787E98">
        <w:rPr>
          <w:sz w:val="24"/>
          <w:szCs w:val="24"/>
          <w:lang w:val="fr-BE"/>
        </w:rPr>
        <w:t>. Le volume diminuera car il est fort probable que d’autre</w:t>
      </w:r>
      <w:r w:rsidR="001E43B0">
        <w:rPr>
          <w:sz w:val="24"/>
          <w:szCs w:val="24"/>
          <w:lang w:val="fr-BE"/>
        </w:rPr>
        <w:t>s</w:t>
      </w:r>
      <w:r w:rsidR="00787E98">
        <w:rPr>
          <w:sz w:val="24"/>
          <w:szCs w:val="24"/>
          <w:lang w:val="fr-BE"/>
        </w:rPr>
        <w:t xml:space="preserve"> compagnies </w:t>
      </w:r>
      <w:r w:rsidR="001E43B0">
        <w:rPr>
          <w:sz w:val="24"/>
          <w:szCs w:val="24"/>
          <w:lang w:val="fr-BE"/>
        </w:rPr>
        <w:t>lancent</w:t>
      </w:r>
      <w:r w:rsidR="00787E98">
        <w:rPr>
          <w:sz w:val="24"/>
          <w:szCs w:val="24"/>
          <w:lang w:val="fr-BE"/>
        </w:rPr>
        <w:t xml:space="preserve"> également leurs produits milieu de gamme. </w:t>
      </w:r>
    </w:p>
    <w:p w:rsidR="00A25679" w:rsidRPr="0057452C" w:rsidRDefault="00A25679" w:rsidP="0057452C">
      <w:pPr>
        <w:jc w:val="both"/>
        <w:rPr>
          <w:sz w:val="24"/>
          <w:szCs w:val="24"/>
          <w:lang w:val="fr-BE"/>
        </w:rPr>
      </w:pPr>
    </w:p>
    <w:sectPr w:rsidR="00A25679" w:rsidRPr="0057452C" w:rsidSect="003A0A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7B9"/>
    <w:multiLevelType w:val="hybridMultilevel"/>
    <w:tmpl w:val="9CF845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34559"/>
    <w:multiLevelType w:val="hybridMultilevel"/>
    <w:tmpl w:val="465C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058CA"/>
    <w:multiLevelType w:val="hybridMultilevel"/>
    <w:tmpl w:val="1EC60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82648"/>
    <w:multiLevelType w:val="hybridMultilevel"/>
    <w:tmpl w:val="D16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784B"/>
    <w:multiLevelType w:val="hybridMultilevel"/>
    <w:tmpl w:val="D6DE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36BC4"/>
    <w:multiLevelType w:val="hybridMultilevel"/>
    <w:tmpl w:val="C6621C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B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B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nl-BE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C87"/>
    <w:rsid w:val="000056D4"/>
    <w:rsid w:val="00027D74"/>
    <w:rsid w:val="000700DE"/>
    <w:rsid w:val="00087701"/>
    <w:rsid w:val="00092048"/>
    <w:rsid w:val="000D4C35"/>
    <w:rsid w:val="00111F98"/>
    <w:rsid w:val="001212A3"/>
    <w:rsid w:val="00134AF4"/>
    <w:rsid w:val="0015753C"/>
    <w:rsid w:val="001655FB"/>
    <w:rsid w:val="001E43B0"/>
    <w:rsid w:val="00206CDF"/>
    <w:rsid w:val="002924DA"/>
    <w:rsid w:val="00367C60"/>
    <w:rsid w:val="003A0A12"/>
    <w:rsid w:val="003A1A6B"/>
    <w:rsid w:val="003F1080"/>
    <w:rsid w:val="0043357C"/>
    <w:rsid w:val="00455D83"/>
    <w:rsid w:val="00492370"/>
    <w:rsid w:val="004A1057"/>
    <w:rsid w:val="005236E2"/>
    <w:rsid w:val="00523AE9"/>
    <w:rsid w:val="00551F54"/>
    <w:rsid w:val="0057452C"/>
    <w:rsid w:val="005B192F"/>
    <w:rsid w:val="00625787"/>
    <w:rsid w:val="00694E8C"/>
    <w:rsid w:val="0076592F"/>
    <w:rsid w:val="00784577"/>
    <w:rsid w:val="00787E98"/>
    <w:rsid w:val="007C27B4"/>
    <w:rsid w:val="008120DA"/>
    <w:rsid w:val="00844892"/>
    <w:rsid w:val="00844EE6"/>
    <w:rsid w:val="008571A4"/>
    <w:rsid w:val="00902860"/>
    <w:rsid w:val="009735B3"/>
    <w:rsid w:val="00991807"/>
    <w:rsid w:val="009C5C21"/>
    <w:rsid w:val="00A25679"/>
    <w:rsid w:val="00A27869"/>
    <w:rsid w:val="00A64BED"/>
    <w:rsid w:val="00A84B62"/>
    <w:rsid w:val="00B25710"/>
    <w:rsid w:val="00C10FE9"/>
    <w:rsid w:val="00C16059"/>
    <w:rsid w:val="00C34D13"/>
    <w:rsid w:val="00C83677"/>
    <w:rsid w:val="00C93B8A"/>
    <w:rsid w:val="00CA500A"/>
    <w:rsid w:val="00CE290E"/>
    <w:rsid w:val="00D41700"/>
    <w:rsid w:val="00D57211"/>
    <w:rsid w:val="00D75CD8"/>
    <w:rsid w:val="00E07779"/>
    <w:rsid w:val="00E159B2"/>
    <w:rsid w:val="00E40FB8"/>
    <w:rsid w:val="00F038CE"/>
    <w:rsid w:val="00F13C87"/>
    <w:rsid w:val="00F4461D"/>
    <w:rsid w:val="00F954BF"/>
    <w:rsid w:val="00F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BF6C"/>
  <w15:docId w15:val="{B8A88CCC-F26D-47CE-B9B6-1EEACDD7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A12"/>
  </w:style>
  <w:style w:type="paragraph" w:styleId="Titre1">
    <w:name w:val="heading 1"/>
    <w:basedOn w:val="Normal"/>
    <w:next w:val="Normal"/>
    <w:link w:val="Titre1Car"/>
    <w:uiPriority w:val="9"/>
    <w:qFormat/>
    <w:rsid w:val="00D75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55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C8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159B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9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93B8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75C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75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75C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655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0D4C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C3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C3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C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C35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973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ONEM-RVA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jgodfroi</dc:creator>
  <cp:lastModifiedBy>Vincent de Troyer</cp:lastModifiedBy>
  <cp:revision>10</cp:revision>
  <dcterms:created xsi:type="dcterms:W3CDTF">2018-03-02T08:59:00Z</dcterms:created>
  <dcterms:modified xsi:type="dcterms:W3CDTF">2018-04-11T10:00:00Z</dcterms:modified>
</cp:coreProperties>
</file>