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Laporan Teknis — Implementasi Pipeline KDD</w:t>
      </w:r>
    </w:p>
    <w:p>
      <w:pPr>
        <w:spacing w:after="140"/>
        <w:jc w:val="both"/>
      </w:pPr>
      <w:r>
        <w:rPr>
          <w:b/>
          <w:bCs/>
        </w:rPr>
        <w:t xml:space="preserve">Kelompok 6 · Banking Transaction Dataset · Data Mining</w:t>
      </w:r>
    </w:p>
    <w:p>
      <w:pPr>
        <w:spacing w:after="140"/>
        <w:jc w:val="both"/>
      </w:pPr>
      <w:r>
        <w:t xml:space="preserve">Dokumen ini adalah pendamping teknis dari </w:t>
      </w:r>
      <w:r>
        <w:t xml:space="preserve">`Laporan_Knowledge_Discovery.md`</w:t>
      </w:r>
      <w:r>
        <w:t xml:space="preserve">. Laporan Knowledge Discovery menjelaskan </w:t>
      </w:r>
      <w:r>
        <w:rPr>
          <w:b/>
          <w:bCs/>
        </w:rPr>
        <w:t xml:space="preserve">apa</w:t>
      </w:r>
      <w:r>
        <w:t xml:space="preserve"> yang ditemukan dalam bahasa bisnis; laporan ini menjelaskan </w:t>
      </w:r>
      <w:r>
        <w:rPr>
          <w:b/>
          <w:bCs/>
        </w:rPr>
        <w:t xml:space="preserve">bagaimana</w:t>
      </w:r>
      <w:r>
        <w:t xml:space="preserve"> temuan itu dihasilkan: arsitektur kode, fungsi-fungsi kunci, parameter beserta alasannya, dan matematika di balik metode yang dipakai — termasuk varian </w:t>
      </w:r>
      <w:r>
        <w:rPr>
          <w:i/>
          <w:iCs/>
        </w:rPr>
        <w:t xml:space="preserve">modified</w:t>
      </w:r>
      <w:r>
        <w:t xml:space="preserve"> pada Phase 4 (revisi dosen).</w:t>
      </w:r>
    </w:p>
    <w:p>
      <w:pPr>
        <w:pStyle w:val="Heading2"/>
      </w:pPr>
      <w:r>
        <w:t xml:space="preserve">1. Arsitektur Pipeline</w:t>
      </w:r>
    </w:p>
    <w:p>
      <w:pPr>
        <w:pStyle w:val="Heading3"/>
      </w:pPr>
      <w:r>
        <w:t xml:space="preserve">1.1 Alur data</w:t>
      </w:r>
    </w:p>
    <w:p>
      <w:pPr>
        <w:spacing w:after="140"/>
        <w:jc w:val="both"/>
      </w:pPr>
      <w:r>
        <w:t xml:space="preserve">Pipeline dibangun sebagai lima modul Python yang berkomunikasi lewat </w:t>
      </w:r>
      <w:r>
        <w:rPr>
          <w:b/>
          <w:bCs/>
        </w:rPr>
        <w:t xml:space="preserve">file CSV antar-fase</w:t>
      </w:r>
      <w:r>
        <w:t xml:space="preserve"> — tiap fase bisa dijalankan, diperiksa, dan diulang secara terpisah: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Comprehensive_Banking_Database.csv  (5.000 baris, data mentah)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▼  src/preprocess.py ─── Phase 1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├──► data/dataset_clustering.csv   (3 rasio perilaku + konteks, NILAI ASLI)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└──► data/dataset_arm.csv          (14 kolom kategorikal hasil binning)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                  │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▼  src/clustering.py ── Phase 2    ▼  src/arm.py ── Phase 3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data/dataset_clustered.csv          outputs/phase3/rules_all.csv (82 rule)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(+ label KMeans/DBSCAN/Hierarchical)       + top_rules.csv (top 20)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▼  src/anomaly.py ─── Phase 4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data/dataset_final.csv  (label cluster + flag &amp; klasifikasi anomali)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        ▼  src/dashboard.py ── Phase 5 (Plotly Dash, port 8050)</w:t>
      </w:r>
    </w:p>
    <w:p>
      <w:pPr>
        <w:pStyle w:val="Heading3"/>
      </w:pPr>
      <w:r>
        <w:t xml:space="preserve">1.2 Entry point &amp; konfigurasi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main.py</w:t>
      </w:r>
      <w:r>
        <w:t xml:space="preserve"> — satu entry point untuk semua fase: </w:t>
      </w:r>
      <w:r>
        <w:rPr>
          <w:rFonts w:ascii="Consolas" w:cs="Consolas" w:eastAsia="Consolas" w:hAnsi="Consolas"/>
          <w:sz w:val="20"/>
          <w:szCs w:val="20"/>
        </w:rPr>
        <w:t xml:space="preserve">python main.py --phase {1|2|3|4|5|all}</w:t>
      </w:r>
      <w:r>
        <w:t xml:space="preserve">. Import tiap modul dilakukan </w:t>
      </w:r>
      <w:r>
        <w:rPr>
          <w:i/>
          <w:iCs/>
        </w:rPr>
        <w:t xml:space="preserve">lazy</w:t>
      </w:r>
      <w:r>
        <w:t xml:space="preserve"> (di dalam blok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t xml:space="preserve">) supaya menjalankan satu fase tidak menarik dependency fase lain. Mode </w:t>
      </w:r>
      <w:r>
        <w:rPr>
          <w:rFonts w:ascii="Consolas" w:cs="Consolas" w:eastAsia="Consolas" w:hAnsi="Consolas"/>
          <w:sz w:val="20"/>
          <w:szCs w:val="20"/>
        </w:rPr>
        <w:t xml:space="preserve">all</w:t>
      </w:r>
      <w:r>
        <w:t xml:space="preserve"> menjalankan Phase 1–4 berurutan; dashboard sengaja tidak ikut karena server-nya </w:t>
      </w:r>
      <w:r>
        <w:rPr>
          <w:i/>
          <w:iCs/>
        </w:rPr>
        <w:t xml:space="preserve">blocking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config.py</w:t>
      </w:r>
      <w:r>
        <w:t xml:space="preserve"> — konstanta terpusat (path, daftar kolom, parameter clustering &amp; anomaly). Modul </w:t>
      </w:r>
      <w:r>
        <w:rPr>
          <w:rFonts w:ascii="Consolas" w:cs="Consolas" w:eastAsia="Consolas" w:hAnsi="Consolas"/>
          <w:sz w:val="20"/>
          <w:szCs w:val="20"/>
        </w:rPr>
        <w:t xml:space="preserve">src/*.py</w:t>
      </w:r>
      <w:r>
        <w:t xml:space="preserve"> juga mendefinisikan salinan lokal konstanta yang dipakainya supaya tetap bisa dijalankan </w:t>
      </w:r>
      <w:r>
        <w:rPr>
          <w:i/>
          <w:iCs/>
        </w:rPr>
        <w:t xml:space="preserve">standalone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python src/anomaly.py</w:t>
      </w:r>
      <w:r>
        <w:t xml:space="preserve">) tanpa mengubah </w:t>
      </w:r>
      <w:r>
        <w:rPr>
          <w:rFonts w:ascii="Consolas" w:cs="Consolas" w:eastAsia="Consolas" w:hAnsi="Consolas"/>
          <w:sz w:val="20"/>
          <w:szCs w:val="20"/>
        </w:rPr>
        <w:t xml:space="preserve">sys.path</w:t>
      </w:r>
      <w:r>
        <w:t xml:space="preserve">.</w:t>
      </w:r>
    </w:p>
    <w:p>
      <w:pPr>
        <w:pStyle w:val="Heading3"/>
      </w:pPr>
      <w:r>
        <w:t xml:space="preserve">1.3 Konvensi yang berlaku di semua 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3896"/>
        <w:gridCol w:w="3896"/>
      </w:tblGrid>
      <w:tr>
        <w:trPr>
          <w:tblHeader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Konvensi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non-interaktif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matplotlib.use('Agg')</w:t>
            </w:r>
            <w:r>
              <w:rPr>
                <w:sz w:val="20"/>
                <w:szCs w:val="20"/>
              </w:rPr>
              <w:t xml:space="preserve"> sebelum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pyplot</w:t>
            </w:r>
            <w:r>
              <w:rPr>
                <w:sz w:val="20"/>
                <w:szCs w:val="20"/>
              </w:rPr>
              <w:t xml:space="preserve"> di-import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pipeline tidak nge-</w:t>
            </w:r>
            <w:r>
              <w:rPr>
                <w:i/>
                <w:iCs/>
                <w:sz w:val="20"/>
                <w:szCs w:val="20"/>
              </w:rPr>
              <w:t xml:space="preserve">freeze</w:t>
            </w:r>
            <w:r>
              <w:rPr>
                <w:sz w:val="20"/>
                <w:szCs w:val="20"/>
              </w:rPr>
              <w:t xml:space="preserve"> menunggu jendela plot; semua grafik tersimpan ke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outputs/phaseN/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Konsol Windows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sys.stdout.reconfigure(encoding='utf-8')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 memakai karakter unicode (→, ✅); default cp1252 akan crash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Determinisme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RANDOM_STATE = 42</w:t>
            </w:r>
            <w:r>
              <w:rPr>
                <w:sz w:val="20"/>
                <w:szCs w:val="20"/>
              </w:rPr>
              <w:t xml:space="preserve"> untuk K-Means, t-SNE, PCA, Isolation Forest, sampling dendrogram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hasil bisa direproduksi identik antar-run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Path portabel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BASE_DIR = dirname(dirname(abspath(__file__)))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jalan dari folder mana pun, tidak bergantung </w:t>
            </w:r>
            <w:r>
              <w:rPr>
                <w:i/>
                <w:iCs/>
                <w:sz w:val="20"/>
                <w:szCs w:val="20"/>
              </w:rPr>
              <w:t xml:space="preserve">working directory</w:t>
            </w:r>
          </w:p>
        </w:tc>
      </w:tr>
      <w:tr>
        <w:trPr>
          <w:tblHeader w:val="false"/>
        </w:trPr>
        <w:tc>
          <w:tcPr>
            <w:tcW w:type="dxa" w:w="123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Dokumentasi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tiap fungsi ber-docstring (tujuan, keputusan teknis, nilai kembalian) + blok komentar berisi justifikasi metodologis</w:t>
            </w:r>
          </w:p>
        </w:tc>
        <w:tc>
          <w:tcPr>
            <w:tcW w:type="dxa" w:w="38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kode = dokumentasi keputusan preprocessing (tuntutan rubrik)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Phase 1 — </w:t>
      </w:r>
      <w:r>
        <w:rPr>
          <w:rFonts w:ascii="Consolas" w:cs="Consolas" w:eastAsia="Consolas" w:hAnsi="Consolas"/>
          <w:sz w:val="20"/>
          <w:szCs w:val="20"/>
        </w:rPr>
        <w:t xml:space="preserve">src/preprocess.py</w:t>
      </w:r>
      <w:r>
        <w:t xml:space="preserve"> (Data Understanding &amp; Preprocessing)</w:t>
      </w:r>
    </w:p>
    <w:p>
      <w:pPr>
        <w:pStyle w:val="Heading3"/>
      </w:pPr>
      <w:r>
        <w:t xml:space="preserve">2.1 Peta fungsi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8"/>
        <w:gridCol w:w="3659"/>
        <w:gridCol w:w="3659"/>
      </w:tblGrid>
      <w:tr>
        <w:trPr>
          <w:tblHeader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Fungsi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Tugas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Keputusan teknis penting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load_data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baca CSV mentah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run_eda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histogram, boxplot, countplot, scatter, null/duplikat, korelasi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menghitung berapa pasang fitur dengan |r|&gt;0,1 → </w:t>
            </w:r>
            <w:r>
              <w:rPr>
                <w:b/>
                <w:bCs/>
                <w:sz w:val="20"/>
                <w:szCs w:val="20"/>
              </w:rPr>
              <w:t xml:space="preserve">temuan struktur data</w:t>
            </w:r>
            <w:r>
              <w:rPr>
                <w:sz w:val="20"/>
                <w:szCs w:val="20"/>
              </w:rPr>
              <w:t xml:space="preserve"> (lihat 2.2)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validate_data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validasi logika domain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inkonsistensi saldo di-</w:t>
            </w:r>
            <w:r>
              <w:rPr>
                <w:i/>
                <w:iCs/>
                <w:sz w:val="20"/>
                <w:szCs w:val="20"/>
              </w:rPr>
              <w:t xml:space="preserve">cross-check</w:t>
            </w:r>
            <w:r>
              <w:rPr>
                <w:sz w:val="20"/>
                <w:szCs w:val="20"/>
              </w:rPr>
              <w:t xml:space="preserve"> dengan label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Anomaly</w:t>
            </w:r>
            <w:r>
              <w:rPr>
                <w:sz w:val="20"/>
                <w:szCs w:val="20"/>
              </w:rPr>
              <w:t xml:space="preserve"> → tidak berkorelasi → baris </w:t>
            </w:r>
            <w:r>
              <w:rPr>
                <w:b/>
                <w:bCs/>
                <w:sz w:val="20"/>
                <w:szCs w:val="20"/>
              </w:rPr>
              <w:t xml:space="preserve">tidak dihapus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engineer_features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fitur temporal + </w:t>
            </w:r>
            <w:r>
              <w:rPr>
                <w:b/>
                <w:bCs/>
                <w:sz w:val="20"/>
                <w:szCs w:val="20"/>
              </w:rPr>
              <w:t xml:space="preserve">3 rasio perilaku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pembagian nol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NaN</w:t>
            </w:r>
            <w:r>
              <w:rPr>
                <w:sz w:val="20"/>
                <w:szCs w:val="20"/>
              </w:rPr>
              <w:t xml:space="preserve"> → diisi median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drop_irrelevant_columns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buang PII, surrogate key, tanggal mentah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privasi + kolom tanpa makna semantik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bin_features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kontinu → kategorikal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ambang domain tetap</w:t>
            </w:r>
            <w:r>
              <w:rPr>
                <w:sz w:val="20"/>
                <w:szCs w:val="20"/>
              </w:rPr>
              <w:t xml:space="preserve">, bukan kuantil (lihat 2.3)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detect_outliers_prescaling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outlier IQR per fitur </w:t>
            </w:r>
            <w:r>
              <w:rPr>
                <w:i/>
                <w:iCs/>
                <w:sz w:val="20"/>
                <w:szCs w:val="20"/>
              </w:rPr>
              <w:t xml:space="preserve">sebelum</w:t>
            </w:r>
            <w:r>
              <w:rPr>
                <w:sz w:val="20"/>
                <w:szCs w:val="20"/>
              </w:rPr>
              <w:t xml:space="preserve"> scaling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outlier tidak dibuang; hasilnya memilih scaler per fitur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encode_features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Label Encoding (biner) + One-Hot (nominal)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encoder terpisah per kolom agar mapping tidak saling timpa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normalize_features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scaling per fitur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RobustScaler</w:t>
            </w:r>
            <w:r>
              <w:rPr>
                <w:sz w:val="20"/>
                <w:szCs w:val="20"/>
              </w:rPr>
              <w:t xml:space="preserve"> bila outlier &gt;5% atau |skew|&gt;1, selain itu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MinMaxScaler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feature_selection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korelasi + Mutual Information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dua metode sesuai rubrik (korelasi &amp; entropi)</w:t>
            </w:r>
          </w:p>
        </w:tc>
      </w:tr>
      <w:tr>
        <w:trPr>
          <w:tblHeader w:val="false"/>
        </w:trPr>
        <w:tc>
          <w:tcPr>
            <w:tcW w:type="dxa" w:w="17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save_datasets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ekspor 2 dataset turunan</w:t>
            </w:r>
          </w:p>
        </w:tc>
        <w:tc>
          <w:tcPr>
            <w:tcW w:type="dxa" w:w="365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 clustering diekspor </w:t>
            </w:r>
            <w:r>
              <w:rPr>
                <w:b/>
                <w:bCs/>
                <w:sz w:val="20"/>
                <w:szCs w:val="20"/>
              </w:rPr>
              <w:t xml:space="preserve">nilai asli</w:t>
            </w:r>
            <w:r>
              <w:rPr>
                <w:sz w:val="20"/>
                <w:szCs w:val="20"/>
              </w:rPr>
              <w:t xml:space="preserve"> (lihat 2.4)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2.2 Temuan struktur data yang menentukan desain</w:t>
      </w:r>
    </w:p>
    <w:p>
      <w:pPr>
        <w:spacing w:after="14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run_eda</w:t>
      </w:r>
      <w:r>
        <w:t xml:space="preserve"> menghitung korelasi seluruh pasangan fitur numerik: hanya </w:t>
      </w:r>
      <w:r>
        <w:rPr>
          <w:b/>
          <w:bCs/>
        </w:rPr>
        <w:t xml:space="preserve">2 dari 55 pasang</w:t>
      </w:r>
      <w:r>
        <w:t xml:space="preserve"> dengan |r| &gt; 0,1, keduanya pasangan turunan (</w:t>
      </w:r>
      <w:r>
        <w:rPr>
          <w:rFonts w:ascii="Consolas" w:cs="Consolas" w:eastAsia="Consolas" w:hAnsi="Consolas"/>
          <w:sz w:val="20"/>
          <w:szCs w:val="20"/>
        </w:rPr>
        <w:t xml:space="preserve">Account Balance</w:t>
      </w:r>
      <w:r>
        <w:t xml:space="preserve"> ↔ </w:t>
      </w:r>
      <w:r>
        <w:rPr>
          <w:rFonts w:ascii="Consolas" w:cs="Consolas" w:eastAsia="Consolas" w:hAnsi="Consolas"/>
          <w:sz w:val="20"/>
          <w:szCs w:val="20"/>
        </w:rPr>
        <w:t xml:space="preserve">Balance After Transaction</w:t>
      </w:r>
      <w:r>
        <w:t xml:space="preserve"> 0,70; </w:t>
      </w:r>
      <w:r>
        <w:rPr>
          <w:rFonts w:ascii="Consolas" w:cs="Consolas" w:eastAsia="Consolas" w:hAnsi="Consolas"/>
          <w:sz w:val="20"/>
          <w:szCs w:val="20"/>
        </w:rPr>
        <w:t xml:space="preserve">Credit Card Balance</w:t>
      </w:r>
      <w:r>
        <w:t xml:space="preserve"> ↔ </w:t>
      </w:r>
      <w:r>
        <w:rPr>
          <w:rFonts w:ascii="Consolas" w:cs="Consolas" w:eastAsia="Consolas" w:hAnsi="Consolas"/>
          <w:sz w:val="20"/>
          <w:szCs w:val="20"/>
        </w:rPr>
        <w:t xml:space="preserve">Minimum Payment Due</w:t>
      </w:r>
      <w:r>
        <w:t xml:space="preserve"> ≈ 1,00). Skewness fitur mentah ≈ 0 (near-uniform). Konsekuensi yang di-encode langsung di kode fase berikutnya: </w:t>
      </w:r>
      <w:r>
        <w:rPr>
          <w:b/>
          <w:bCs/>
        </w:rPr>
        <w:t xml:space="preserve">PCA tidak akan efektif</w:t>
      </w:r>
      <w:r>
        <w:t xml:space="preserve"> dan </w:t>
      </w:r>
      <w:r>
        <w:rPr>
          <w:b/>
          <w:bCs/>
        </w:rPr>
        <w:t xml:space="preserve">clustering fitur mentah tidak akan menemukan cluster alami</w:t>
      </w:r>
      <w:r>
        <w:t xml:space="preserve">.</w:t>
      </w:r>
    </w:p>
    <w:p>
      <w:pPr>
        <w:spacing w:after="140"/>
        <w:jc w:val="both"/>
      </w:pPr>
      <w:r>
        <w:t xml:space="preserve">Karena itu </w:t>
      </w:r>
      <w:r>
        <w:rPr>
          <w:rFonts w:ascii="Consolas" w:cs="Consolas" w:eastAsia="Consolas" w:hAnsi="Consolas"/>
          <w:sz w:val="20"/>
          <w:szCs w:val="20"/>
        </w:rPr>
        <w:t xml:space="preserve">engineer_features</w:t>
      </w:r>
      <w:r>
        <w:t xml:space="preserve"> membuat tiga rasio perilaku — inilah baris kode paling berpengaruh di seluruh proyek: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data_set['CC_Utilization']               = data_set['Credit Card Balance'] / data_set['Credit Limit']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data_set['Transaction_to_Balance_Ratio'] = data_set['Transaction Amount']  / data_set['Account Balance'].replace(0, np.nan)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data_set['Loan_to_Balance_Ratio']        = data_set['Loan Amount']         / data_set['Account Balance'].replace(0, np.nan)</w:t>
      </w:r>
    </w:p>
    <w:p>
      <w:pPr>
        <w:spacing w:after="140"/>
        <w:jc w:val="both"/>
      </w:pPr>
      <w:r>
        <w:t xml:space="preserve">Rasio dua variabel uniform menghasilkan distribusi </w:t>
      </w:r>
      <w:r>
        <w:rPr>
          <w:b/>
          <w:bCs/>
        </w:rPr>
        <w:t xml:space="preserve">berstruktur</w:t>
      </w:r>
      <w:r>
        <w:t xml:space="preserve"> (skew 2–7, ekor kanan panjang) — struktur inilah yang membuat segmentasi Phase 2 bermakna (silhouette naik dari ≈0,07 ke ≈0,57).</w:t>
      </w:r>
    </w:p>
    <w:p>
      <w:pPr>
        <w:pStyle w:val="Heading3"/>
      </w:pPr>
      <w:r>
        <w:t xml:space="preserve">2.3 Binning berbasis ambang domain</w:t>
      </w:r>
    </w:p>
    <w:p>
      <w:pPr>
        <w:spacing w:after="14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bin_features</w:t>
      </w:r>
      <w:r>
        <w:t xml:space="preserve"> sengaja </w:t>
      </w:r>
      <w:r>
        <w:rPr>
          <w:b/>
          <w:bCs/>
        </w:rPr>
        <w:t xml:space="preserve">tidak</w:t>
      </w:r>
      <w:r>
        <w:t xml:space="preserve"> memakai kuantil/equal-width karena batasnya bergeser bila data berubah dan kategorinya tidak punya makna intrinsik. Ambang tetap yang dipakai dirujuk ke literatur/praktik industri (rincian referensi ada di blok komentar di atas fungsi): tahap hidup finansial untuk umur (Modigliani– Brumberg; Agarwal dkk. 2009), pedoman utilisasi FICO 30/70/100% (kategori </w:t>
      </w:r>
      <w:r>
        <w:rPr>
          <w:rFonts w:ascii="Consolas" w:cs="Consolas" w:eastAsia="Consolas" w:hAnsi="Consolas"/>
          <w:sz w:val="20"/>
          <w:szCs w:val="20"/>
        </w:rPr>
        <w:t xml:space="preserve">Over-Limit</w:t>
      </w:r>
      <w:r>
        <w:t xml:space="preserve"> &gt; 100% wajib ada agar sinyal risiko tidak hilang), tier suku bunga Regulation Z, ambang minimum-balance ritel, bracket pinjaman konsumen, dan tier nominal transaksi ala pemantauan AML.</w:t>
      </w:r>
    </w:p>
    <w:p>
      <w:pPr>
        <w:pStyle w:val="Heading3"/>
      </w:pPr>
      <w:r>
        <w:t xml:space="preserve">2.4 Kontrak antar-fase</w:t>
      </w:r>
    </w:p>
    <w:p>
      <w:pPr>
        <w:spacing w:after="14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save_datasets</w:t>
      </w:r>
      <w:r>
        <w:t xml:space="preserve"> mengekspor </w:t>
      </w:r>
      <w:r>
        <w:rPr>
          <w:rFonts w:ascii="Consolas" w:cs="Consolas" w:eastAsia="Consolas" w:hAnsi="Consolas"/>
          <w:sz w:val="20"/>
          <w:szCs w:val="20"/>
        </w:rPr>
        <w:t xml:space="preserve">dataset_clustering.csv</w:t>
      </w:r>
      <w:r>
        <w:t xml:space="preserve"> dalam </w:t>
      </w:r>
      <w:r>
        <w:rPr>
          <w:b/>
          <w:bCs/>
        </w:rPr>
        <w:t xml:space="preserve">nilai asli</w:t>
      </w:r>
      <w:r>
        <w:t xml:space="preserve"> (belum di-scale). Winsorization + scaling menjadi tanggung jawab Phase 2, dengan dua alasan: (1) profiling cluster harus memakai nilai asli agar interpretasi bisnis valid; (2) pemisahan tanggung jawab — Phase 1 menghasilkan </w:t>
      </w:r>
      <w:r>
        <w:rPr>
          <w:i/>
          <w:iCs/>
        </w:rPr>
        <w:t xml:space="preserve">fitur</w:t>
      </w:r>
      <w:r>
        <w:t xml:space="preserve">, Phase 2 mengelola </w:t>
      </w:r>
      <w:r>
        <w:rPr>
          <w:i/>
          <w:iCs/>
        </w:rPr>
        <w:t xml:space="preserve">ruang jarak</w:t>
      </w:r>
      <w:r>
        <w:t xml:space="preserve">.</w:t>
      </w:r>
    </w:p>
    <w:p>
      <w:pPr>
        <w:pStyle w:val="Heading2"/>
      </w:pPr>
      <w:r>
        <w:t xml:space="preserve">3. Phase 2 — </w:t>
      </w:r>
      <w:r>
        <w:rPr>
          <w:rFonts w:ascii="Consolas" w:cs="Consolas" w:eastAsia="Consolas" w:hAnsi="Consolas"/>
          <w:sz w:val="20"/>
          <w:szCs w:val="20"/>
        </w:rPr>
        <w:t xml:space="preserve">src/clustering.py</w:t>
      </w:r>
      <w:r>
        <w:t xml:space="preserve"> (Segmentation via Clustering)</w:t>
      </w:r>
    </w:p>
    <w:p>
      <w:pPr>
        <w:pStyle w:val="Heading3"/>
      </w:pPr>
      <w:r>
        <w:t xml:space="preserve">3.1 Pipeline 9 langkah (</w:t>
      </w:r>
      <w:r>
        <w:rPr>
          <w:rFonts w:ascii="Consolas" w:cs="Consolas" w:eastAsia="Consolas" w:hAnsi="Consolas"/>
          <w:sz w:val="20"/>
          <w:szCs w:val="20"/>
        </w:rPr>
        <w:t xml:space="preserve">run_clustering</w:t>
      </w:r>
      <w:r>
        <w:t xml:space="preserve">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[1] load → [2] attach_categoricals → [3] dimensionality_analysis (bukti PCA)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→ [4] feature_selection_comparison (exhaustive 286 kombinasi)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→ [5] prepare_features (winsorize 2% + StandardScaler)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→ [6] find_optimal_k (Elbow + Silhouette) → [7] K-Means + profil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→ [8] DBSCAN (auto-eps) + Hierarchical (3 linkage) + profil → [9] bandingkan &amp; simpan</w:t>
      </w:r>
    </w:p>
    <w:p>
      <w:pPr>
        <w:pStyle w:val="Heading3"/>
      </w:pPr>
      <w:r>
        <w:t xml:space="preserve">3.2 Bukti PCA tidak dipakai (</w:t>
      </w:r>
      <w:r>
        <w:rPr>
          <w:rFonts w:ascii="Consolas" w:cs="Consolas" w:eastAsia="Consolas" w:hAnsi="Consolas"/>
          <w:sz w:val="20"/>
          <w:szCs w:val="20"/>
        </w:rPr>
        <w:t xml:space="preserve">dimensionality_analysis</w:t>
      </w:r>
      <w:r>
        <w:t xml:space="preserve">)</w:t>
      </w:r>
    </w:p>
    <w:p>
      <w:pPr>
        <w:spacing w:after="140"/>
        <w:jc w:val="both"/>
      </w:pPr>
      <w:r>
        <w:t xml:space="preserve">PCA dijalankan </w:t>
      </w:r>
      <w:r>
        <w:rPr>
          <w:b/>
          <w:bCs/>
        </w:rPr>
        <w:t xml:space="preserve">sekali, bukan untuk dipakai</w:t>
      </w:r>
      <w:r>
        <w:t xml:space="preserve">, melainkan untuk membuktikan scree plot-nya datar: tiap komponen menangkap ≈1/n variance (garis merah "1/n" digambar sebagai pembanding di </w:t>
      </w:r>
      <w:r>
        <w:rPr>
          <w:rFonts w:ascii="Consolas" w:cs="Consolas" w:eastAsia="Consolas" w:hAnsi="Consolas"/>
          <w:sz w:val="20"/>
          <w:szCs w:val="20"/>
        </w:rPr>
        <w:t xml:space="preserve">pca_why_not_used.png</w:t>
      </w:r>
      <w:r>
        <w:t xml:space="preserve">). Butuh 9 dari 11 komponen untuk 80% variance → kompresi hanya 18% → reduksi tidak berguna. Keputusan drop-PCA dengan demikian </w:t>
      </w:r>
      <w:r>
        <w:rPr>
          <w:b/>
          <w:bCs/>
        </w:rPr>
        <w:t xml:space="preserve">terdokumentasi dengan bukti</w:t>
      </w:r>
      <w:r>
        <w:t xml:space="preserve">, bukan asumsi.</w:t>
      </w:r>
    </w:p>
    <w:p>
      <w:pPr>
        <w:pStyle w:val="Heading3"/>
      </w:pPr>
      <w:r>
        <w:t xml:space="preserve">3.3 Validasi pemilihan fitur (</w:t>
      </w:r>
      <w:r>
        <w:rPr>
          <w:rFonts w:ascii="Consolas" w:cs="Consolas" w:eastAsia="Consolas" w:hAnsi="Consolas"/>
          <w:sz w:val="20"/>
          <w:szCs w:val="20"/>
        </w:rPr>
        <w:t xml:space="preserve">feature_selection_comparison</w:t>
      </w:r>
      <w:r>
        <w:t xml:space="preserve">)</w:t>
      </w:r>
    </w:p>
    <w:p>
      <w:pPr>
        <w:spacing w:after="140"/>
        <w:jc w:val="both"/>
      </w:pPr>
      <w:r>
        <w:t xml:space="preserve">Untuk menjawab "kenapa 3 rasio itu, bukan fitur lain?", pilihan manual diadu dengan pencarian otomatis. Inti implementasinya: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combos = list(combinations(pool, 3))            # C(13,3) = 286 kombinasi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scored = [(_kmeans_silhouette(_winsor_scale(df, list(c))), c) for c in combos]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scored.sort(key=lambda t: t[0], reverse=True)   # peringkat semua kombinasi</w:t>
      </w:r>
    </w:p>
    <w:p>
      <w:pPr>
        <w:spacing w:after="140"/>
        <w:jc w:val="both"/>
      </w:pPr>
      <w:r>
        <w:t xml:space="preserve">Tiap kombinasi melewati transformasi yang </w:t>
      </w:r>
      <w:r>
        <w:rPr>
          <w:b/>
          <w:bCs/>
        </w:rPr>
        <w:t xml:space="preserve">sama</w:t>
      </w:r>
      <w:r>
        <w:t xml:space="preserve"> dengan pipeline utama (winsorize + scale), di-cluster K-Means K=3, lalu dihitung silhouette </w:t>
      </w:r>
      <w:r>
        <w:rPr>
          <w:b/>
          <w:bCs/>
        </w:rPr>
        <w:t xml:space="preserve">penuh pada 5.000 baris</w:t>
      </w:r>
      <w:r>
        <w:t xml:space="preserve"> (tanpa sampling) supaya peringkatnya setara dengan angka final yang dilaporkan. Ini bagian terlama Phase 2 (~5 menit): silhouette O(n²) × 286 kombinasi. Hasil: pencarian otomatis mendarat </w:t>
      </w:r>
      <w:r>
        <w:rPr>
          <w:b/>
          <w:bCs/>
        </w:rPr>
        <w:t xml:space="preserve">tepat di 3 rasio domain (peringkat #1 dari 286)</w:t>
      </w:r>
      <w:r>
        <w:t xml:space="preserve"> — silhouette 0,571 vs 0,065 (semua fitur mentah) dan 0,081 (PCA 80%).</w:t>
      </w:r>
    </w:p>
    <w:p>
      <w:pPr>
        <w:pStyle w:val="Heading3"/>
      </w:pPr>
      <w:r>
        <w:t xml:space="preserve">3.4 Penentuan K dan algoritma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find_optimal_k</w:t>
      </w:r>
      <w:r>
        <w:t xml:space="preserve">: WCSS (elbow) + silhouette untuk K=2..10. Silhouette murni tertinggi ada di K=2, tetapi K=2 hanya memisahkan "over-limit vs sisanya". </w:t>
      </w:r>
      <w:r>
        <w:rPr>
          <w:b/>
          <w:bCs/>
        </w:rPr>
        <w:t xml:space="preserve">K=3 dipilih atas dasar domain</w:t>
      </w:r>
      <w:r>
        <w:t xml:space="preserve">: silhouette tetap tinggi dan memunculkan segmen ketiga (</w:t>
      </w:r>
      <w:r>
        <w:rPr>
          <w:i/>
          <w:iCs/>
        </w:rPr>
        <w:t xml:space="preserve">liquidity-stressed</w:t>
      </w:r>
      <w:r>
        <w:t xml:space="preserve">) yang actionable — keputusan ini dicetak eksplisit di log dan digambar di </w:t>
      </w:r>
      <w:r>
        <w:rPr>
          <w:rFonts w:ascii="Consolas" w:cs="Consolas" w:eastAsia="Consolas" w:hAnsi="Consolas"/>
          <w:sz w:val="20"/>
          <w:szCs w:val="20"/>
        </w:rPr>
        <w:t xml:space="preserve">elbow_silhouette.png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run_kmeans</w:t>
      </w:r>
      <w:r>
        <w:t xml:space="preserve">: K-Means </w:t>
      </w:r>
      <w:r>
        <w:rPr>
          <w:rFonts w:ascii="Consolas" w:cs="Consolas" w:eastAsia="Consolas" w:hAnsi="Consolas"/>
          <w:sz w:val="20"/>
          <w:szCs w:val="20"/>
        </w:rPr>
        <w:t xml:space="preserve">n_init=10</w:t>
      </w:r>
      <w:r>
        <w:t xml:space="preserve">, lalu dua visual — scatter pasangan rasio dan proyeksi </w:t>
      </w:r>
      <w:r>
        <w:rPr>
          <w:b/>
          <w:bCs/>
        </w:rPr>
        <w:t xml:space="preserve">t-SNE</w:t>
      </w:r>
      <w:r>
        <w:t xml:space="preserve"> 2D (langkah tunggal terlama kedua, ~30–60 dtk).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run_dbscan</w:t>
      </w:r>
      <w:r>
        <w:t xml:space="preserve">: eps </w:t>
      </w:r>
      <w:r>
        <w:rPr>
          <w:b/>
          <w:bCs/>
        </w:rPr>
        <w:t xml:space="preserve">dicari otomatis</w:t>
      </w:r>
      <w:r>
        <w:t xml:space="preserve"> — kandidat 0,20–2,00 (step 0,05) masing-masing dijalankan, lalu dipilih yang persentase noise-nya paling dekat ~5% di dalam rentang wajar 2–15%. Noise (-1) ≈ 274 titik (5,5%) menjadi sudut pandang </w:t>
      </w:r>
      <w:r>
        <w:rPr>
          <w:i/>
          <w:iCs/>
        </w:rPr>
        <w:t xml:space="preserve">density</w:t>
      </w:r>
      <w:r>
        <w:t xml:space="preserve"> untuk Phase 4.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run_hierarchical</w:t>
      </w:r>
      <w:r>
        <w:t xml:space="preserve">: dendrogram 3 linkage (ward/complete/average) pada </w:t>
      </w:r>
      <w:r>
        <w:rPr>
          <w:b/>
          <w:bCs/>
        </w:rPr>
        <w:t xml:space="preserve">sampel 1.000 baris</w:t>
      </w:r>
      <w:r>
        <w:t xml:space="preserve"> (dendrogram 5.000 daun tidak terbaca dan berat); label final dipotong dari Ward pada seluruh data.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name_segments</w:t>
      </w:r>
      <w:r>
        <w:t xml:space="preserve">: penamaan segmen </w:t>
      </w:r>
      <w:r>
        <w:rPr>
          <w:b/>
          <w:bCs/>
        </w:rPr>
        <w:t xml:space="preserve">data-driven</w:t>
      </w:r>
      <w:r>
        <w:t xml:space="preserve"> — membandingkan median rasio tiap cluster terhadap median global (label cluster K-Means itu acak, jadi nama tidak boleh di-hardcode ke nomor cluster).</w:t>
      </w:r>
    </w:p>
    <w:p>
      <w:pPr>
        <w:pStyle w:val="Heading3"/>
      </w:pPr>
      <w:r>
        <w:t xml:space="preserve">3.5 Profil segmen dua lapis</w:t>
      </w:r>
    </w:p>
    <w:p>
      <w:pPr>
        <w:spacing w:after="14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profile_clusters</w:t>
      </w:r>
      <w:r>
        <w:t xml:space="preserve"> menampilkan median </w:t>
      </w:r>
      <w:r>
        <w:rPr>
          <w:b/>
          <w:bCs/>
        </w:rPr>
        <w:t xml:space="preserve">nilai asli</w:t>
      </w:r>
      <w:r>
        <w:t xml:space="preserve"> (bukan z-score) untuk 3 rasio + konteks finansial. </w:t>
      </w:r>
      <w:r>
        <w:rPr>
          <w:rFonts w:ascii="Consolas" w:cs="Consolas" w:eastAsia="Consolas" w:hAnsi="Consolas"/>
          <w:sz w:val="20"/>
          <w:szCs w:val="20"/>
        </w:rPr>
        <w:t xml:space="preserve">profile_categoricals</w:t>
      </w:r>
      <w:r>
        <w:t xml:space="preserve"> menambah lapis demografis: crosstab persentase per segmen dengan metrik </w:t>
      </w:r>
      <w:r>
        <w:rPr>
          <w:b/>
          <w:bCs/>
        </w:rPr>
        <w:t xml:space="preserve">spread</w:t>
      </w:r>
      <w:r>
        <w:t xml:space="preserve"> (selisih proporsi maks–min antar cluster, dalam poin persen; ≥10 pp = membedakan). Temuan yang dilaporkan jujur: demografi nyaris seragam (2–7 pp) → segmen dibentuk </w:t>
      </w:r>
      <w:r>
        <w:rPr>
          <w:b/>
          <w:bCs/>
        </w:rPr>
        <w:t xml:space="preserve">perilaku finansial</w:t>
      </w:r>
      <w:r>
        <w:t xml:space="preserve">, bukan demografi.</w:t>
      </w:r>
    </w:p>
    <w:p>
      <w:pPr>
        <w:pStyle w:val="Heading2"/>
      </w:pPr>
      <w:r>
        <w:t xml:space="preserve">4. Phase 3 — </w:t>
      </w:r>
      <w:r>
        <w:rPr>
          <w:rFonts w:ascii="Consolas" w:cs="Consolas" w:eastAsia="Consolas" w:hAnsi="Consolas"/>
          <w:sz w:val="20"/>
          <w:szCs w:val="20"/>
        </w:rPr>
        <w:t xml:space="preserve">src/arm.py</w:t>
      </w:r>
      <w:r>
        <w:t xml:space="preserve"> (Association Rule Mining)</w:t>
      </w:r>
    </w:p>
    <w:p>
      <w:pPr>
        <w:pStyle w:val="Heading3"/>
      </w:pPr>
      <w:r>
        <w:t xml:space="preserve">4.1 Transformasi ke format transaksi</w:t>
      </w:r>
    </w:p>
    <w:p>
      <w:pPr>
        <w:spacing w:after="140"/>
        <w:jc w:val="both"/>
      </w:pPr>
      <w:r>
        <w:t xml:space="preserve">Setiap baris diubah menjadi </w:t>
      </w:r>
      <w:r>
        <w:rPr>
          <w:i/>
          <w:iCs/>
        </w:rPr>
        <w:t xml:space="preserve">itemset</w:t>
      </w:r>
      <w:r>
        <w:t xml:space="preserve"> dengan format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NamaKolom=Nilai</w:t>
      </w:r>
      <w:r>
        <w:t xml:space="preserve"> (mis. </w:t>
      </w:r>
      <w:r>
        <w:rPr>
          <w:rFonts w:ascii="Consolas" w:cs="Consolas" w:eastAsia="Consolas" w:hAnsi="Consolas"/>
          <w:sz w:val="20"/>
          <w:szCs w:val="20"/>
        </w:rPr>
        <w:t xml:space="preserve">Loan Status=Approved</w:t>
      </w:r>
      <w:r>
        <w:t xml:space="preserve">) lalu di-one-hot dengan </w:t>
      </w:r>
      <w:r>
        <w:rPr>
          <w:rFonts w:ascii="Consolas" w:cs="Consolas" w:eastAsia="Consolas" w:hAnsi="Consolas"/>
          <w:sz w:val="20"/>
          <w:szCs w:val="20"/>
        </w:rPr>
        <w:t xml:space="preserve">TransactionEncoder</w:t>
      </w:r>
      <w:r>
        <w:t xml:space="preserve"> mlxtend → matriks boolean 5.000 × 44 item. Prefiks nama kolom mencegah ambiguitas ("High" milik </w:t>
      </w:r>
      <w:r>
        <w:rPr>
          <w:rFonts w:ascii="Consolas" w:cs="Consolas" w:eastAsia="Consolas" w:hAnsi="Consolas"/>
          <w:sz w:val="20"/>
          <w:szCs w:val="20"/>
        </w:rPr>
        <w:t xml:space="preserve">Rate_Category</w:t>
      </w:r>
      <w:r>
        <w:t xml:space="preserve"> ≠ "High" milik </w:t>
      </w:r>
      <w:r>
        <w:rPr>
          <w:rFonts w:ascii="Consolas" w:cs="Consolas" w:eastAsia="Consolas" w:hAnsi="Consolas"/>
          <w:sz w:val="20"/>
          <w:szCs w:val="20"/>
        </w:rPr>
        <w:t xml:space="preserve">CC_Utilization_Category</w:t>
      </w:r>
      <w:r>
        <w:t xml:space="preserve">).</w:t>
      </w:r>
    </w:p>
    <w:p>
      <w:pPr>
        <w:pStyle w:val="Heading3"/>
      </w:pPr>
      <w:r>
        <w:t xml:space="preserve">4.2 Apriori + auto-tune support</w:t>
      </w:r>
    </w:p>
    <w:p>
      <w:pPr>
        <w:spacing w:after="140"/>
        <w:jc w:val="both"/>
      </w:pPr>
      <w:r>
        <w:t xml:space="preserve">Parameter kualitas ditetapkan dulu dan </w:t>
      </w:r>
      <w:r>
        <w:rPr>
          <w:b/>
          <w:bCs/>
        </w:rPr>
        <w:t xml:space="preserve">tidak dilonggarkan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min_lift = 1,4</w:t>
      </w:r>
      <w:r>
        <w:t xml:space="preserve"> (non-trivial, ≥40% di atas acak) dan </w:t>
      </w:r>
      <w:r>
        <w:rPr>
          <w:rFonts w:ascii="Consolas" w:cs="Consolas" w:eastAsia="Consolas" w:hAnsi="Consolas"/>
          <w:sz w:val="20"/>
          <w:szCs w:val="20"/>
        </w:rPr>
        <w:t xml:space="preserve">min_confidence = 0,5</w:t>
      </w:r>
      <w:r>
        <w:t xml:space="preserve">. Karena binning memakai ambang domain (bukan kuantil), sebagian kategori kecil dan itemset lebih jarang — maka </w:t>
      </w:r>
      <w:r>
        <w:rPr>
          <w:rFonts w:ascii="Consolas" w:cs="Consolas" w:eastAsia="Consolas" w:hAnsi="Consolas"/>
          <w:sz w:val="20"/>
          <w:szCs w:val="20"/>
        </w:rPr>
        <w:t xml:space="preserve">auto_tune_support</w:t>
      </w:r>
      <w:r>
        <w:t xml:space="preserve"> menurunkan </w:t>
      </w:r>
      <w:r>
        <w:rPr>
          <w:rFonts w:ascii="Consolas" w:cs="Consolas" w:eastAsia="Consolas" w:hAnsi="Consolas"/>
          <w:sz w:val="20"/>
          <w:szCs w:val="20"/>
        </w:rPr>
        <w:t xml:space="preserve">min_support</w:t>
      </w:r>
      <w:r>
        <w:t xml:space="preserve"> bertahap (0,05 → step 0,0025) sampai dapat ≥10 rule: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for sup in np.arange(start_support, 0.004, -0.0025).round(4):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frequent_itemsets = apriori(df_encoded, min_support=sup, use_colnames=True)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rules = association_rules(frequent_itemsets, metric='lift', min_threshold=min_lift)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rules = rules[rules['confidence'] &gt;= min_confidence]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if len(rules) &gt;= target_rules: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        return frequent_itemsets, rules, sup</w:t>
      </w:r>
    </w:p>
    <w:p>
      <w:pPr>
        <w:spacing w:after="140"/>
        <w:jc w:val="both"/>
      </w:pPr>
      <w:r>
        <w:t xml:space="preserve">Konvergen di </w:t>
      </w:r>
      <w:r>
        <w:rPr>
          <w:rFonts w:ascii="Consolas" w:cs="Consolas" w:eastAsia="Consolas" w:hAnsi="Consolas"/>
          <w:sz w:val="20"/>
          <w:szCs w:val="20"/>
        </w:rPr>
        <w:t xml:space="preserve">min_support = 0,01</w:t>
      </w:r>
      <w:r>
        <w:t xml:space="preserve"> (rule muncul ≥50 dari 5.000 baris) → </w:t>
      </w:r>
      <w:r>
        <w:rPr>
          <w:b/>
          <w:bCs/>
        </w:rPr>
        <w:t xml:space="preserve">82 rule</w:t>
      </w:r>
      <w:r>
        <w:t xml:space="preserve"> (lift 1,401–1,662; confidence 0,50–0,76). Lift yang mentok di ~1,66 adalah </w:t>
      </w:r>
      <w:r>
        <w:rPr>
          <w:b/>
          <w:bCs/>
        </w:rPr>
        <w:t xml:space="preserve">batas data</w:t>
      </w:r>
      <w:r>
        <w:t xml:space="preserve"> (atribut kategorikal nyaris independen), bukan bug — dijelaskan di laporan bisnis.</w:t>
      </w:r>
    </w:p>
    <w:p>
      <w:pPr>
        <w:pStyle w:val="Heading3"/>
      </w:pPr>
      <w:r>
        <w:t xml:space="preserve">4.3 Ekspor dua tingkat &amp; lapisan makna bisnis</w:t>
      </w:r>
    </w:p>
    <w:p>
      <w:pPr>
        <w:spacing w:after="14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export_rules</w:t>
      </w:r>
      <w:r>
        <w:t xml:space="preserve"> menyimpan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rules_all.csv</w:t>
      </w:r>
      <w:r>
        <w:rPr>
          <w:b/>
          <w:bCs/>
        </w:rPr>
        <w:t xml:space="preserve"> (semua 82 rule — sumber angka "total rule" di laporan &amp; KPI dashboard)</w:t>
      </w:r>
      <w:r>
        <w:t xml:space="preserve"> dan </w:t>
      </w:r>
      <w:r>
        <w:rPr>
          <w:rFonts w:ascii="Consolas" w:cs="Consolas" w:eastAsia="Consolas" w:hAnsi="Consolas"/>
          <w:sz w:val="20"/>
          <w:szCs w:val="20"/>
        </w:rPr>
        <w:t xml:space="preserve">top_rules.csv</w:t>
      </w:r>
      <w:r>
        <w:t xml:space="preserve"> (top-20 by lift untuk tabel ringkas). Dua file ini yang menjaga angka konsisten di seluruh deliverable. </w:t>
      </w:r>
      <w:r>
        <w:rPr>
          <w:rFonts w:ascii="Consolas" w:cs="Consolas" w:eastAsia="Consolas" w:hAnsi="Consolas"/>
          <w:sz w:val="20"/>
          <w:szCs w:val="20"/>
        </w:rPr>
        <w:t xml:space="preserve">ITEM_MEANING_MAP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pretty_item/pretty_itemset/infer_business_theme</w:t>
      </w:r>
      <w:r>
        <w:t xml:space="preserve"> menerjemahkan item ke frasa bisnis Indonesia dan mengelompokkan rule per tema (risiko / layanan / nasabah sehat) untuk interpretasi otomatis top-10.</w:t>
      </w:r>
    </w:p>
    <w:p>
      <w:pPr>
        <w:pStyle w:val="Heading2"/>
      </w:pPr>
      <w:r>
        <w:t xml:space="preserve">5. Phase 4 — </w:t>
      </w:r>
      <w:r>
        <w:rPr>
          <w:rFonts w:ascii="Consolas" w:cs="Consolas" w:eastAsia="Consolas" w:hAnsi="Consolas"/>
          <w:sz w:val="20"/>
          <w:szCs w:val="20"/>
        </w:rPr>
        <w:t xml:space="preserve">src/anomaly.py</w:t>
      </w:r>
      <w:r>
        <w:t xml:space="preserve"> (Anomaly Detection, metode </w:t>
      </w:r>
      <w:r>
        <w:rPr>
          <w:i/>
          <w:iCs/>
        </w:rPr>
        <w:t xml:space="preserve">modified</w:t>
      </w:r>
      <w:r>
        <w:t xml:space="preserve">)</w:t>
      </w:r>
    </w:p>
    <w:p>
      <w:pPr>
        <w:spacing w:after="140"/>
        <w:jc w:val="both"/>
      </w:pPr>
      <w:r>
        <w:t xml:space="preserve">Fase ini direvisi sesuai masukan dosen: ketiga metode memakai varian </w:t>
      </w:r>
      <w:r>
        <w:rPr>
          <w:b/>
          <w:bCs/>
        </w:rPr>
        <w:t xml:space="preserve">modified/robust</w:t>
      </w:r>
      <w:r>
        <w:t xml:space="preserve">, dan versi standar tetap dihitung sebagai </w:t>
      </w:r>
      <w:r>
        <w:rPr>
          <w:b/>
          <w:bCs/>
        </w:rPr>
        <w:t xml:space="preserve">pembanding sistematis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compare_standard_vs_modified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standard_vs_modified.csv/png</w:t>
      </w:r>
      <w:r>
        <w:t xml:space="preserve">). Motivasi bersama: ketiga rasio perilaku </w:t>
      </w:r>
      <w:r>
        <w:rPr>
          <w:i/>
          <w:iCs/>
        </w:rPr>
        <w:t xml:space="preserve">right-skewed</w:t>
      </w:r>
      <w:r>
        <w:t xml:space="preserve"> berat (skew 2–7), sedangkan metode standar diam-diam mengasumsikan distribusi simetris.</w:t>
      </w:r>
    </w:p>
    <w:p>
      <w:pPr>
        <w:pStyle w:val="Heading3"/>
      </w:pPr>
      <w:r>
        <w:t xml:space="preserve">5.1 IQR modified — </w:t>
      </w:r>
      <w:r>
        <w:rPr>
          <w:i/>
          <w:iCs/>
        </w:rPr>
        <w:t xml:space="preserve">skew-adjusted boxplot</w:t>
      </w:r>
      <w:r>
        <w:t xml:space="preserve"> via medcouple</w:t>
      </w:r>
    </w:p>
    <w:p>
      <w:pPr>
        <w:spacing w:after="140"/>
        <w:jc w:val="both"/>
      </w:pPr>
      <w:r>
        <w:rPr>
          <w:b/>
          <w:bCs/>
        </w:rPr>
        <w:t xml:space="preserve">Medcouple</w:t>
      </w:r>
      <w:r>
        <w:t xml:space="preserve"> (Brys–Hubert–Struyf, 2004) adalah statistik kemiringan robust: median dari kernel semua pasangan (xᵢ ≥ median, xⱼ ≤ median):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h(xᵢ, xⱼ) = ((xᵢ − med) − (med − xⱼ)) / (xᵢ − xⱼ)      MC = median h  ∈ [−1, 1]</w:t>
      </w:r>
    </w:p>
    <w:p>
      <w:pPr>
        <w:spacing w:after="140"/>
        <w:jc w:val="both"/>
      </w:pPr>
      <w:r>
        <w:t xml:space="preserve">Implementasi di </w:t>
      </w:r>
      <w:r>
        <w:rPr>
          <w:rFonts w:ascii="Consolas" w:cs="Consolas" w:eastAsia="Consolas" w:hAnsi="Consolas"/>
          <w:sz w:val="20"/>
          <w:szCs w:val="20"/>
        </w:rPr>
        <w:t xml:space="preserve">_medcouple()</w:t>
      </w:r>
      <w:r>
        <w:t xml:space="preserve"> divektorisasi numpy O(n²) — untuk 5.000 baris (~6 juta pasangan) selesai &lt; 1 detik: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xp = x[x &gt;= med]; xm = x[x &lt;= med]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a = xp[:, None] - med          # jarak sisi kanan ke median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b = med - xm[None, :]          # jarak median ke sisi kiri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h = (a - b) / (xp[:, None] - xm[None, :])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return float(np.nanmedian(h))  # pasangan 0/0 (tie di median) diabaikan</w:t>
      </w:r>
    </w:p>
    <w:p>
      <w:pPr>
        <w:spacing w:after="140"/>
        <w:jc w:val="both"/>
      </w:pPr>
      <w:r>
        <w:t xml:space="preserve">Pagar </w:t>
      </w:r>
      <w:r>
        <w:rPr>
          <w:i/>
          <w:iCs/>
        </w:rPr>
        <w:t xml:space="preserve">adjusted boxplot</w:t>
      </w:r>
      <w:r>
        <w:t xml:space="preserve"> (Hubert &amp; Vandervieren, 2008) mengoreksi pagar klasik dengan faktor eksponensial dari MC: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MC ≥ 0 :  [Q1 − 1,5·e^(−4·MC)·IQR ,  Q3 + 1,5·e^(+3·MC)·IQR]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MC &lt; 0 :  [Q1 − 1,5·e^(−3·MC)·IQR ,  Q3 + 1,5·e^(+4·MC)·IQR]</w:t>
      </w:r>
    </w:p>
    <w:p>
      <w:pPr>
        <w:spacing w:after="140"/>
        <w:jc w:val="both"/>
      </w:pPr>
      <w:r>
        <w:t xml:space="preserve">Bila MC = 0 rumus kembali persis ke pagar klasik. Pada data kami MC = +0,285 / +0,390 / +0,448 (right-skew) → pagar atas melebar (mis. </w:t>
      </w:r>
      <w:r>
        <w:rPr>
          <w:rFonts w:ascii="Consolas" w:cs="Consolas" w:eastAsia="Consolas" w:hAnsi="Consolas"/>
          <w:sz w:val="20"/>
          <w:szCs w:val="20"/>
        </w:rPr>
        <w:t xml:space="preserve">CC_Utilization</w:t>
      </w:r>
      <w:r>
        <w:t xml:space="preserve">: 1,56 → 2,64), sehingga ekor kanan yang wajar berhenti salah-flag: </w:t>
      </w:r>
      <w:r>
        <w:rPr>
          <w:b/>
          <w:bCs/>
        </w:rPr>
        <w:t xml:space="preserve">1.131 → 880 record</w:t>
      </w:r>
      <w:r>
        <w:t xml:space="preserve"> (22,6% → 17,6%).</w:t>
      </w:r>
    </w:p>
    <w:p>
      <w:pPr>
        <w:pStyle w:val="Heading3"/>
      </w:pPr>
      <w:r>
        <w:t xml:space="preserve">5.2 Z-score modified — median/MAD (Iglewicz &amp; Hoaglin, 1993)</w:t>
      </w:r>
    </w:p>
    <w:p>
      <w:pPr>
        <w:spacing w:after="140"/>
        <w:jc w:val="both"/>
      </w:pPr>
      <w:r>
        <w:t xml:space="preserve">Z-score klasik </w:t>
      </w:r>
      <w:r>
        <w:rPr>
          <w:rFonts w:ascii="Consolas" w:cs="Consolas" w:eastAsia="Consolas" w:hAnsi="Consolas"/>
          <w:sz w:val="20"/>
          <w:szCs w:val="20"/>
        </w:rPr>
        <w:t xml:space="preserve">z = (x−mean)/std</w:t>
      </w:r>
      <w:r>
        <w:t xml:space="preserve"> memakai dua momen yang justru terdistorsi oleh outlier yang sedang dicari (mean tertarik, std membengkak). Versi modified menggantinya dengan median dan </w:t>
      </w:r>
      <w:r>
        <w:rPr>
          <w:b/>
          <w:bCs/>
        </w:rPr>
        <w:t xml:space="preserve">MAD</w:t>
      </w:r>
      <w:r>
        <w:t xml:space="preserve"> (median absolute deviation):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M = 0,6745 · (x − median) / MAD          flag bila |M| &gt; 3,5</w:t>
      </w:r>
    </w:p>
    <w:p>
      <w:pPr>
        <w:spacing w:after="140"/>
        <w:jc w:val="both"/>
      </w:pPr>
      <w:r>
        <w:t xml:space="preserve">(0,6745 menyetarakan MAD dengan std pada distribusi normal; fallback </w:t>
      </w:r>
      <w:r>
        <w:rPr>
          <w:rFonts w:ascii="Consolas" w:cs="Consolas" w:eastAsia="Consolas" w:hAnsi="Consolas"/>
          <w:sz w:val="20"/>
          <w:szCs w:val="20"/>
        </w:rPr>
        <w:t xml:space="preserve">M = (x−med)/(1,253314·MeanAD)</w:t>
      </w:r>
      <w:r>
        <w:t xml:space="preserve"> bila MAD = 0.) Efeknya </w:t>
      </w:r>
      <w:r>
        <w:rPr>
          <w:b/>
          <w:bCs/>
        </w:rPr>
        <w:t xml:space="preserve">berlawanan arah</w:t>
      </w:r>
      <w:r>
        <w:t xml:space="preserve"> dengan IQR: karena std klasik membengkak oleh ekor, z klasik hanya menangkap 264 record; modified z menangkap </w:t>
      </w:r>
      <w:r>
        <w:rPr>
          <w:b/>
          <w:bCs/>
        </w:rPr>
        <w:t xml:space="preserve">1.070</w:t>
      </w:r>
      <w:r>
        <w:t xml:space="preserve"> — penyimpangan nyata yang sebelumnya lolos.</w:t>
      </w:r>
    </w:p>
    <w:p>
      <w:pPr>
        <w:pStyle w:val="Heading3"/>
      </w:pPr>
      <w:r>
        <w:t xml:space="preserve">5.3 Isolation Forest — threshold dari </w:t>
      </w:r>
      <w:r>
        <w:rPr>
          <w:i/>
          <w:iCs/>
        </w:rPr>
        <w:t xml:space="preserve">gap</w:t>
      </w:r>
      <w:r>
        <w:t xml:space="preserve"> skor, bukan contamination</w:t>
      </w:r>
    </w:p>
    <w:p>
      <w:pPr>
        <w:spacing w:after="140"/>
        <w:jc w:val="both"/>
      </w:pPr>
      <w:r>
        <w:t xml:space="preserve">Model di-fit sekali (</w:t>
      </w:r>
      <w:r>
        <w:rPr>
          <w:rFonts w:ascii="Consolas" w:cs="Consolas" w:eastAsia="Consolas" w:hAnsi="Consolas"/>
          <w:sz w:val="20"/>
          <w:szCs w:val="20"/>
        </w:rPr>
        <w:t xml:space="preserve">n_estimators=200</w:t>
      </w:r>
      <w:r>
        <w:t xml:space="preserve">); skor anomali = </w:t>
      </w:r>
      <w:r>
        <w:rPr>
          <w:rFonts w:ascii="Consolas" w:cs="Consolas" w:eastAsia="Consolas" w:hAnsi="Consolas"/>
          <w:sz w:val="20"/>
          <w:szCs w:val="20"/>
        </w:rPr>
        <w:t xml:space="preserve">−score_samples</w:t>
      </w:r>
      <w:r>
        <w:t xml:space="preserve"> (makin tinggi makin anomali). Alih-alih memakai asumsi </w:t>
      </w:r>
      <w:r>
        <w:rPr>
          <w:rFonts w:ascii="Consolas" w:cs="Consolas" w:eastAsia="Consolas" w:hAnsi="Consolas"/>
          <w:sz w:val="20"/>
          <w:szCs w:val="20"/>
        </w:rPr>
        <w:t xml:space="preserve">contamination=0.05</w:t>
      </w:r>
      <w:r>
        <w:t xml:space="preserve">, threshold ditarik dari struktur data (</w:t>
      </w:r>
      <w:r>
        <w:rPr>
          <w:rFonts w:ascii="Consolas" w:cs="Consolas" w:eastAsia="Consolas" w:hAnsi="Consolas"/>
          <w:sz w:val="20"/>
          <w:szCs w:val="20"/>
        </w:rPr>
        <w:t xml:space="preserve">detect_isolation_forest</w:t>
      </w:r>
      <w:r>
        <w:t xml:space="preserve">):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s_sorted = np.sort(score.values)[::-1]                    # skor menurun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lo_i, hi_i = int(0.005*n), int(0.15*n)                    # jendela 0,5%–15%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gaps = s_sorted[lo_i-1:hi_i-1] - s_sorted[lo_i:hi_i]      # gap antar skor berurutan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cut_idx = lo_i + int(np.argmax(gaps))                     # posisi gap TERBESAR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thr_gap = (s_sorted[cut_idx-1] + s_sorted[cut_idx]) / 2   # titik tengah gap</w:t>
      </w:r>
    </w:p>
    <w:p>
      <w:pPr>
        <w:spacing w:after="140"/>
        <w:jc w:val="both"/>
      </w:pPr>
      <w:r>
        <w:t xml:space="preserve">Jendela 0,5%–15% mencegah </w:t>
      </w:r>
      <w:r>
        <w:rPr>
          <w:i/>
          <w:iCs/>
        </w:rPr>
        <w:t xml:space="preserve">cut</w:t>
      </w:r>
      <w:r>
        <w:t xml:space="preserve"> degeneratif (di 1–2 titik terekstrem, atau di tengah bulk populasi normal). Hasil pada data kami: gap terbesar 0,0125 di peringkat 25 — </w:t>
      </w:r>
      <w:r>
        <w:rPr>
          <w:b/>
          <w:bCs/>
        </w:rPr>
        <w:t xml:space="preserve">66× lipat</w:t>
      </w:r>
      <w:r>
        <w:t xml:space="preserve"> median gap di jendela — jadi pemisah alami yang sangat tegas. Threshold 0,754 → </w:t>
      </w:r>
      <w:r>
        <w:rPr>
          <w:b/>
          <w:bCs/>
        </w:rPr>
        <w:t xml:space="preserve">25 anomali</w:t>
      </w:r>
      <w:r>
        <w:t xml:space="preserve"> (contamination efektif 0,50%, vs 250 pada asumsi 5%). Ke-25 record ini persis himpunan yang disepakati </w:t>
      </w:r>
      <w:r>
        <w:rPr>
          <w:b/>
          <w:bCs/>
        </w:rPr>
        <w:t xml:space="preserve">ketiga</w:t>
      </w:r>
      <w:r>
        <w:t xml:space="preserve"> metode. Visual pendukung: </w:t>
      </w:r>
      <w:r>
        <w:rPr>
          <w:rFonts w:ascii="Consolas" w:cs="Consolas" w:eastAsia="Consolas" w:hAnsi="Consolas"/>
          <w:sz w:val="20"/>
          <w:szCs w:val="20"/>
        </w:rPr>
        <w:t xml:space="preserve">isoforest_gap.png</w:t>
      </w:r>
      <w:r>
        <w:t xml:space="preserve"> (kurva skor + posisi cut gap vs cut 5%).</w:t>
      </w:r>
    </w:p>
    <w:p>
      <w:pPr>
        <w:pStyle w:val="Heading3"/>
      </w:pPr>
      <w:r>
        <w:t xml:space="preserve">5.4 Konsensus, klasifikasi, dan validasi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Flag resmi downstream = versi modified (kolom </w:t>
      </w:r>
      <w:r>
        <w:rPr>
          <w:rFonts w:ascii="Consolas" w:cs="Consolas" w:eastAsia="Consolas" w:hAnsi="Consolas"/>
          <w:sz w:val="20"/>
          <w:szCs w:val="20"/>
        </w:rPr>
        <w:t xml:space="preserve">flag_iqr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flag_zscore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flag_if</w:t>
      </w:r>
      <w:r>
        <w:t xml:space="preserve">); versi standar disimpan dengan akhiran </w:t>
      </w:r>
      <w:r>
        <w:rPr>
          <w:rFonts w:ascii="Consolas" w:cs="Consolas" w:eastAsia="Consolas" w:hAnsi="Consolas"/>
          <w:sz w:val="20"/>
          <w:szCs w:val="20"/>
        </w:rPr>
        <w:t xml:space="preserve">_std</w:t>
      </w:r>
      <w:r>
        <w:t xml:space="preserve"> untuk transparansi (ikut diekspor di </w:t>
      </w:r>
      <w:r>
        <w:rPr>
          <w:rFonts w:ascii="Consolas" w:cs="Consolas" w:eastAsia="Consolas" w:hAnsi="Consolas"/>
          <w:sz w:val="20"/>
          <w:szCs w:val="20"/>
        </w:rPr>
        <w:t xml:space="preserve">anomaly_report.csv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n_methods</w:t>
      </w:r>
      <w:r>
        <w:t xml:space="preserve"> (0–3) = jumlah metode yang menandai record; </w:t>
      </w:r>
      <w:r>
        <w:rPr>
          <w:b/>
          <w:bCs/>
        </w:rPr>
        <w:t xml:space="preserve">konsensus = ≥2 metode → 446 record</w:t>
      </w:r>
      <w:r>
        <w:t xml:space="preserve">; ketiganya sekaligus → 25.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classify_anomalies</w:t>
      </w:r>
      <w:r>
        <w:t xml:space="preserve"> menerapkan aturan transparan berurutan: </w:t>
      </w:r>
      <w:r>
        <w:rPr>
          <w:b/>
          <w:bCs/>
        </w:rPr>
        <w:t xml:space="preserve">Risk Signal</w:t>
      </w:r>
      <w:r>
        <w:t xml:space="preserve"> (ekstrem pada dimensi berisiko: CC ≥ 2× limit, transaksi ≥ 10× saldo, pinjaman ≥ 100× saldo, DAN dikuatkan ≥2 metode) → </w:t>
      </w:r>
      <w:r>
        <w:rPr>
          <w:b/>
          <w:bCs/>
        </w:rPr>
        <w:t xml:space="preserve">Data Error/Quality</w:t>
      </w:r>
      <w:r>
        <w:t xml:space="preserve"> (saldo akhir negatif / tidak konsisten) → </w:t>
      </w:r>
      <w:r>
        <w:rPr>
          <w:b/>
          <w:bCs/>
        </w:rPr>
        <w:t xml:space="preserve">Rare but Valid</w:t>
      </w:r>
      <w:r>
        <w:t xml:space="preserve">. Hasil: 255 / 602 / 647 (+ 3.496 Normal).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Cross-reference Phase 2: 203 dari 446 konsensus juga DBSCAN-noise; konsentrasi per segmen: Liquidity-Stressed 78,6%, Credit-Stressed 22,8%, Mainstream 0,4%.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validate_against_label</w:t>
      </w:r>
      <w:r>
        <w:t xml:space="preserve">: label </w:t>
      </w:r>
      <w:r>
        <w:rPr>
          <w:rFonts w:ascii="Consolas" w:cs="Consolas" w:eastAsia="Consolas" w:hAnsi="Consolas"/>
          <w:sz w:val="20"/>
          <w:szCs w:val="20"/>
        </w:rPr>
        <w:t xml:space="preserve">Anomaly</w:t>
      </w:r>
      <w:r>
        <w:t xml:space="preserve"> bawaan </w:t>
      </w:r>
      <w:r>
        <w:rPr>
          <w:b/>
          <w:bCs/>
        </w:rPr>
        <w:t xml:space="preserve">hanya</w:t>
      </w:r>
      <w:r>
        <w:t xml:space="preserve"> dipakai di sini (bukan target). Kehadiran label -1 di anomali kami 5,6% ≈ base rate 6,0% — keselarasan setara acak, konsisten dengan MI ≈ 0 di Phase 1.</w:t>
      </w:r>
    </w:p>
    <w:p>
      <w:pPr>
        <w:pStyle w:val="Heading3"/>
      </w:pPr>
      <w:r>
        <w:t xml:space="preserve">5.5 Ringkasan standar vs modified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2"/>
        <w:gridCol w:w="1107"/>
        <w:gridCol w:w="1448"/>
        <w:gridCol w:w="5109"/>
      </w:tblGrid>
      <w:tr>
        <w:trPr>
          <w:tblHeader/>
        </w:trPr>
        <w:tc>
          <w:tcPr>
            <w:tcW w:type="dxa" w:w="13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11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Standar</w:t>
            </w:r>
          </w:p>
        </w:tc>
        <w:tc>
          <w:tcPr>
            <w:tcW w:type="dxa" w:w="1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Modified</w:t>
            </w:r>
          </w:p>
        </w:tc>
        <w:tc>
          <w:tcPr>
            <w:tcW w:type="dxa" w:w="51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Arah &amp; alasan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IQR</w:t>
            </w:r>
          </w:p>
        </w:tc>
        <w:tc>
          <w:tcPr>
            <w:tcW w:type="dxa" w:w="11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1.131 (22,6%)</w:t>
            </w:r>
          </w:p>
        </w:tc>
        <w:tc>
          <w:tcPr>
            <w:tcW w:type="dxa" w:w="1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880</w:t>
            </w:r>
            <w:r>
              <w:rPr>
                <w:sz w:val="20"/>
                <w:szCs w:val="20"/>
              </w:rPr>
              <w:t xml:space="preserve"> (17,6%)</w:t>
            </w:r>
          </w:p>
        </w:tc>
        <w:tc>
          <w:tcPr>
            <w:tcW w:type="dxa" w:w="51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pagar mengikuti skew → ekor kanan wajar tak ter-flag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Z-Score</w:t>
            </w:r>
          </w:p>
        </w:tc>
        <w:tc>
          <w:tcPr>
            <w:tcW w:type="dxa" w:w="11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264 (5,3%)</w:t>
            </w:r>
          </w:p>
        </w:tc>
        <w:tc>
          <w:tcPr>
            <w:tcW w:type="dxa" w:w="1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1.070</w:t>
            </w:r>
            <w:r>
              <w:rPr>
                <w:sz w:val="20"/>
                <w:szCs w:val="20"/>
              </w:rPr>
              <w:t xml:space="preserve"> (21,4%)</w:t>
            </w:r>
          </w:p>
        </w:tc>
        <w:tc>
          <w:tcPr>
            <w:tcW w:type="dxa" w:w="51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 tidak membengkak oleh ekor → penyimpangan nyata tertangkap</w:t>
            </w:r>
          </w:p>
        </w:tc>
      </w:tr>
      <w:tr>
        <w:trPr>
          <w:tblHeader w:val="false"/>
        </w:trPr>
        <w:tc>
          <w:tcPr>
            <w:tcW w:type="dxa" w:w="13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1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250 (5,0%)</w:t>
            </w:r>
          </w:p>
        </w:tc>
        <w:tc>
          <w:tcPr>
            <w:tcW w:type="dxa" w:w="144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  <w:r>
              <w:rPr>
                <w:sz w:val="20"/>
                <w:szCs w:val="20"/>
              </w:rPr>
              <w:t xml:space="preserve"> (0,5%)</w:t>
            </w:r>
          </w:p>
        </w:tc>
        <w:tc>
          <w:tcPr>
            <w:tcW w:type="dxa" w:w="51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threshold dari gap alami skor, bukan asumsi 5%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 Phase 5 — </w:t>
      </w:r>
      <w:r>
        <w:rPr>
          <w:rFonts w:ascii="Consolas" w:cs="Consolas" w:eastAsia="Consolas" w:hAnsi="Consolas"/>
          <w:sz w:val="20"/>
          <w:szCs w:val="20"/>
        </w:rPr>
        <w:t xml:space="preserve">src/dashboard.py</w:t>
      </w:r>
      <w:r>
        <w:t xml:space="preserve"> (Visualization &amp; Knowledge Presentation)</w:t>
      </w:r>
    </w:p>
    <w:p>
      <w:pPr>
        <w:pStyle w:val="Heading3"/>
      </w:pPr>
      <w:r>
        <w:t xml:space="preserve">6.1 Struktur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load_dashboard_data</w:t>
      </w:r>
      <w:r>
        <w:t xml:space="preserve"> — dua sumber: </w:t>
      </w:r>
      <w:r>
        <w:rPr>
          <w:rFonts w:ascii="Consolas" w:cs="Consolas" w:eastAsia="Consolas" w:hAnsi="Consolas"/>
          <w:sz w:val="20"/>
          <w:szCs w:val="20"/>
        </w:rPr>
        <w:t xml:space="preserve">dataset_final.csv</w:t>
      </w:r>
      <w:r>
        <w:t xml:space="preserve"> (5.000 baris, gabungan hasil Phase 1–4) dan </w:t>
      </w:r>
      <w:r>
        <w:rPr>
          <w:rFonts w:ascii="Consolas" w:cs="Consolas" w:eastAsia="Consolas" w:hAnsi="Consolas"/>
          <w:sz w:val="20"/>
          <w:szCs w:val="20"/>
        </w:rPr>
        <w:t xml:space="preserve">rules_all.csv</w:t>
      </w:r>
      <w:r>
        <w:t xml:space="preserve"> (semua 82 rule; fallback </w:t>
      </w:r>
      <w:r>
        <w:rPr>
          <w:rFonts w:ascii="Consolas" w:cs="Consolas" w:eastAsia="Consolas" w:hAnsi="Consolas"/>
          <w:sz w:val="20"/>
          <w:szCs w:val="20"/>
        </w:rPr>
        <w:t xml:space="preserve">top_rules.csv</w:t>
      </w:r>
      <w:r>
        <w:t xml:space="preserve">). KPI "Association Rules" dihitung dari file lengkap supaya </w:t>
      </w:r>
      <w:r>
        <w:rPr>
          <w:b/>
          <w:bCs/>
        </w:rPr>
        <w:t xml:space="preserve">konsisten dengan angka laporan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build_app</w:t>
      </w:r>
      <w:r>
        <w:t xml:space="preserve"> — merakit layout + callback. Sengaja dipisah dari </w:t>
      </w:r>
      <w:r>
        <w:rPr>
          <w:rFonts w:ascii="Consolas" w:cs="Consolas" w:eastAsia="Consolas" w:hAnsi="Consolas"/>
          <w:sz w:val="20"/>
          <w:szCs w:val="20"/>
        </w:rPr>
        <w:t xml:space="preserve">run_dashboard</w:t>
      </w:r>
      <w:r>
        <w:t xml:space="preserve"> (yang menyalakan server) supaya aplikasi bisa di-</w:t>
      </w:r>
      <w:r>
        <w:rPr>
          <w:i/>
          <w:iCs/>
        </w:rPr>
        <w:t xml:space="preserve">smoke-test</w:t>
      </w:r>
      <w:r>
        <w:t xml:space="preserve"> tanpa server: </w:t>
      </w:r>
      <w:r>
        <w:rPr>
          <w:rFonts w:ascii="Consolas" w:cs="Consolas" w:eastAsia="Consolas" w:hAnsi="Consolas"/>
          <w:sz w:val="20"/>
          <w:szCs w:val="20"/>
        </w:rPr>
        <w:t xml:space="preserve">from src.dashboard import build_app; build_app()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Figure builder terpisah per grafik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fig_cluster_map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fig_segment_demographics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fig_rule_network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fig_anomaly_scatter</w:t>
      </w:r>
      <w:r>
        <w:t xml:space="preserve">, dst.) — masing-masing fungsi murni </w:t>
      </w:r>
      <w:r>
        <w:rPr>
          <w:rFonts w:ascii="Consolas" w:cs="Consolas" w:eastAsia="Consolas" w:hAnsi="Consolas"/>
          <w:sz w:val="20"/>
          <w:szCs w:val="20"/>
        </w:rPr>
        <w:t xml:space="preserve">data → go.Figure</w:t>
      </w:r>
      <w:r>
        <w:t xml:space="preserve">, mudah diuji.</w:t>
      </w:r>
    </w:p>
    <w:p>
      <w:pPr>
        <w:pStyle w:val="Heading3"/>
      </w:pPr>
      <w:r>
        <w:t xml:space="preserve">6.2 KPI dan interaktivitas</w:t>
      </w:r>
    </w:p>
    <w:p>
      <w:pPr>
        <w:spacing w:after="140"/>
        <w:jc w:val="both"/>
      </w:pPr>
      <w:r>
        <w:t xml:space="preserve">Lima KPI dihitung langsung dari data saat startup (bukan hardcode): total nasabah, jumlah segmen, </w:t>
      </w:r>
      <w:r>
        <w:rPr>
          <w:b/>
          <w:bCs/>
        </w:rPr>
        <w:t xml:space="preserve">82</w:t>
      </w:r>
      <w:r>
        <w:t xml:space="preserve"> rule, </w:t>
      </w:r>
      <w:r>
        <w:rPr>
          <w:b/>
          <w:bCs/>
        </w:rPr>
        <w:t xml:space="preserve">446</w:t>
      </w:r>
      <w:r>
        <w:t xml:space="preserve"> anomali konsensus, </w:t>
      </w:r>
      <w:r>
        <w:rPr>
          <w:b/>
          <w:bCs/>
        </w:rPr>
        <w:t xml:space="preserve">255</w:t>
      </w:r>
      <w:r>
        <w:t xml:space="preserve"> risk signal. Tiga tab interaktif: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376"/>
        <w:gridCol w:w="4403"/>
      </w:tblGrid>
      <w:tr>
        <w:trPr>
          <w:tblHeader/>
        </w:trPr>
        <w:tc>
          <w:tcPr>
            <w:tcW w:type="dxa" w:w="124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33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Kontrol (Input)</w:t>
            </w:r>
          </w:p>
        </w:tc>
        <w:tc>
          <w:tcPr>
            <w:tcW w:type="dxa" w:w="44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Grafik (Output)</w:t>
            </w:r>
          </w:p>
        </w:tc>
      </w:tr>
      <w:tr>
        <w:trPr>
          <w:tblHeader w:val="false"/>
        </w:trPr>
        <w:tc>
          <w:tcPr>
            <w:tcW w:type="dxa" w:w="124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Segmentasi</w:t>
            </w:r>
          </w:p>
        </w:tc>
        <w:tc>
          <w:tcPr>
            <w:tcW w:type="dxa" w:w="33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metode clustering, sumbu X/Y, fitur demografis</w:t>
            </w:r>
          </w:p>
        </w:tc>
        <w:tc>
          <w:tcPr>
            <w:tcW w:type="dxa" w:w="44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cluster map (log-log), pie proporsi, profil rasio, komposisi demografis, validasi feature-selection (statis)</w:t>
            </w:r>
          </w:p>
        </w:tc>
      </w:tr>
      <w:tr>
        <w:trPr>
          <w:tblHeader w:val="false"/>
        </w:trPr>
        <w:tc>
          <w:tcPr>
            <w:tcW w:type="dxa" w:w="124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Association Rules</w:t>
            </w:r>
          </w:p>
        </w:tc>
        <w:tc>
          <w:tcPr>
            <w:tcW w:type="dxa" w:w="33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slider minimum lift</w:t>
            </w:r>
          </w:p>
        </w:tc>
        <w:tc>
          <w:tcPr>
            <w:tcW w:type="dxa" w:w="44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network rules (networkx spring-layout, seed tetap), scatter support-confidence, tabel rules (sortable)</w:t>
            </w:r>
          </w:p>
        </w:tc>
      </w:tr>
      <w:tr>
        <w:trPr>
          <w:tblHeader w:val="false"/>
        </w:trPr>
        <w:tc>
          <w:tcPr>
            <w:tcW w:type="dxa" w:w="124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Anomali</w:t>
            </w:r>
          </w:p>
        </w:tc>
        <w:tc>
          <w:tcPr>
            <w:tcW w:type="dxa" w:w="337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sumbu X/Y scatter</w:t>
            </w:r>
          </w:p>
        </w:tc>
        <w:tc>
          <w:tcPr>
            <w:tcW w:type="dxa" w:w="44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breakdown klasifikasi, anomali per segmen, scatter anomali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t xml:space="preserve">Detail kecil yang penting: nilai maksimum slider lift di-</w:t>
      </w:r>
      <w:r>
        <w:rPr>
          <w:i/>
          <w:iCs/>
        </w:rPr>
        <w:t xml:space="preserve">floor</w:t>
      </w:r>
      <w:r>
        <w:t xml:space="preserve"> ke 2 desimal (bukan </w:t>
      </w:r>
      <w:r>
        <w:rPr>
          <w:i/>
          <w:iCs/>
        </w:rPr>
        <w:t xml:space="preserve">round</w:t>
      </w:r>
      <w:r>
        <w:t xml:space="preserve">) — bila di-round ke atas, posisi slider tertinggi menyaring semua rule dan grafik menjadi kosong.</w:t>
      </w:r>
    </w:p>
    <w:p>
      <w:pPr>
        <w:pStyle w:val="Heading2"/>
      </w:pPr>
      <w:r>
        <w:t xml:space="preserve">7. Reproducibilitas</w:t>
      </w:r>
    </w:p>
    <w:p>
      <w:pPr>
        <w:pStyle w:val="Heading3"/>
      </w:pPr>
      <w:r>
        <w:t xml:space="preserve">7.1 Menjalankan ulang dari nol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pip install -r requirements.txt        # pandas, scikit-learn, mlxtend, dash, dll.</w:t>
      </w:r>
    </w:p>
    <w:p>
      <w:pPr>
        <w:shd w:fill="F2F2F2" w:val="clear"/>
        <w:spacing w:after="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python main.py --phase all             # Phase 1–4 berurutan</w:t>
      </w:r>
    </w:p>
    <w:p>
      <w:pPr>
        <w:shd w:fill="F2F2F2" w:val="clear"/>
        <w:spacing w:after="16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python main.py --phase 5               # dashboard di http://127.0.0.1:8050</w:t>
      </w:r>
    </w:p>
    <w:p>
      <w:pPr>
        <w:spacing w:after="140"/>
        <w:jc w:val="both"/>
      </w:pPr>
      <w:r>
        <w:t xml:space="preserve">Urutan fase wajib: Phase 2 butuh output Phase 1; Phase 4 butuh output Phase 2; dashboard butuh output Phase 3 &amp; 4. Semua acakan memakai </w:t>
      </w:r>
      <w:r>
        <w:rPr>
          <w:rFonts w:ascii="Consolas" w:cs="Consolas" w:eastAsia="Consolas" w:hAnsi="Consolas"/>
          <w:sz w:val="20"/>
          <w:szCs w:val="20"/>
        </w:rPr>
        <w:t xml:space="preserve">RANDOM_STATE=42</w:t>
      </w:r>
      <w:r>
        <w:t xml:space="preserve"> sehingga angka di laporan ini dapat direproduksi identik.</w:t>
      </w:r>
    </w:p>
    <w:p>
      <w:pPr>
        <w:pStyle w:val="Heading3"/>
      </w:pPr>
      <w:r>
        <w:t xml:space="preserve">7.2 Perkiraan waktu eksekusi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72"/>
        <w:gridCol w:w="6954"/>
      </w:tblGrid>
      <w:tr>
        <w:trPr>
          <w:tblHeader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11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Perkiraan</w:t>
            </w:r>
          </w:p>
        </w:tc>
        <w:tc>
          <w:tcPr>
            <w:tcW w:type="dxa" w:w="6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Komponen dominan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1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1 menit</w:t>
            </w:r>
          </w:p>
        </w:tc>
        <w:tc>
          <w:tcPr>
            <w:tcW w:type="dxa" w:w="6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plotting EDA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1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~6–7 menit</w:t>
            </w:r>
          </w:p>
        </w:tc>
        <w:tc>
          <w:tcPr>
            <w:tcW w:type="dxa" w:w="6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exhaustive search 286 kombinasi dengan silhouette penuh (~5 menit, O(n²)); t-SNE (~30–60 dtk)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1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1 menit</w:t>
            </w:r>
          </w:p>
        </w:tc>
        <w:tc>
          <w:tcPr>
            <w:tcW w:type="dxa" w:w="6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 auto-tune Apriori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1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1 menit</w:t>
            </w:r>
          </w:p>
        </w:tc>
        <w:tc>
          <w:tcPr>
            <w:tcW w:type="dxa" w:w="69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medcouple O(n²) tervektorisasi + IsolationForest 200 tree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7.3 Parameter kunci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900"/>
        <w:gridCol w:w="1417"/>
        <w:gridCol w:w="4471"/>
      </w:tblGrid>
      <w:tr>
        <w:trPr>
          <w:tblHeader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Nilai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Lokasi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WINSOR_LIMIT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0,02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clustering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 ekor atas 2% agar cluster digerakkan perilaku, bukan 1–2 outlier ekstrem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BEST_K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clustering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silhouette tinggi + segmen ketiga yang actionable (justifikasi di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find_optimal_k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DBSCAN_MIN_SAMPLES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clustering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ukuran minimum core-neighborhood yang stabil pada n=5.000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MIN_LIFT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1,4 / 0,5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ambang kualitas rule; TIDAK dilonggarkan saat auto-tune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min_support</w:t>
            </w:r>
            <w:r>
              <w:rPr>
                <w:sz w:val="20"/>
                <w:szCs w:val="20"/>
              </w:rPr>
              <w:t xml:space="preserve"> (hasil tune)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0,01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 (otomatis)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 terbesar yang menghasilkan ≥10 rule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MODZ_THRESH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3,5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anomaly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ambang baku modified z-score (Iglewicz &amp; Hoaglin)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GAP_MIN/MAX_FRAC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0,005 / 0,15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anomaly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jendela pencarian gap IsoForest — cegah cut degeneratif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Z_THRESH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IF_CONTAMINATION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3,0 / 0,05</w:t>
            </w:r>
          </w:p>
        </w:tc>
        <w:tc>
          <w:tcPr>
            <w:tcW w:type="dxa" w:w="14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/ anomaly</w:t>
            </w:r>
          </w:p>
        </w:tc>
        <w:tc>
          <w:tcPr>
            <w:tcW w:type="dxa" w:w="44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dipertahankan HANYA sebagai pembanding versi standar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7.4 Keterbatasan teknis yang disadari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Silhouette dan medcouple O(n²)</w:t>
      </w:r>
      <w:r>
        <w:t xml:space="preserve"> — masih nyaman di n=5.000; untuk dataset jauh lebih besar perlu sampling (kode sudah menyediakan parameter </w:t>
      </w:r>
      <w:r>
        <w:rPr>
          <w:rFonts w:ascii="Consolas" w:cs="Consolas" w:eastAsia="Consolas" w:hAnsi="Consolas"/>
          <w:sz w:val="20"/>
          <w:szCs w:val="20"/>
        </w:rPr>
        <w:t xml:space="preserve">sample</w:t>
      </w:r>
      <w:r>
        <w:t xml:space="preserve">) atau implementasi medcouple O(n log n).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Dendrogram di-sampel 1.000 baris</w:t>
      </w:r>
      <w:r>
        <w:t xml:space="preserve"> — hanya visualisasinya; label hierarchical final tetap dihitung pada seluruh data.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Dashboard memuat data saat startup</w:t>
      </w:r>
      <w:r>
        <w:t xml:space="preserve"> — bila pipeline dijalankan ulang, dashboard perlu di-restart (refresh browser tidak memuat ulang CSV).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Jendela gap IsoForest (0,5%–15%)</w:t>
      </w:r>
      <w:r>
        <w:t xml:space="preserve"> adalah pilihan desain; di luar rentang itu cut dianggap degeneratif. Sensitivitasnya rendah pada data ini karena gap terpilih 66× lipat gap tipikal.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Laporan Teknis — Kelompok 6 · Banking Transaction · Hal.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2026-07-03T22:00:08.073Z</dcterms:created>
  <dcterms:modified xsi:type="dcterms:W3CDTF">2026-07-03T22:00:08.075Z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