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Knowledge Discovery Report</w:t>
      </w:r>
    </w:p>
    <w:p>
      <w:pPr>
        <w:pStyle w:val="Heading2"/>
      </w:pPr>
      <w:r>
        <w:t xml:space="preserve">Banking Transaction Dataset — Group 6</w:t>
      </w:r>
    </w:p>
    <w:p>
      <w:pPr>
        <w:spacing w:after="140"/>
        <w:jc w:val="both"/>
      </w:pPr>
      <w:r>
        <w:rPr>
          <w:b/>
          <w:bCs/>
        </w:rPr>
        <w:t xml:space="preserve">Mata Kuliah:</w:t>
      </w:r>
      <w:r>
        <w:t xml:space="preserve"> Data Mining · </w:t>
      </w:r>
      <w:r>
        <w:rPr>
          <w:b/>
          <w:bCs/>
        </w:rPr>
        <w:t xml:space="preserve">Metodologi:</w:t>
      </w:r>
      <w:r>
        <w:t xml:space="preserve"> KDD (Knowledge Discovery in Databases) 5 Fase </w:t>
      </w:r>
      <w:r>
        <w:rPr>
          <w:b/>
          <w:bCs/>
        </w:rPr>
        <w:t xml:space="preserve">Dataset:</w:t>
      </w:r>
      <w:r>
        <w:t xml:space="preserve"> Comprehensive Banking Database (5.000 nasabah, 40 atribut) </w:t>
      </w:r>
      <w:r>
        <w:rPr>
          <w:b/>
          <w:bCs/>
        </w:rPr>
        <w:t xml:space="preserve">Fokus domain:</w:t>
      </w:r>
      <w:r>
        <w:t xml:space="preserve"> Perilaku transaksi harian &amp; demografi nasabah perbankan</w:t>
      </w:r>
    </w:p>
    <w:p>
      <w:pPr>
        <w:pBdr>
          <w:left w:val="single" w:color="B0C4DE" w:sz="12" w:space="8"/>
        </w:pBdr>
        <w:spacing w:after="140"/>
        <w:ind w:left="400"/>
        <w:jc w:val="both"/>
      </w:pPr>
      <w:r>
        <w:rPr>
          <w:color w:val="444444"/>
        </w:rPr>
        <w:t xml:space="preserve">Catatan: laporan ini adalah </w:t>
      </w:r>
      <w:r>
        <w:rPr>
          <w:b/>
          <w:bCs/>
          <w:color w:val="444444"/>
        </w:rPr>
        <w:t xml:space="preserve">draft</w:t>
      </w:r>
      <w:r>
        <w:rPr>
          <w:color w:val="444444"/>
        </w:rPr>
        <w:t xml:space="preserve"> yang ditulis dalam bahasa bisnis untuk audiens non-teknis. Angka, grafik, dan tabel pendukung dihasilkan otomatis oleh pipeline (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outputs/phase1</w:t>
      </w:r>
      <w:r>
        <w:rPr>
          <w:color w:val="444444"/>
        </w:rPr>
        <w:t xml:space="preserve">–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phase4</w:t>
      </w:r>
      <w:r>
        <w:rPr>
          <w:color w:val="444444"/>
        </w:rPr>
        <w:t xml:space="preserve">) dan dapat dieksplorasi langsung pada dashboard interaktif (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python main.py --phase 5</w:t>
      </w:r>
      <w:r>
        <w:rPr>
          <w:color w:val="444444"/>
        </w:rPr>
        <w:t xml:space="preserve">).</w:t>
      </w:r>
    </w:p>
    <w:p>
      <w:pPr>
        <w:pStyle w:val="Heading2"/>
      </w:pPr>
      <w:r>
        <w:t xml:space="preserve">1. Ringkasan Eksekutif</w:t>
      </w:r>
    </w:p>
    <w:p>
      <w:pPr>
        <w:spacing w:after="140"/>
        <w:jc w:val="both"/>
      </w:pPr>
      <w:r>
        <w:t xml:space="preserve">Kami menerapkan proses penemuan pengetahuan lima fase pada data 5.000 nasabah sebuah bank. Tujuannya bukan memprediksi sesuatu, melainkan </w:t>
      </w:r>
      <w:r>
        <w:rPr>
          <w:b/>
          <w:bCs/>
        </w:rPr>
        <w:t xml:space="preserve">menemukan pola dan kelompok tersembunyi</w:t>
      </w:r>
      <w:r>
        <w:t xml:space="preserve"> yang tidak terlihat dari tabel mentah.</w:t>
      </w:r>
    </w:p>
    <w:p>
      <w:pPr>
        <w:spacing w:after="140"/>
        <w:jc w:val="both"/>
      </w:pPr>
      <w:r>
        <w:t xml:space="preserve">Tiga temuan utama:</w:t>
      </w:r>
    </w:p>
    <w:p>
      <w:pPr>
        <w:spacing w:after="100"/>
        <w:ind w:left="400" w:hanging="400"/>
        <w:jc w:val="both"/>
      </w:pPr>
      <w:r>
        <w:t xml:space="preserve">1.  </w:t>
      </w:r>
      <w:r>
        <w:rPr>
          <w:b/>
          <w:bCs/>
        </w:rPr>
        <w:t xml:space="preserve">Struktur data menipu.</w:t>
      </w:r>
      <w:r>
        <w:t xml:space="preserve"> Sebagian besar angka di dataset ini (saldo, jumlah transaksi, limit, dll.) ternyata </w:t>
      </w:r>
      <w:r>
        <w:rPr>
          <w:b/>
          <w:bCs/>
        </w:rPr>
        <w:t xml:space="preserve">acak dan tidak saling berhubungan</w:t>
      </w:r>
      <w:r>
        <w:t xml:space="preserve">. Pola nyata baru muncul ketika kami melihat </w:t>
      </w:r>
      <w:r>
        <w:rPr>
          <w:b/>
          <w:bCs/>
        </w:rPr>
        <w:t xml:space="preserve">rasio antar-angka</w:t>
      </w:r>
      <w:r>
        <w:t xml:space="preserve"> — misalnya "seberapa besar transaksi dibanding saldo", bukan saldo atau transaksi secara terpisah.</w:t>
      </w:r>
    </w:p>
    <w:p>
      <w:pPr>
        <w:spacing w:after="100"/>
        <w:ind w:left="400" w:hanging="400"/>
        <w:jc w:val="both"/>
      </w:pPr>
      <w:r>
        <w:t xml:space="preserve">2.  </w:t>
      </w:r>
      <w:r>
        <w:rPr>
          <w:b/>
          <w:bCs/>
        </w:rPr>
        <w:t xml:space="preserve">Nasabah terbagi menjadi tiga profil perilaku yang jelas</w:t>
      </w:r>
      <w:r>
        <w:t xml:space="preserve">, bukan kelompok acak: mayoritas sehat, satu kelompok tertekan kartu kredit, dan satu kelompok dengan leverage/likuiditas berisiko.</w:t>
      </w:r>
    </w:p>
    <w:p>
      <w:pPr>
        <w:spacing w:after="100"/>
        <w:ind w:left="400" w:hanging="400"/>
        <w:jc w:val="both"/>
      </w:pPr>
      <w:r>
        <w:t xml:space="preserve">3.  </w:t>
      </w:r>
      <w:r>
        <w:rPr>
          <w:b/>
          <w:bCs/>
        </w:rPr>
        <w:t xml:space="preserve">Risiko terkonsentrasi.</w:t>
      </w:r>
      <w:r>
        <w:t xml:space="preserve"> Lebih dari separuh (51,5%) nasabah pada segmen "Liquidity-Stressed" terdeteksi sebagai anomali perilaku — sinyal risiko yang sangat pekat dibanding rata-rata populasi.</w:t>
      </w:r>
    </w:p>
    <w:p>
      <w:pPr>
        <w:pStyle w:val="Heading2"/>
      </w:pPr>
      <w:r>
        <w:t xml:space="preserve">2. Fase 1 — Pemahaman &amp; Persiapan Data</w:t>
      </w:r>
    </w:p>
    <w:p>
      <w:pPr>
        <w:spacing w:after="140"/>
        <w:jc w:val="both"/>
      </w:pPr>
      <w:r>
        <w:rPr>
          <w:b/>
          <w:bCs/>
        </w:rPr>
        <w:t xml:space="preserve">Apa yang dilakukan:</w:t>
      </w:r>
      <w:r>
        <w:t xml:space="preserve"> memeriksa kualitas data, membersihkan, merekayasa fitur, melakukan binning, encoding, normalisasi, dan seleksi fitur (korelasi + ukuran entropi/Mutual Information).</w:t>
      </w:r>
    </w:p>
    <w:p>
      <w:pPr>
        <w:spacing w:after="140"/>
        <w:jc w:val="both"/>
      </w:pPr>
      <w:r>
        <w:rPr>
          <w:b/>
          <w:bCs/>
        </w:rPr>
        <w:t xml:space="preserve">Kondisi data:</w:t>
      </w:r>
      <w:r>
        <w:t xml:space="preserve"> bersih secara teknis — </w:t>
      </w:r>
      <w:r>
        <w:rPr>
          <w:b/>
          <w:bCs/>
        </w:rPr>
        <w:t xml:space="preserve">0 nilai kosong</w:t>
      </w:r>
      <w:r>
        <w:t xml:space="preserve"> dan </w:t>
      </w:r>
      <w:r>
        <w:rPr>
          <w:b/>
          <w:bCs/>
        </w:rPr>
        <w:t xml:space="preserve">0 baris duplikat</w:t>
      </w:r>
      <w:r>
        <w:t xml:space="preserve">. Setiap baris adalah satu nasabah unik (5.000 Customer ID unik).</w:t>
      </w:r>
    </w:p>
    <w:p>
      <w:pPr>
        <w:spacing w:after="140"/>
        <w:jc w:val="both"/>
      </w:pPr>
      <w:r>
        <w:rPr>
          <w:b/>
          <w:bCs/>
        </w:rPr>
        <w:t xml:space="preserve">Temuan paling penting (menentukan seluruh proyek):</w:t>
      </w:r>
      <w:r>
        <w:t xml:space="preserve"> Dari 55 pasang fitur numerik, </w:t>
      </w:r>
      <w:r>
        <w:rPr>
          <w:b/>
          <w:bCs/>
        </w:rPr>
        <w:t xml:space="preserve">hanya 2 pasang yang benar-benar berkorelasi</w:t>
      </w:r>
      <w:r>
        <w:t xml:space="preserve">, dan keduanya bersifat turunan (mis. Credit Card Balance vs Minimum Payment Due, korelasi 1,00 karena pembayaran minimum = persentase tetap dari saldo). Semua fitur lain </w:t>
      </w:r>
      <w:r>
        <w:rPr>
          <w:b/>
          <w:bCs/>
        </w:rPr>
        <w:t xml:space="preserve">independen</w:t>
      </w:r>
      <w:r>
        <w:t xml:space="preserve"> dan tersebar </w:t>
      </w:r>
      <w:r>
        <w:rPr>
          <w:b/>
          <w:bCs/>
        </w:rPr>
        <w:t xml:space="preserve">nyaris merata</w:t>
      </w:r>
      <w:r>
        <w:t xml:space="preserve"> (skewness ≈ 0).</w:t>
      </w:r>
    </w:p>
    <w:p>
      <w:pPr>
        <w:spacing w:after="140"/>
        <w:jc w:val="both"/>
      </w:pPr>
      <w:r>
        <w:t xml:space="preserve">Artinya: angka-angka mentah ini seperti dikocok acak. Konsekuensinya besar untuk fase berikutnya, dan kami mengubahnya menjadi keunggulan, bukan kelemahan.</w:t>
      </w:r>
    </w:p>
    <w:p>
      <w:pPr>
        <w:spacing w:after="140"/>
        <w:jc w:val="both"/>
      </w:pPr>
      <w:r>
        <w:rPr>
          <w:b/>
          <w:bCs/>
        </w:rPr>
        <w:t xml:space="preserve">Rekayasa fitur kunci — 3 rasio perilaku: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2117"/>
        <w:gridCol w:w="4235"/>
      </w:tblGrid>
      <w:tr>
        <w:trPr>
          <w:tblHeader/>
        </w:trPr>
        <w:tc>
          <w:tcPr>
            <w:tcW w:type="dxa" w:w="267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Rasio</w:t>
            </w:r>
          </w:p>
        </w:tc>
        <w:tc>
          <w:tcPr>
            <w:tcW w:type="dxa" w:w="21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Rumus</w:t>
            </w:r>
          </w:p>
        </w:tc>
        <w:tc>
          <w:tcPr>
            <w:tcW w:type="dxa" w:w="423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Makna bisnis</w:t>
            </w:r>
          </w:p>
        </w:tc>
      </w:tr>
      <w:tr>
        <w:trPr>
          <w:tblHeader w:val="false"/>
        </w:trPr>
        <w:tc>
          <w:tcPr>
            <w:tcW w:type="dxa" w:w="267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CC_Utilization</w:t>
            </w:r>
          </w:p>
        </w:tc>
        <w:tc>
          <w:tcPr>
            <w:tcW w:type="dxa" w:w="21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saldo kartu ÷ limit</w:t>
            </w:r>
          </w:p>
        </w:tc>
        <w:tc>
          <w:tcPr>
            <w:tcW w:type="dxa" w:w="423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tekanan kartu kredit (&gt;1 = over-limit)</w:t>
            </w:r>
          </w:p>
        </w:tc>
      </w:tr>
      <w:tr>
        <w:trPr>
          <w:tblHeader w:val="false"/>
        </w:trPr>
        <w:tc>
          <w:tcPr>
            <w:tcW w:type="dxa" w:w="267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Transaction_to_Balance</w:t>
            </w:r>
          </w:p>
        </w:tc>
        <w:tc>
          <w:tcPr>
            <w:tcW w:type="dxa" w:w="21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transaksi ÷ saldo</w:t>
            </w:r>
          </w:p>
        </w:tc>
        <w:tc>
          <w:tcPr>
            <w:tcW w:type="dxa" w:w="423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intensitas likuiditas</w:t>
            </w:r>
          </w:p>
        </w:tc>
      </w:tr>
      <w:tr>
        <w:trPr>
          <w:tblHeader w:val="false"/>
        </w:trPr>
        <w:tc>
          <w:tcPr>
            <w:tcW w:type="dxa" w:w="267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Loan_to_Balance</w:t>
            </w:r>
          </w:p>
        </w:tc>
        <w:tc>
          <w:tcPr>
            <w:tcW w:type="dxa" w:w="21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pinjaman ÷ saldo</w:t>
            </w:r>
          </w:p>
        </w:tc>
        <w:tc>
          <w:tcPr>
            <w:tcW w:type="dxa" w:w="423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leverage utang</w:t>
            </w:r>
          </w:p>
        </w:tc>
      </w:tr>
    </w:tbl>
    <w:p>
      <w:pPr>
        <w:spacing w:after="60"/>
      </w:pPr>
    </w:p>
    <w:p>
      <w:pPr>
        <w:spacing w:after="140"/>
        <w:jc w:val="both"/>
      </w:pPr>
      <w:r>
        <w:t xml:space="preserve">Berbeda dari angka mentah, rasio ini memiliki </w:t>
      </w:r>
      <w:r>
        <w:rPr>
          <w:b/>
          <w:bCs/>
        </w:rPr>
        <w:t xml:space="preserve">struktur nyata</w:t>
      </w:r>
      <w:r>
        <w:t xml:space="preserve"> (skewness 2–7): sebagian besar nasabah berkumpul di nilai rendah, sebagian kecil memanjang ke nilai ekstrem. Justru di sinilah segmen dan risiko bersembunyi.</w:t>
      </w:r>
    </w:p>
    <w:p>
      <w:pPr>
        <w:spacing w:after="140"/>
        <w:jc w:val="both"/>
      </w:pPr>
      <w:r>
        <w:rPr>
          <w:b/>
          <w:bCs/>
        </w:rPr>
        <w:t xml:space="preserve">Diskretisasi (binning) berbasis domain, bukan kuantil.</w:t>
      </w:r>
      <w:r>
        <w:t xml:space="preserve"> Untuk Association Rule Mining, variabel kontinu diubah jadi kategori. Kami </w:t>
      </w:r>
      <w:r>
        <w:rPr>
          <w:b/>
          <w:bCs/>
        </w:rPr>
        <w:t xml:space="preserve">tidak</w:t>
      </w:r>
      <w:r>
        <w:t xml:space="preserve"> memakai pembagian "rata" (equal-frequency/equal-width) yang batasnya bergeser mengikuti data dan tak bermakna. Sebagai gantinya, dipakai </w:t>
      </w:r>
      <w:r>
        <w:rPr>
          <w:b/>
          <w:bCs/>
        </w:rPr>
        <w:t xml:space="preserve">ambang tetap berbasis domain</w:t>
      </w:r>
      <w:r>
        <w:t xml:space="preserve"> sehingga kategori selalu konsisten &amp; interpretable: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4"/>
        <w:gridCol w:w="3896"/>
        <w:gridCol w:w="3896"/>
      </w:tblGrid>
      <w:tr>
        <w:trPr>
          <w:tblHeader/>
        </w:trPr>
        <w:tc>
          <w:tcPr>
            <w:tcW w:type="dxa" w:w="123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Variabel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Ambang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Dasar</w:t>
            </w:r>
          </w:p>
        </w:tc>
      </w:tr>
      <w:tr>
        <w:trPr>
          <w:tblHeader w:val="false"/>
        </w:trPr>
        <w:tc>
          <w:tcPr>
            <w:tcW w:type="dxa" w:w="123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Umur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18–24 / 25–34 / 35–49 / 50–64 / 65+ (Young Adult → Senior)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Tahap hidup finansial — </w:t>
            </w:r>
            <w:r>
              <w:rPr>
                <w:i/>
                <w:iCs/>
                <w:sz w:val="20"/>
                <w:szCs w:val="20"/>
              </w:rPr>
              <w:t xml:space="preserve">Life-Cycle Hypothesis</w:t>
            </w:r>
            <w:r>
              <w:rPr>
                <w:sz w:val="20"/>
                <w:szCs w:val="20"/>
              </w:rPr>
              <w:t xml:space="preserve"> (Modigliani &amp; Brumberg, 1954) dan temuan </w:t>
            </w:r>
            <w:r>
              <w:rPr>
                <w:i/>
                <w:iCs/>
                <w:sz w:val="20"/>
                <w:szCs w:val="20"/>
              </w:rPr>
              <w:t xml:space="preserve">hump-shaped</w:t>
            </w:r>
            <w:r>
              <w:rPr>
                <w:sz w:val="20"/>
                <w:szCs w:val="20"/>
              </w:rPr>
              <w:t xml:space="preserve"> kecakapan finansial yang memuncak ≈usia 53 (Agarwal, Driscoll, Gabaix &amp; Laibson, 2009, </w:t>
            </w:r>
            <w:r>
              <w:rPr>
                <w:i/>
                <w:iCs/>
                <w:sz w:val="20"/>
                <w:szCs w:val="20"/>
              </w:rPr>
              <w:t xml:space="preserve">"The Age of Reason"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23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Utilisasi kartu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&lt;30% / 30–70% / 70–100% / &gt;100%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Pedoman credit-scoring (FICO): jaga utilisasi &lt;30%; &gt;100% = over-limit (sinyal risiko)</w:t>
            </w:r>
          </w:p>
        </w:tc>
      </w:tr>
      <w:tr>
        <w:trPr>
          <w:tblHeader w:val="false"/>
        </w:trPr>
        <w:tc>
          <w:tcPr>
            <w:tcW w:type="dxa" w:w="123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Suku bunga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&lt;4% / 4–7% / &gt;7%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 Z/HMDA "higher-priced" (APR ≥ APOR+1,5pp) &amp; HOEPA; subprime (Demyanyk &amp; Van Hemert, 2011)</w:t>
            </w:r>
          </w:p>
        </w:tc>
      </w:tr>
      <w:tr>
        <w:trPr>
          <w:tblHeader w:val="false"/>
        </w:trPr>
        <w:tc>
          <w:tcPr>
            <w:tcW w:type="dxa" w:w="123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Saldo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&lt;$1.500 / $1.5–5rb / ≥$5rb (Below-Minimum/Mass-Market/Comfortable)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Ambang minimum-balance ritel: ≈$1.500 pembebasan biaya, ≈$5.000 saldo rata-rata (Chase, BofA)</w:t>
            </w:r>
          </w:p>
        </w:tc>
      </w:tr>
      <w:tr>
        <w:trPr>
          <w:tblHeader w:val="false"/>
        </w:trPr>
        <w:tc>
          <w:tcPr>
            <w:tcW w:type="dxa" w:w="123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Pinjaman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&lt;$5rb / $5–20rb / $20–35rb / &gt;$35rb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CFPB Small-Dollar Rule (12 CFR 1041); kredit konsumen (Adams, Einav &amp; Levin, 2009); cap tanpa agunan ≈$35rb</w:t>
            </w:r>
          </w:p>
        </w:tc>
      </w:tr>
      <w:tr>
        <w:trPr>
          <w:tblHeader w:val="false"/>
        </w:trPr>
        <w:tc>
          <w:tcPr>
            <w:tcW w:type="dxa" w:w="123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Transaksi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&lt;$1rb / $1–3rb / &gt;$3rb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Ambang pemantauan AML: CTR $10rb (BSA), </w:t>
            </w:r>
            <w:r>
              <w:rPr>
                <w:i/>
                <w:iCs/>
                <w:sz w:val="20"/>
                <w:szCs w:val="20"/>
              </w:rPr>
              <w:t xml:space="preserve">structuring</w:t>
            </w:r>
            <w:r>
              <w:rPr>
                <w:sz w:val="20"/>
                <w:szCs w:val="20"/>
              </w:rPr>
              <w:t xml:space="preserve"> (Jensen, Ferwerda &amp; Wewer, 2025). Batas sub-$10rb interpretable</w:t>
            </w:r>
          </w:p>
        </w:tc>
      </w:tr>
    </w:tbl>
    <w:p>
      <w:pPr>
        <w:spacing w:after="60"/>
      </w:pPr>
    </w:p>
    <w:p>
      <w:pPr>
        <w:pBdr>
          <w:left w:val="single" w:color="B0C4DE" w:sz="12" w:space="8"/>
        </w:pBdr>
        <w:spacing w:after="140"/>
        <w:ind w:left="400"/>
        <w:jc w:val="both"/>
      </w:pPr>
      <w:r>
        <w:rPr>
          <w:color w:val="444444"/>
        </w:rPr>
        <w:t xml:space="preserve">Daftar pustaka lengkap (peer-reviewed/regulasi/industri) untuk semua ambang binning ada di </w:t>
      </w:r>
      <w:r>
        <w:rPr>
          <w:color w:val="444444"/>
        </w:rPr>
        <w:t xml:space="preserve">`REFERENSI.md`</w:t>
      </w:r>
      <w:r>
        <w:rPr>
          <w:color w:val="444444"/>
        </w:rPr>
        <w:t xml:space="preserve">, termasuk paper metodologi diskretisasi (Dougherty et al., 1995; García et al., 2013) yang mendukung pilihan ambang-domain di atas binning equal-frequency.</w:t>
      </w:r>
    </w:p>
    <w:p>
      <w:pPr>
        <w:pStyle w:val="Heading2"/>
      </w:pPr>
      <w:r>
        <w:t xml:space="preserve">3. Fase 2 — Segmentasi via Clustering</w:t>
      </w:r>
    </w:p>
    <w:p>
      <w:pPr>
        <w:pStyle w:val="Heading3"/>
      </w:pPr>
      <w:r>
        <w:t xml:space="preserve">3.1 Mengapa PCA Tidak Kami Pakai (menjawab kritik umum)</w:t>
      </w:r>
    </w:p>
    <w:p>
      <w:pPr>
        <w:spacing w:after="140"/>
        <w:jc w:val="both"/>
      </w:pPr>
      <w:r>
        <w:t xml:space="preserve">Reduksi dimensi dengan PCA hanya berguna jika fitur saling tumpang-tindih (redundan). Karena fitur di dataset ini independen, </w:t>
      </w:r>
      <w:r>
        <w:rPr>
          <w:b/>
          <w:bCs/>
        </w:rPr>
        <w:t xml:space="preserve">setiap komponen PCA hanya menangkap ≈11% variance</w:t>
      </w:r>
      <w:r>
        <w:t xml:space="preserve"> (1 dari 9) — grafik scree-nya </w:t>
      </w:r>
      <w:r>
        <w:rPr>
          <w:b/>
          <w:bCs/>
        </w:rPr>
        <w:t xml:space="preserve">datar</w:t>
      </w:r>
      <w:r>
        <w:t xml:space="preserve">. Untuk mencapai 80% variance dibutuhkan 8 dari 9 komponen; "reduksi" 11→9 tidak ada gunanya.</w:t>
      </w:r>
    </w:p>
    <w:p>
      <w:pPr>
        <w:spacing w:after="140"/>
        <w:jc w:val="both"/>
      </w:pPr>
      <w:r>
        <w:t xml:space="preserve">Kami tetap menjalankan PCA </w:t>
      </w:r>
      <w:r>
        <w:rPr>
          <w:b/>
          <w:bCs/>
        </w:rPr>
        <w:t xml:space="preserve">satu kali</w:t>
      </w:r>
      <w:r>
        <w:t xml:space="preserve"> semata-mata untuk </w:t>
      </w:r>
      <w:r>
        <w:rPr>
          <w:b/>
          <w:bCs/>
        </w:rPr>
        <w:t xml:space="preserve">membuktikan</w:t>
      </w:r>
      <w:r>
        <w:t xml:space="preserve"> hal ini secara visual (</w:t>
      </w:r>
      <w:r>
        <w:rPr>
          <w:rFonts w:ascii="Consolas" w:cs="Consolas" w:eastAsia="Consolas" w:hAnsi="Consolas"/>
          <w:sz w:val="20"/>
          <w:szCs w:val="20"/>
        </w:rPr>
        <w:t xml:space="preserve">outputs/phase2/pca_why_not_used.png</w:t>
      </w:r>
      <w:r>
        <w:t xml:space="preserve">), lalu </w:t>
      </w:r>
      <w:r>
        <w:rPr>
          <w:b/>
          <w:bCs/>
        </w:rPr>
        <w:t xml:space="preserve">membuangnya</w:t>
      </w:r>
      <w:r>
        <w:t xml:space="preserve"> dan melakukan clustering langsung pada 3 rasio perilaku.</w:t>
      </w:r>
    </w:p>
    <w:p>
      <w:pPr>
        <w:spacing w:after="140"/>
        <w:jc w:val="both"/>
      </w:pPr>
      <w:r>
        <w:rPr>
          <w:b/>
          <w:bCs/>
        </w:rPr>
        <w:t xml:space="preserve">Dampak terukur:</w:t>
      </w:r>
      <w:r>
        <w:t xml:space="preserve"> Silhouette Score (ukuran kualitas cluster, 0–1) melonjak dari </w:t>
      </w:r>
      <w:r>
        <w:rPr>
          <w:b/>
          <w:bCs/>
        </w:rPr>
        <w:t xml:space="preserve">≈0,07</w:t>
      </w:r>
      <w:r>
        <w:t xml:space="preserve"> (fitur mentah, praktis tanpa struktur) menjadi </w:t>
      </w:r>
      <w:r>
        <w:rPr>
          <w:b/>
          <w:bCs/>
        </w:rPr>
        <w:t xml:space="preserve">≈0,57</w:t>
      </w:r>
      <w:r>
        <w:t xml:space="preserve"> (rasio perilaku). Ini perbedaan antara "tidak ada cluster" dan "cluster yang jelas".</w:t>
      </w:r>
    </w:p>
    <w:p>
      <w:pPr>
        <w:pStyle w:val="Heading3"/>
      </w:pPr>
      <w:r>
        <w:t xml:space="preserve">3.2 Validasi Pemilihan Fitur — Manual vs Otomatis</w:t>
      </w:r>
    </w:p>
    <w:p>
      <w:pPr>
        <w:spacing w:after="140"/>
        <w:jc w:val="both"/>
      </w:pPr>
      <w:r>
        <w:t xml:space="preserve">Agar pemilihan 3 rasio tidak terkesan "dipilih dengan tangan", kami menguji apakah </w:t>
      </w:r>
      <w:r>
        <w:rPr>
          <w:b/>
          <w:bCs/>
        </w:rPr>
        <w:t xml:space="preserve">pencarian fitur otomatis</w:t>
      </w:r>
      <w:r>
        <w:t xml:space="preserve"> akan sampai pada kesimpulan yang sama. Sebuah pencarian </w:t>
      </w:r>
      <w:r>
        <w:rPr>
          <w:i/>
          <w:iCs/>
        </w:rPr>
        <w:t xml:space="preserve">exhaustive</w:t>
      </w:r>
      <w:r>
        <w:t xml:space="preserve"> mengevaluasi </w:t>
      </w:r>
      <w:r>
        <w:rPr>
          <w:b/>
          <w:bCs/>
        </w:rPr>
        <w:t xml:space="preserve">seluruh 286 kombinasi 3-fitur</w:t>
      </w:r>
      <w:r>
        <w:t xml:space="preserve"> yang mungkin (dari 10 fitur mentah + 3 rasio), masing-masing dinilai Silhouette K-Means (K=3):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1969"/>
        <w:gridCol w:w="1641"/>
      </w:tblGrid>
      <w:tr>
        <w:trPr>
          <w:tblHeader/>
        </w:trPr>
        <w:tc>
          <w:tcPr>
            <w:tcW w:type="dxa" w:w="541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Set Fitur</w:t>
            </w:r>
          </w:p>
        </w:tc>
        <w:tc>
          <w:tcPr>
            <w:tcW w:type="dxa" w:w="196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Jumlah Fitur</w:t>
            </w:r>
          </w:p>
        </w:tc>
        <w:tc>
          <w:tcPr>
            <w:tcW w:type="dxa" w:w="164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Silhouette</w:t>
            </w:r>
          </w:p>
        </w:tc>
      </w:tr>
      <w:tr>
        <w:trPr>
          <w:tblHeader w:val="false"/>
        </w:trPr>
        <w:tc>
          <w:tcPr>
            <w:tcW w:type="dxa" w:w="541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Semua fitur mentah</w:t>
            </w:r>
          </w:p>
        </w:tc>
        <w:tc>
          <w:tcPr>
            <w:tcW w:type="dxa" w:w="196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64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0,065</w:t>
            </w:r>
          </w:p>
        </w:tc>
      </w:tr>
      <w:tr>
        <w:trPr>
          <w:tblHeader w:val="false"/>
        </w:trPr>
        <w:tc>
          <w:tcPr>
            <w:tcW w:type="dxa" w:w="541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PCA (8 komponen)</w:t>
            </w:r>
          </w:p>
        </w:tc>
        <w:tc>
          <w:tcPr>
            <w:tcW w:type="dxa" w:w="196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64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0,081</w:t>
            </w:r>
          </w:p>
        </w:tc>
      </w:tr>
      <w:tr>
        <w:trPr>
          <w:tblHeader w:val="false"/>
        </w:trPr>
        <w:tc>
          <w:tcPr>
            <w:tcW w:type="dxa" w:w="541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Seleksi otomatis (3 terbaik)</w:t>
            </w:r>
          </w:p>
        </w:tc>
        <w:tc>
          <w:tcPr>
            <w:tcW w:type="dxa" w:w="196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64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0,571</w:t>
            </w:r>
          </w:p>
        </w:tc>
      </w:tr>
      <w:tr>
        <w:trPr>
          <w:tblHeader w:val="false"/>
        </w:trPr>
        <w:tc>
          <w:tcPr>
            <w:tcW w:type="dxa" w:w="541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 rasio domain (pilihan kami)</w:t>
            </w:r>
          </w:p>
        </w:tc>
        <w:tc>
          <w:tcPr>
            <w:tcW w:type="dxa" w:w="196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64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0,571</w:t>
            </w:r>
          </w:p>
        </w:tc>
      </w:tr>
    </w:tbl>
    <w:p>
      <w:pPr>
        <w:spacing w:after="60"/>
      </w:pPr>
    </w:p>
    <w:p>
      <w:pPr>
        <w:spacing w:after="140"/>
        <w:jc w:val="both"/>
      </w:pPr>
      <w:r>
        <w:t xml:space="preserve">Hasilnya tegas: dari 286 kombinasi, </w:t>
      </w:r>
      <w:r>
        <w:rPr>
          <w:b/>
          <w:bCs/>
        </w:rPr>
        <w:t xml:space="preserve">kombinasi terbaik yang dipilih algoritma adalah persis ketiga rasio yang kami tentukan secara domain</w:t>
      </w:r>
      <w:r>
        <w:t xml:space="preserve"> (peringkat #1 dari 286) — jauh di atas fitur mentah (0,065) maupun PCA (0,081). Dengan kata lain, pilihan manual kami </w:t>
      </w:r>
      <w:r>
        <w:rPr>
          <w:b/>
          <w:bCs/>
        </w:rPr>
        <w:t xml:space="preserve">terkonfirmasi secara data-driven</w:t>
      </w:r>
      <w:r>
        <w:t xml:space="preserve">, bukan sekadar intuisi. (</w:t>
      </w:r>
      <w:r>
        <w:rPr>
          <w:rFonts w:ascii="Consolas" w:cs="Consolas" w:eastAsia="Consolas" w:hAnsi="Consolas"/>
          <w:sz w:val="20"/>
          <w:szCs w:val="20"/>
        </w:rPr>
        <w:t xml:space="preserve">outputs/phase2/feature_selection_comparison.png</w:t>
      </w:r>
      <w:r>
        <w:t xml:space="preserve">)</w:t>
      </w:r>
    </w:p>
    <w:p>
      <w:pPr>
        <w:pStyle w:val="Heading3"/>
      </w:pPr>
      <w:r>
        <w:t xml:space="preserve">3.3 Tiga Algoritma, Satu Kesimpulan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2"/>
        <w:gridCol w:w="1359"/>
        <w:gridCol w:w="971"/>
        <w:gridCol w:w="4464"/>
      </w:tblGrid>
      <w:tr>
        <w:trPr>
          <w:tblHeader/>
        </w:trPr>
        <w:tc>
          <w:tcPr>
            <w:tcW w:type="dxa" w:w="22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13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Jumlah Cluster</w:t>
            </w:r>
          </w:p>
        </w:tc>
        <w:tc>
          <w:tcPr>
            <w:tcW w:type="dxa" w:w="97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Silhouette</w:t>
            </w:r>
          </w:p>
        </w:tc>
        <w:tc>
          <w:tcPr>
            <w:tcW w:type="dxa" w:w="446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Catatan</w:t>
            </w:r>
          </w:p>
        </w:tc>
      </w:tr>
      <w:tr>
        <w:trPr>
          <w:tblHeader w:val="false"/>
        </w:trPr>
        <w:tc>
          <w:tcPr>
            <w:tcW w:type="dxa" w:w="22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K-Means</w:t>
            </w:r>
            <w:r>
              <w:rPr>
                <w:sz w:val="20"/>
                <w:szCs w:val="20"/>
              </w:rPr>
              <w:t xml:space="preserve"> (K=3)</w:t>
            </w:r>
          </w:p>
        </w:tc>
        <w:tc>
          <w:tcPr>
            <w:tcW w:type="dxa" w:w="13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7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0,571</w:t>
            </w:r>
          </w:p>
        </w:tc>
        <w:tc>
          <w:tcPr>
            <w:tcW w:type="dxa" w:w="446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segmen seimbang &amp; interpretable</w:t>
            </w:r>
          </w:p>
        </w:tc>
      </w:tr>
      <w:tr>
        <w:trPr>
          <w:tblHeader w:val="false"/>
        </w:trPr>
        <w:tc>
          <w:tcPr>
            <w:tcW w:type="dxa" w:w="22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DBSCAN</w:t>
            </w:r>
            <w:r>
              <w:rPr>
                <w:sz w:val="20"/>
                <w:szCs w:val="20"/>
              </w:rPr>
              <w:t xml:space="preserve"> (auto-eps)</w:t>
            </w:r>
          </w:p>
        </w:tc>
        <w:tc>
          <w:tcPr>
            <w:tcW w:type="dxa" w:w="13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 + noise</w:t>
            </w:r>
          </w:p>
        </w:tc>
        <w:tc>
          <w:tcPr>
            <w:tcW w:type="dxa" w:w="97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0,578</w:t>
            </w:r>
          </w:p>
        </w:tc>
        <w:tc>
          <w:tcPr>
            <w:tcW w:type="dxa" w:w="446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mengisolasi 274 outlier (5,5%) sebagai </w:t>
            </w:r>
            <w:r>
              <w:rPr>
                <w:i/>
                <w:iCs/>
                <w:sz w:val="20"/>
                <w:szCs w:val="20"/>
              </w:rPr>
              <w:t xml:space="preserve">noise</w:t>
            </w:r>
          </w:p>
        </w:tc>
      </w:tr>
      <w:tr>
        <w:trPr>
          <w:tblHeader w:val="false"/>
        </w:trPr>
        <w:tc>
          <w:tcPr>
            <w:tcW w:type="dxa" w:w="22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Hierarchical</w:t>
            </w:r>
            <w:r>
              <w:rPr>
                <w:sz w:val="20"/>
                <w:szCs w:val="20"/>
              </w:rPr>
              <w:t xml:space="preserve"> (Ward)</w:t>
            </w:r>
          </w:p>
        </w:tc>
        <w:tc>
          <w:tcPr>
            <w:tcW w:type="dxa" w:w="13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7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0,459</w:t>
            </w:r>
          </w:p>
        </w:tc>
        <w:tc>
          <w:tcPr>
            <w:tcW w:type="dxa" w:w="446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mengonfirmasi 3 segmen yang sama</w:t>
            </w:r>
          </w:p>
        </w:tc>
      </w:tr>
    </w:tbl>
    <w:p>
      <w:pPr>
        <w:spacing w:after="60"/>
      </w:pPr>
    </w:p>
    <w:p>
      <w:pPr>
        <w:spacing w:after="140"/>
        <w:jc w:val="both"/>
      </w:pPr>
      <w:r>
        <w:t xml:space="preserve">Pemilihan K=3 (bukan K=2 yang skornya lebih tinggi, 0,68) adalah </w:t>
      </w:r>
      <w:r>
        <w:rPr>
          <w:b/>
          <w:bCs/>
        </w:rPr>
        <w:t xml:space="preserve">keputusan domain</w:t>
      </w:r>
      <w:r>
        <w:t xml:space="preserve">: K=2 hanya memisahkan kelompok over-limit dari sisanya, sedangkan K=3 memunculkan segmen ketiga (liquidity-stressed) yang </w:t>
      </w:r>
      <w:r>
        <w:rPr>
          <w:b/>
          <w:bCs/>
        </w:rPr>
        <w:t xml:space="preserve">lebih actionable</w:t>
      </w:r>
      <w:r>
        <w:t xml:space="preserve"> secara bisnis — dan silhouette-nya tetap tinggi (0,57).</w:t>
      </w:r>
    </w:p>
    <w:p>
      <w:pPr>
        <w:pStyle w:val="Heading3"/>
      </w:pPr>
      <w:r>
        <w:t xml:space="preserve">3.4 Profil Tiga Segmen (nilai median, satuan asli)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4"/>
        <w:gridCol w:w="900"/>
        <w:gridCol w:w="1368"/>
        <w:gridCol w:w="1368"/>
        <w:gridCol w:w="1276"/>
        <w:gridCol w:w="900"/>
        <w:gridCol w:w="900"/>
      </w:tblGrid>
      <w:tr>
        <w:trPr>
          <w:tblHeader/>
        </w:trPr>
        <w:tc>
          <w:tcPr>
            <w:tcW w:type="dxa" w:w="231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Segmen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Porsi</w:t>
            </w:r>
          </w:p>
        </w:tc>
        <w:tc>
          <w:tcPr>
            <w:tcW w:type="dxa" w:w="13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Utilisasi Kartu</w:t>
            </w:r>
          </w:p>
        </w:tc>
        <w:tc>
          <w:tcPr>
            <w:tcW w:type="dxa" w:w="13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Transaksi/Saldo</w:t>
            </w:r>
          </w:p>
        </w:tc>
        <w:tc>
          <w:tcPr>
            <w:tcW w:type="dxa" w:w="127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Pinjaman/Saldo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Saldo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Limit</w:t>
            </w:r>
          </w:p>
        </w:tc>
      </w:tr>
      <w:tr>
        <w:trPr>
          <w:tblHeader w:val="false"/>
        </w:trPr>
        <w:tc>
          <w:tcPr>
            <w:tcW w:type="dxa" w:w="231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Mainstream / Balanced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79,8%</w:t>
            </w:r>
          </w:p>
        </w:tc>
        <w:tc>
          <w:tcPr>
            <w:tcW w:type="dxa" w:w="13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0,38</w:t>
            </w:r>
          </w:p>
        </w:tc>
        <w:tc>
          <w:tcPr>
            <w:tcW w:type="dxa" w:w="13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0,47</w:t>
            </w:r>
          </w:p>
        </w:tc>
        <w:tc>
          <w:tcPr>
            <w:tcW w:type="dxa" w:w="127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4,7×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5.461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6.178</w:t>
            </w:r>
          </w:p>
        </w:tc>
      </w:tr>
      <w:tr>
        <w:trPr>
          <w:tblHeader w:val="false"/>
        </w:trPr>
        <w:tc>
          <w:tcPr>
            <w:tcW w:type="dxa" w:w="231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Credit-Stressed / Over-Limit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13,1%</w:t>
            </w:r>
          </w:p>
        </w:tc>
        <w:tc>
          <w:tcPr>
            <w:tcW w:type="dxa" w:w="13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1,72</w:t>
            </w:r>
          </w:p>
        </w:tc>
        <w:tc>
          <w:tcPr>
            <w:tcW w:type="dxa" w:w="13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0,47</w:t>
            </w:r>
          </w:p>
        </w:tc>
        <w:tc>
          <w:tcPr>
            <w:tcW w:type="dxa" w:w="127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4,7×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5.198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1.929</w:t>
            </w:r>
          </w:p>
        </w:tc>
      </w:tr>
      <w:tr>
        <w:trPr>
          <w:tblHeader w:val="false"/>
        </w:trPr>
        <w:tc>
          <w:tcPr>
            <w:tcW w:type="dxa" w:w="231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Liquidity-Stressed / High-Leverage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7,2%</w:t>
            </w:r>
          </w:p>
        </w:tc>
        <w:tc>
          <w:tcPr>
            <w:tcW w:type="dxa" w:w="13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0,43</w:t>
            </w:r>
          </w:p>
        </w:tc>
        <w:tc>
          <w:tcPr>
            <w:tcW w:type="dxa" w:w="13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5,0×</w:t>
            </w:r>
          </w:p>
        </w:tc>
        <w:tc>
          <w:tcPr>
            <w:tcW w:type="dxa" w:w="127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52,6×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550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5.763</w:t>
            </w:r>
          </w:p>
        </w:tc>
      </w:tr>
    </w:tbl>
    <w:p>
      <w:pPr>
        <w:spacing w:after="60"/>
      </w:pPr>
    </w:p>
    <w:p>
      <w:pPr>
        <w:spacing w:after="140"/>
        <w:jc w:val="both"/>
      </w:pPr>
      <w:r>
        <w:rPr>
          <w:b/>
          <w:bCs/>
        </w:rPr>
        <w:t xml:space="preserve">Cerita di balik angka: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Mainstream</w:t>
      </w:r>
      <w:r>
        <w:t xml:space="preserve"> — nasabah sehat: rasio rendah, saldo &amp; limit tinggi. Ini "tulang punggung" bank.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Credit-Stressed / Over-Limit</w:t>
      </w:r>
      <w:r>
        <w:t xml:space="preserve"> — saldo kartu rata-rata </w:t>
      </w:r>
      <w:r>
        <w:rPr>
          <w:b/>
          <w:bCs/>
        </w:rPr>
        <w:t xml:space="preserve">1,7× limit</w:t>
      </w:r>
      <w:r>
        <w:t xml:space="preserve"> dengan limit yang justru kecil. Mereka tidak miskin (saldo tabungan normal) tetapi </w:t>
      </w:r>
      <w:r>
        <w:rPr>
          <w:b/>
          <w:bCs/>
        </w:rPr>
        <w:t xml:space="preserve">kronis melebihi batas kartu</w:t>
      </w:r>
      <w:r>
        <w:t xml:space="preserve"> → kandidat penyesuaian limit / edukasi kredit.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Liquidity-Stressed / High-Leverage</w:t>
      </w:r>
      <w:r>
        <w:t xml:space="preserve"> — saldo sangat tipis (median 550) tetapi bertransaksi </w:t>
      </w:r>
      <w:r>
        <w:rPr>
          <w:b/>
          <w:bCs/>
        </w:rPr>
        <w:t xml:space="preserve">5×</w:t>
      </w:r>
      <w:r>
        <w:t xml:space="preserve"> dan berutang </w:t>
      </w:r>
      <w:r>
        <w:rPr>
          <w:b/>
          <w:bCs/>
        </w:rPr>
        <w:t xml:space="preserve">52×</w:t>
      </w:r>
      <w:r>
        <w:t xml:space="preserve"> dari saldonya. Kelompok kecil (7%) tapi </w:t>
      </w:r>
      <w:r>
        <w:rPr>
          <w:b/>
          <w:bCs/>
        </w:rPr>
        <w:t xml:space="preserve">paling rapuh</w:t>
      </w:r>
      <w:r>
        <w:t xml:space="preserve">.</w:t>
      </w:r>
    </w:p>
    <w:p>
      <w:pPr>
        <w:spacing w:after="140"/>
        <w:jc w:val="both"/>
      </w:pPr>
      <w:r>
        <w:rPr>
          <w:b/>
          <w:bCs/>
        </w:rPr>
        <w:t xml:space="preserve">Profil melampaui 3 rasio — kami juga memeriksa demografi.</w:t>
      </w:r>
      <w:r>
        <w:t xml:space="preserve"> Tiap segmen tidak hanya diprofilkan dengan rasio input, tetapi juga dengan fitur finansial lain dan demografi: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Yang benar-benar </w:t>
      </w:r>
      <w:r>
        <w:rPr>
          <w:b/>
          <w:bCs/>
        </w:rPr>
        <w:t xml:space="preserve">membedakan</w:t>
      </w:r>
      <w:r>
        <w:t xml:space="preserve"> segmen adalah variabel </w:t>
      </w:r>
      <w:r>
        <w:rPr>
          <w:b/>
          <w:bCs/>
        </w:rPr>
        <w:t xml:space="preserve">finansial</w:t>
      </w:r>
      <w:r>
        <w:t xml:space="preserve">: limit kartu, saldo, dan pinjaman. Contoh paling jelas — Credit-Stressed punya </w:t>
      </w:r>
      <w:r>
        <w:rPr>
          <w:b/>
          <w:bCs/>
        </w:rPr>
        <w:t xml:space="preserve">limit kartu median hanya ≈1.900</w:t>
      </w:r>
      <w:r>
        <w:t xml:space="preserve"> (vs ≈6.000 di segmen lain), itulah akar utilisasi kartunya yang &gt;100%.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Sebaliknya, </w:t>
      </w:r>
      <w:r>
        <w:rPr>
          <w:b/>
          <w:bCs/>
        </w:rPr>
        <w:t xml:space="preserve">demografi (Gender, Age_Group, Account Type, Loan/Card Type) nyaris seragam</w:t>
      </w:r>
      <w:r>
        <w:t xml:space="preserve"> di ketiga segmen — selisih antar-segmen hanya </w:t>
      </w:r>
      <w:r>
        <w:rPr>
          <w:b/>
          <w:bCs/>
        </w:rPr>
        <w:t xml:space="preserve">2–7 poin persen</w:t>
      </w:r>
      <w:r>
        <w:t xml:space="preserve">. Ini temuan penting yang kami sampaikan apa adanya: </w:t>
      </w:r>
      <w:r>
        <w:rPr>
          <w:b/>
          <w:bCs/>
        </w:rPr>
        <w:t xml:space="preserve">segmen dibentuk oleh perilaku finansial, bukan demografi</w:t>
      </w:r>
      <w:r>
        <w:t xml:space="preserve">, sejalan dengan sifat dataset yang independen. (</w:t>
      </w:r>
      <w:r>
        <w:rPr>
          <w:rFonts w:ascii="Consolas" w:cs="Consolas" w:eastAsia="Consolas" w:hAnsi="Consolas"/>
          <w:sz w:val="20"/>
          <w:szCs w:val="20"/>
        </w:rPr>
        <w:t xml:space="preserve">outputs/phase2/profile_kmeans_cluster_demographics.png</w:t>
      </w:r>
      <w:r>
        <w:t xml:space="preserve">)</w:t>
      </w:r>
    </w:p>
    <w:p>
      <w:pPr>
        <w:pStyle w:val="Heading2"/>
      </w:pPr>
      <w:r>
        <w:t xml:space="preserve">4. Fase 3 — Association Rule Mining</w:t>
      </w:r>
    </w:p>
    <w:p>
      <w:pPr>
        <w:spacing w:after="140"/>
        <w:jc w:val="both"/>
      </w:pPr>
      <w:r>
        <w:rPr>
          <w:b/>
          <w:bCs/>
        </w:rPr>
        <w:t xml:space="preserve">Apa yang dilakukan:</w:t>
      </w:r>
      <w:r>
        <w:t xml:space="preserve"> mengubah atribut kontinu menjadi kategori bermakna, lalu menjalankan algoritma </w:t>
      </w:r>
      <w:r>
        <w:rPr>
          <w:b/>
          <w:bCs/>
        </w:rPr>
        <w:t xml:space="preserve">Apriori</w:t>
      </w:r>
      <w:r>
        <w:t xml:space="preserve"> untuk menemukan pola "jika–maka" antar atribut, dinilai dengan </w:t>
      </w:r>
      <w:r>
        <w:rPr>
          <w:b/>
          <w:bCs/>
        </w:rPr>
        <w:t xml:space="preserve">Support, Confidence, dan Lift</w:t>
      </w:r>
      <w:r>
        <w:t xml:space="preserve">.</w:t>
      </w:r>
    </w:p>
    <w:p>
      <w:pPr>
        <w:spacing w:after="140"/>
        <w:jc w:val="both"/>
      </w:pPr>
      <w:r>
        <w:t xml:space="preserve">Kami menemukan </w:t>
      </w:r>
      <w:r>
        <w:rPr>
          <w:b/>
          <w:bCs/>
        </w:rPr>
        <w:t xml:space="preserve">82 aturan non-trivial</w:t>
      </w:r>
      <w:r>
        <w:t xml:space="preserve"> (Lift 1,40–1,66; Confidence 0,50–0,76; Support ≥ 0,01 ≈ 50 nasabah). Algoritma </w:t>
      </w:r>
      <w:r>
        <w:rPr>
          <w:b/>
          <w:bCs/>
        </w:rPr>
        <w:t xml:space="preserve">Apriori</w:t>
      </w:r>
      <w:r>
        <w:t xml:space="preserve"> dibiarkan menentukan panjang itemset sendiri (tanpa batas buatan), lalu disaring agar hanya menyisakan aturan yang kuat &amp; non-trivial. Contoh aturan (dipilih yang paling actionable, bukan sekadar Lift tertinggi):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52"/>
        <w:gridCol w:w="2674"/>
        <w:gridCol w:w="900"/>
        <w:gridCol w:w="900"/>
      </w:tblGrid>
      <w:tr>
        <w:trPr>
          <w:tblHeader/>
        </w:trPr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65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JIKA</w:t>
            </w:r>
          </w:p>
        </w:tc>
        <w:tc>
          <w:tcPr>
            <w:tcW w:type="dxa" w:w="267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MAKA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Conf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Lift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65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Akun giro + perempuan + pinjaman menengah + transaksi besar</w:t>
            </w:r>
          </w:p>
        </w:tc>
        <w:tc>
          <w:tcPr>
            <w:tcW w:type="dxa" w:w="267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pengajuan pinjaman disetujui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0,53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1,55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365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Pra-pensiun (50–64) + saldo mass-market + keluhan selesai + transaksi sangat besar</w:t>
            </w:r>
          </w:p>
        </w:tc>
        <w:tc>
          <w:tcPr>
            <w:tcW w:type="dxa" w:w="267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pinjaman ditutup (Closed)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0,50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1,52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65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Nasabah mapan (35–49) + MasterCard + bunga tinggi + transaksi sangat besar</w:t>
            </w:r>
          </w:p>
        </w:tc>
        <w:tc>
          <w:tcPr>
            <w:tcW w:type="dxa" w:w="267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akun giro (Current)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0,76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1,53</w:t>
            </w:r>
          </w:p>
        </w:tc>
      </w:tr>
    </w:tbl>
    <w:p>
      <w:pPr>
        <w:spacing w:after="60"/>
      </w:pPr>
    </w:p>
    <w:p>
      <w:pPr>
        <w:spacing w:after="140"/>
        <w:jc w:val="both"/>
      </w:pPr>
      <w:r>
        <w:t xml:space="preserve">Aturan #19 selaras dengan kerangka </w:t>
      </w:r>
      <w:r>
        <w:rPr>
          <w:i/>
          <w:iCs/>
        </w:rPr>
        <w:t xml:space="preserve">life-cycle</w:t>
      </w:r>
      <w:r>
        <w:t xml:space="preserve">: nasabah pra-pensiun yang mapan cenderung menuntaskan/menutup pinjaman. Aturan #17 punya </w:t>
      </w:r>
      <w:r>
        <w:rPr>
          <w:b/>
          <w:bCs/>
        </w:rPr>
        <w:t xml:space="preserve">Confidence tertinggi (76%)</w:t>
      </w:r>
      <w:r>
        <w:t xml:space="preserve"> — bila ketiga syarat terpenuhi, 76% nasabah berakun giro.</w:t>
      </w:r>
    </w:p>
    <w:p>
      <w:pPr>
        <w:spacing w:after="140"/>
        <w:jc w:val="both"/>
      </w:pPr>
      <w:r>
        <w:rPr>
          <w:b/>
          <w:bCs/>
        </w:rPr>
        <w:t xml:space="preserve">Kejujuran metodologis:</w:t>
      </w:r>
      <w:r>
        <w:t xml:space="preserve"> karena atribut kategorikal di dataset ini hampir independen (lihat Fase 1), </w:t>
      </w:r>
      <w:r>
        <w:rPr>
          <w:b/>
          <w:bCs/>
        </w:rPr>
        <w:t xml:space="preserve">Lift tertinggi pun hanya ≈1,66</w:t>
      </w:r>
      <w:r>
        <w:t xml:space="preserve"> — ini </w:t>
      </w:r>
      <w:r>
        <w:rPr>
          <w:i/>
          <w:iCs/>
        </w:rPr>
        <w:t xml:space="preserve">batas data</w:t>
      </w:r>
      <w:r>
        <w:t xml:space="preserve">, bukan kekurangan analisis. Aturan cenderung perlu 3–4 kondisi untuk mencapai Lift tinggi (sub-populasi makin sempit), sehingga interpretasi kami fokuskan pada pola yang paling jelas maknanya. Pola ini sebaiknya divalidasi pada data perbankan riil sebelum dijadikan kebijakan.</w:t>
      </w:r>
    </w:p>
    <w:p>
      <w:pPr>
        <w:pStyle w:val="Heading2"/>
      </w:pPr>
      <w:r>
        <w:t xml:space="preserve">5. Fase 4 — Deteksi Anomali &amp; Outlier</w:t>
      </w:r>
    </w:p>
    <w:p>
      <w:pPr>
        <w:spacing w:after="140"/>
        <w:jc w:val="both"/>
      </w:pPr>
      <w:r>
        <w:rPr>
          <w:b/>
          <w:bCs/>
        </w:rPr>
        <w:t xml:space="preserve">Apa yang dilakukan:</w:t>
      </w:r>
      <w:r>
        <w:t xml:space="preserve"> tiga metode dijalankan dan dibandingkan secara sistematis, lalu disilangkan dengan hasil Fase 2. Atas masukan dosen, ketiganya memakai varian </w:t>
      </w:r>
      <w:r>
        <w:rPr>
          <w:b/>
          <w:bCs/>
        </w:rPr>
        <w:t xml:space="preserve">modified</w:t>
      </w:r>
      <w:r>
        <w:t xml:space="preserve"> yang cocok untuk data condong (skewed); versi standar tetap dihitung sebagai pembanding sistematis.</w:t>
      </w:r>
    </w:p>
    <w:p>
      <w:pPr>
        <w:pStyle w:val="Heading3"/>
      </w:pPr>
      <w:r>
        <w:t xml:space="preserve">5.1 Kenapa versi </w:t>
      </w:r>
      <w:r>
        <w:rPr>
          <w:i/>
          <w:iCs/>
        </w:rPr>
        <w:t xml:space="preserve">modified</w:t>
      </w:r>
      <w:r>
        <w:t xml:space="preserve">?</w:t>
      </w:r>
    </w:p>
    <w:p>
      <w:pPr>
        <w:spacing w:after="140"/>
        <w:jc w:val="both"/>
      </w:pPr>
      <w:r>
        <w:t xml:space="preserve">Ketiga rasio perilaku condong berat ke kanan (skew 2–7), sedangkan metode standar diam-diam mengasumsikan distribusi simetris: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805"/>
        <w:gridCol w:w="4012"/>
        <w:gridCol w:w="1872"/>
      </w:tblGrid>
      <w:tr>
        <w:trPr>
          <w:tblHeader/>
        </w:trPr>
        <w:tc>
          <w:tcPr>
            <w:tcW w:type="dxa" w:w="133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 standar (pembanding)</w:t>
            </w:r>
          </w:p>
        </w:tc>
        <w:tc>
          <w:tcPr>
            <w:tcW w:type="dxa" w:w="40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 modified (dipakai)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Ter-flag: standar → modified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IQR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pagar tetap Q1/Q3 ± 1,5·IQR</w:t>
            </w:r>
          </w:p>
        </w:tc>
        <w:tc>
          <w:tcPr>
            <w:tcW w:type="dxa" w:w="40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pagar </w:t>
            </w:r>
            <w:r>
              <w:rPr>
                <w:b/>
                <w:bCs/>
                <w:sz w:val="20"/>
                <w:szCs w:val="20"/>
              </w:rPr>
              <w:t xml:space="preserve">menyesuaikan kemiringan</w:t>
            </w:r>
            <w:r>
              <w:rPr>
                <w:sz w:val="20"/>
                <w:szCs w:val="20"/>
              </w:rPr>
              <w:t xml:space="preserve"> data (medcouple / </w:t>
            </w:r>
            <w:r>
              <w:rPr>
                <w:i/>
                <w:iCs/>
                <w:sz w:val="20"/>
                <w:szCs w:val="20"/>
              </w:rPr>
              <w:t xml:space="preserve">adjusted boxplot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1.131 → </w:t>
            </w:r>
            <w:r>
              <w:rPr>
                <w:b/>
                <w:bCs/>
                <w:sz w:val="20"/>
                <w:szCs w:val="20"/>
              </w:rPr>
              <w:t xml:space="preserve">880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Z-Score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pakai mean &amp; simpangan baku</w:t>
            </w:r>
          </w:p>
        </w:tc>
        <w:tc>
          <w:tcPr>
            <w:tcW w:type="dxa" w:w="40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pakai </w:t>
            </w:r>
            <w:r>
              <w:rPr>
                <w:b/>
                <w:bCs/>
                <w:sz w:val="20"/>
                <w:szCs w:val="20"/>
              </w:rPr>
              <w:t xml:space="preserve">median &amp; MAD</w:t>
            </w:r>
            <w:r>
              <w:rPr>
                <w:sz w:val="20"/>
                <w:szCs w:val="20"/>
              </w:rPr>
              <w:t xml:space="preserve"> yang tahan outlier (|M| &gt; 3,5)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264 → </w:t>
            </w:r>
            <w:r>
              <w:rPr>
                <w:b/>
                <w:bCs/>
                <w:sz w:val="20"/>
                <w:szCs w:val="20"/>
              </w:rPr>
              <w:t xml:space="preserve">1.070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Isolation Forest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asumsi manual "5% anomali"</w:t>
            </w:r>
          </w:p>
        </w:tc>
        <w:tc>
          <w:tcPr>
            <w:tcW w:type="dxa" w:w="40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threshold dari </w:t>
            </w:r>
            <w:r>
              <w:rPr>
                <w:b/>
                <w:bCs/>
                <w:sz w:val="20"/>
                <w:szCs w:val="20"/>
              </w:rPr>
              <w:t xml:space="preserve">gap terbesar antar skor</w:t>
            </w:r>
            <w:r>
              <w:rPr>
                <w:sz w:val="20"/>
                <w:szCs w:val="20"/>
              </w:rPr>
              <w:t xml:space="preserve"> — ditentukan data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250 → </w:t>
            </w:r>
            <w:r>
              <w:rPr>
                <w:b/>
                <w:bCs/>
                <w:sz w:val="20"/>
                <w:szCs w:val="20"/>
              </w:rPr>
              <w:t xml:space="preserve">25</w:t>
            </w:r>
          </w:p>
        </w:tc>
      </w:tr>
    </w:tbl>
    <w:p>
      <w:pPr>
        <w:spacing w:after="60"/>
      </w:pPr>
    </w:p>
    <w:p>
      <w:pPr>
        <w:spacing w:after="140"/>
        <w:jc w:val="both"/>
      </w:pPr>
      <w:r>
        <w:t xml:space="preserve">Tiga efek yang saling melengkapi: pagar IQR yang mengikuti bentuk distribusi berhenti menandai ekor kanan yang wajar (turun 1.131→880); Z-score robust justru menangkap penyimpangan yang sebelumnya lolos karena simpangan baku ikut membengkak oleh outlier itu sendiri (naik 264→1.070); dan Isolation Forest kini memotong tepat di "jurang" alami antar skor (gap </w:t>
      </w:r>
      <w:r>
        <w:rPr>
          <w:b/>
          <w:bCs/>
        </w:rPr>
        <w:t xml:space="preserve">66× lipat</w:t>
      </w:r>
      <w:r>
        <w:t xml:space="preserve"> gap tipikal) — menyisakan </w:t>
      </w:r>
      <w:r>
        <w:rPr>
          <w:b/>
          <w:bCs/>
        </w:rPr>
        <w:t xml:space="preserve">25 anomali struktural paling ekstrem, yang semuanya juga dikonfirmasi kedua metode lain</w:t>
      </w:r>
      <w:r>
        <w:t xml:space="preserve">. (Grafik: </w:t>
      </w:r>
      <w:r>
        <w:rPr>
          <w:rFonts w:ascii="Consolas" w:cs="Consolas" w:eastAsia="Consolas" w:hAnsi="Consolas"/>
          <w:sz w:val="20"/>
          <w:szCs w:val="20"/>
        </w:rPr>
        <w:t xml:space="preserve">standard_vs_modified.png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isoforest_gap.png</w:t>
      </w:r>
      <w:r>
        <w:t xml:space="preserve">.)</w:t>
      </w:r>
    </w:p>
    <w:p>
      <w:pPr>
        <w:pStyle w:val="Heading3"/>
      </w:pPr>
      <w:r>
        <w:t xml:space="preserve">5.2 Hasil deteksi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1574"/>
        <w:gridCol w:w="4723"/>
      </w:tblGrid>
      <w:tr>
        <w:trPr>
          <w:tblHeader/>
        </w:trPr>
        <w:tc>
          <w:tcPr>
            <w:tcW w:type="dxa" w:w="272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Metode (modified)</w:t>
            </w:r>
          </w:p>
        </w:tc>
        <w:tc>
          <w:tcPr>
            <w:tcW w:type="dxa" w:w="157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Record ter-flag</w:t>
            </w:r>
          </w:p>
        </w:tc>
        <w:tc>
          <w:tcPr>
            <w:tcW w:type="dxa" w:w="472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Sudut pandang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IQR skew-adjusted</w:t>
            </w:r>
          </w:p>
        </w:tc>
        <w:tc>
          <w:tcPr>
            <w:tcW w:type="dxa" w:w="157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880 (17,6%)</w:t>
            </w:r>
          </w:p>
        </w:tc>
        <w:tc>
          <w:tcPr>
            <w:tcW w:type="dxa" w:w="472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outlier per fitur (kuartil, sadar-kemiringan)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Modified Z-Score</w:t>
            </w:r>
          </w:p>
        </w:tc>
        <w:tc>
          <w:tcPr>
            <w:tcW w:type="dxa" w:w="157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1.070 (21,4%)</w:t>
            </w:r>
          </w:p>
        </w:tc>
        <w:tc>
          <w:tcPr>
            <w:tcW w:type="dxa" w:w="472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outlier per fitur (median/MAD)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Isolation Forest + gap</w:t>
            </w:r>
          </w:p>
        </w:tc>
        <w:tc>
          <w:tcPr>
            <w:tcW w:type="dxa" w:w="157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25 (0,5%)</w:t>
            </w:r>
          </w:p>
        </w:tc>
        <w:tc>
          <w:tcPr>
            <w:tcW w:type="dxa" w:w="472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outlier multivariat/struktural paling ekstrem</w:t>
            </w:r>
          </w:p>
        </w:tc>
      </w:tr>
    </w:tbl>
    <w:p>
      <w:pPr>
        <w:spacing w:after="60"/>
      </w:pPr>
    </w:p>
    <w:p>
      <w:pPr>
        <w:spacing w:after="140"/>
        <w:jc w:val="both"/>
      </w:pPr>
      <w:r>
        <w:rPr>
          <w:b/>
          <w:bCs/>
        </w:rPr>
        <w:t xml:space="preserve">Konsensus:</w:t>
      </w:r>
      <w:r>
        <w:t xml:space="preserve"> 446 nasabah ditandai oleh </w:t>
      </w:r>
      <w:r>
        <w:rPr>
          <w:b/>
          <w:bCs/>
        </w:rPr>
        <w:t xml:space="preserve">≥2 metode</w:t>
      </w:r>
      <w:r>
        <w:t xml:space="preserve">, dan </w:t>
      </w:r>
      <w:r>
        <w:rPr>
          <w:b/>
          <w:bCs/>
        </w:rPr>
        <w:t xml:space="preserve">25</w:t>
      </w:r>
      <w:r>
        <w:t xml:space="preserve"> oleh ketiga metode sekaligus — ini anomali paling meyakinkan.</w:t>
      </w:r>
    </w:p>
    <w:p>
      <w:pPr>
        <w:spacing w:after="140"/>
        <w:jc w:val="both"/>
      </w:pPr>
      <w:r>
        <w:rPr>
          <w:b/>
          <w:bCs/>
        </w:rPr>
        <w:t xml:space="preserve">Cross-reference dengan Fase 2: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203 nasabah</w:t>
      </w:r>
      <w:r>
        <w:t xml:space="preserve"> ditandai anomali oleh metode statistik </w:t>
      </w:r>
      <w:r>
        <w:rPr>
          <w:b/>
          <w:bCs/>
        </w:rPr>
        <w:t xml:space="preserve">dan</w:t>
      </w:r>
      <w:r>
        <w:t xml:space="preserve"> oleh DBSCAN (density) — dua pendekatan berbeda yang sepakat → keyakinan tertinggi.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78,6%</w:t>
      </w:r>
      <w:r>
        <w:t xml:space="preserve"> segmen </w:t>
      </w:r>
      <w:r>
        <w:rPr>
          <w:i/>
          <w:iCs/>
        </w:rPr>
        <w:t xml:space="preserve">Liquidity-Stressed</w:t>
      </w:r>
      <w:r>
        <w:t xml:space="preserve"> dan </w:t>
      </w:r>
      <w:r>
        <w:rPr>
          <w:b/>
          <w:bCs/>
        </w:rPr>
        <w:t xml:space="preserve">22,8%</w:t>
      </w:r>
      <w:r>
        <w:t xml:space="preserve"> segmen </w:t>
      </w:r>
      <w:r>
        <w:rPr>
          <w:i/>
          <w:iCs/>
        </w:rPr>
        <w:t xml:space="preserve">Credit-Stressed</w:t>
      </w:r>
      <w:r>
        <w:t xml:space="preserve"> adalah anomali konsensus, vs hanya </w:t>
      </w:r>
      <w:r>
        <w:rPr>
          <w:b/>
          <w:bCs/>
        </w:rPr>
        <w:t xml:space="preserve">0,4%</w:t>
      </w:r>
      <w:r>
        <w:t xml:space="preserve"> pada Mainstream. </w:t>
      </w:r>
      <w:r>
        <w:rPr>
          <w:b/>
          <w:bCs/>
        </w:rPr>
        <w:t xml:space="preserve">Risiko terkonsentrasi di dua segmen kecil.</w:t>
      </w:r>
    </w:p>
    <w:p>
      <w:pPr>
        <w:spacing w:after="140"/>
        <w:jc w:val="both"/>
      </w:pPr>
      <w:r>
        <w:rPr>
          <w:b/>
          <w:bCs/>
        </w:rPr>
        <w:t xml:space="preserve">Klasifikasi tiap anomali</w:t>
      </w:r>
      <w:r>
        <w:t xml:space="preserve"> (semua 5.000 nasabah):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900"/>
        <w:gridCol w:w="6051"/>
      </w:tblGrid>
      <w:tr>
        <w:trPr>
          <w:tblHeader/>
        </w:trPr>
        <w:tc>
          <w:tcPr>
            <w:tcW w:type="dxa" w:w="207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Klasifikasi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Jumlah</w:t>
            </w:r>
          </w:p>
        </w:tc>
        <w:tc>
          <w:tcPr>
            <w:tcW w:type="dxa" w:w="605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Arti</w:t>
            </w:r>
          </w:p>
        </w:tc>
      </w:tr>
      <w:tr>
        <w:trPr>
          <w:tblHeader w:val="false"/>
        </w:trPr>
        <w:tc>
          <w:tcPr>
            <w:tcW w:type="dxa" w:w="207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Normal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3.496</w:t>
            </w:r>
          </w:p>
        </w:tc>
        <w:tc>
          <w:tcPr>
            <w:tcW w:type="dxa" w:w="605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tidak menyimpang</w:t>
            </w:r>
          </w:p>
        </w:tc>
      </w:tr>
      <w:tr>
        <w:trPr>
          <w:tblHeader w:val="false"/>
        </w:trPr>
        <w:tc>
          <w:tcPr>
            <w:tcW w:type="dxa" w:w="207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Rare but Valid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647</w:t>
            </w:r>
          </w:p>
        </w:tc>
        <w:tc>
          <w:tcPr>
            <w:tcW w:type="dxa" w:w="605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menyimpang tapi masih wajar</w:t>
            </w:r>
          </w:p>
        </w:tc>
      </w:tr>
      <w:tr>
        <w:trPr>
          <w:tblHeader w:val="false"/>
        </w:trPr>
        <w:tc>
          <w:tcPr>
            <w:tcW w:type="dxa" w:w="207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Error / Quality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602</w:t>
            </w:r>
          </w:p>
        </w:tc>
        <w:tc>
          <w:tcPr>
            <w:tcW w:type="dxa" w:w="605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perlu verifikasi (mis. saldo akhir tak konsisten/negatif)</w:t>
            </w:r>
          </w:p>
        </w:tc>
      </w:tr>
      <w:tr>
        <w:trPr>
          <w:tblHeader w:val="false"/>
        </w:trPr>
        <w:tc>
          <w:tcPr>
            <w:tcW w:type="dxa" w:w="207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Risk Signal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255</w:t>
            </w:r>
          </w:p>
        </w:tc>
        <w:tc>
          <w:tcPr>
            <w:tcW w:type="dxa" w:w="605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leverage/likuiditas ekstrem + dikuatkan ≥2 metode → </w:t>
            </w:r>
            <w:r>
              <w:rPr>
                <w:b/>
                <w:bCs/>
                <w:sz w:val="20"/>
                <w:szCs w:val="20"/>
              </w:rPr>
              <w:t xml:space="preserve">eskalasi</w:t>
            </w:r>
          </w:p>
        </w:tc>
      </w:tr>
    </w:tbl>
    <w:p>
      <w:pPr>
        <w:spacing w:after="60"/>
      </w:pPr>
    </w:p>
    <w:p>
      <w:pPr>
        <w:spacing w:after="140"/>
        <w:jc w:val="both"/>
      </w:pPr>
      <w:r>
        <w:rPr>
          <w:b/>
          <w:bCs/>
        </w:rPr>
        <w:t xml:space="preserve">Catatan kualitas data:</w:t>
      </w:r>
      <w:r>
        <w:t xml:space="preserve"> 34,1% transaksi memiliki saldo-akhir yang tidak konsisten dengan tipe &amp; jumlah transaksinya. Karena tersebar sangat merata, ini kemungkinan </w:t>
      </w:r>
      <w:r>
        <w:rPr>
          <w:b/>
          <w:bCs/>
        </w:rPr>
        <w:t xml:space="preserve">artefak sistemik dataset sintetis</w:t>
      </w:r>
      <w:r>
        <w:t xml:space="preserve">, bukan kesalahan per-record — sehingga kami laporkan terpisah, bukan sebagai 1.703 "error" individual.</w:t>
      </w:r>
    </w:p>
    <w:p>
      <w:pPr>
        <w:spacing w:after="140"/>
        <w:jc w:val="both"/>
      </w:pPr>
      <w:r>
        <w:rPr>
          <w:b/>
          <w:bCs/>
        </w:rPr>
        <w:t xml:space="preserve">Validasi label:</w:t>
      </w:r>
      <w:r>
        <w:t xml:space="preserve"> dataset menyertakan kolom </w:t>
      </w:r>
      <w:r>
        <w:rPr>
          <w:rFonts w:ascii="Consolas" w:cs="Consolas" w:eastAsia="Consolas" w:hAnsi="Consolas"/>
          <w:sz w:val="20"/>
          <w:szCs w:val="20"/>
        </w:rPr>
        <w:t xml:space="preserve">Anomaly</w:t>
      </w:r>
      <w:r>
        <w:t xml:space="preserve"> bawaan. Sesuai aturan proyek, label ini </w:t>
      </w:r>
      <w:r>
        <w:rPr>
          <w:b/>
          <w:bCs/>
        </w:rPr>
        <w:t xml:space="preserve">tidak dipakai saat mining</w:t>
      </w:r>
      <w:r>
        <w:t xml:space="preserve">, hanya untuk validasi akhir. Tingkat kehadiran label -1 di anomali kami (5,6%) ≈ rata-rata populasi (6,0%): artinya label bawaan </w:t>
      </w:r>
      <w:r>
        <w:rPr>
          <w:b/>
          <w:bCs/>
        </w:rPr>
        <w:t xml:space="preserve">acak dan tidak selaras</w:t>
      </w:r>
      <w:r>
        <w:t xml:space="preserve"> dengan perilaku finansial — justru menguatkan bahwa anomali yang berarti adalah yang </w:t>
      </w:r>
      <w:r>
        <w:rPr>
          <w:b/>
          <w:bCs/>
        </w:rPr>
        <w:t xml:space="preserve">berbasis perilaku</w:t>
      </w:r>
      <w:r>
        <w:t xml:space="preserve">, bukan label sintetis.</w:t>
      </w:r>
    </w:p>
    <w:p>
      <w:pPr>
        <w:pStyle w:val="Heading2"/>
      </w:pPr>
      <w:r>
        <w:t xml:space="preserve">6. Pertanyaan Sentral: Apa yang Kami Temukan yang Tidak Terlihat dari Data Mentah?</w:t>
      </w:r>
    </w:p>
    <w:p>
      <w:pPr>
        <w:spacing w:after="100"/>
        <w:ind w:left="400" w:hanging="400"/>
        <w:jc w:val="both"/>
      </w:pPr>
      <w:r>
        <w:t xml:space="preserve">1.  </w:t>
      </w:r>
      <w:r>
        <w:rPr>
          <w:b/>
          <w:bCs/>
        </w:rPr>
        <w:t xml:space="preserve">Data yang tampak "tak berpola" sebenarnya punya pola — di level rasio, bukan level angka.</w:t>
      </w:r>
      <w:r>
        <w:t xml:space="preserve"> Tabel mentah memperlihatkan saldo dan transaksi yang acak; hubungan </w:t>
      </w:r>
      <w:r>
        <w:rPr>
          <w:i/>
          <w:iCs/>
        </w:rPr>
        <w:t xml:space="preserve">transaksi-terhadap-saldo</w:t>
      </w:r>
      <w:r>
        <w:t xml:space="preserve"> dan </w:t>
      </w:r>
      <w:r>
        <w:rPr>
          <w:i/>
          <w:iCs/>
        </w:rPr>
        <w:t xml:space="preserve">pinjaman-terhadap-saldo</w:t>
      </w:r>
      <w:r>
        <w:t xml:space="preserve"> yang mengungkap perilaku sesungguhnya.</w:t>
      </w:r>
    </w:p>
    <w:p>
      <w:pPr>
        <w:spacing w:after="100"/>
        <w:ind w:left="400" w:hanging="400"/>
        <w:jc w:val="both"/>
      </w:pPr>
      <w:r>
        <w:t xml:space="preserve">2.  </w:t>
      </w:r>
      <w:r>
        <w:rPr>
          <w:b/>
          <w:bCs/>
        </w:rPr>
        <w:t xml:space="preserve">Ada tiga arketipe nasabah yang tidak terlihat dari kolom mana pun secara tunggal.</w:t>
      </w:r>
      <w:r>
        <w:t xml:space="preserve"> Tidak ada satu kolom "tipe nasabah"; profil ini hanya muncul saat beberapa rasio dikombinasikan.</w:t>
      </w:r>
    </w:p>
    <w:p>
      <w:pPr>
        <w:spacing w:after="100"/>
        <w:ind w:left="400" w:hanging="400"/>
        <w:jc w:val="both"/>
      </w:pPr>
      <w:r>
        <w:t xml:space="preserve">3.  </w:t>
      </w:r>
      <w:r>
        <w:rPr>
          <w:b/>
          <w:bCs/>
        </w:rPr>
        <w:t xml:space="preserve">Risiko tidak tersebar merata — ia menggumpal.</w:t>
      </w:r>
      <w:r>
        <w:t xml:space="preserve"> 7% nasabah (Liquidity- Stressed) menampung lebih dari separuh anomali perilaku. Ini tak akan terlihat tanpa menyilangkan hasil clustering dengan deteksi anomali.</w:t>
      </w:r>
    </w:p>
    <w:p>
      <w:pPr>
        <w:spacing w:after="100"/>
        <w:ind w:left="400" w:hanging="400"/>
        <w:jc w:val="both"/>
      </w:pPr>
      <w:r>
        <w:t xml:space="preserve">4.  </w:t>
      </w:r>
      <w:r>
        <w:rPr>
          <w:b/>
          <w:bCs/>
        </w:rPr>
        <w:t xml:space="preserve">"Over-limit" adalah perilaku kronis sebuah segmen, bukan kejadian acak.</w:t>
      </w:r>
      <w:r>
        <w:t xml:space="preserve"> 13% nasabah secara konsisten memakai kartu di atas limit—pola yang tenggelam dalam rata-rata bila dilihat sekilas.</w:t>
      </w:r>
    </w:p>
    <w:p>
      <w:pPr>
        <w:pStyle w:val="Heading2"/>
      </w:pPr>
      <w:r>
        <w:t xml:space="preserve">7. Jawaban untuk Mining Expo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Aturan paling mengejutkan?</w:t>
      </w:r>
      <w:r>
        <w:t xml:space="preserve"> Bahwa lift tertinggi pun hanya ≈1,66 — temuan "mengejutkan"-nya justru adalah betapa </w:t>
      </w:r>
      <w:r>
        <w:rPr>
          <w:b/>
          <w:bCs/>
        </w:rPr>
        <w:t xml:space="preserve">independen</w:t>
      </w:r>
      <w:r>
        <w:t xml:space="preserve">-nya atribut dataset ini, yang memaksa kami berpindah dari angka mentah ke rasio perilaku.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Metode clustering paling interpretable?</w:t>
      </w:r>
      <w:r>
        <w:t xml:space="preserve"> </w:t>
      </w:r>
      <w:r>
        <w:rPr>
          <w:b/>
          <w:bCs/>
        </w:rPr>
        <w:t xml:space="preserve">K-Means (K=3)</w:t>
      </w:r>
      <w:r>
        <w:t xml:space="preserve">: tiga segmen bernama yang seimbang dan langsung bisa dinarasikan ke manajemen; DBSCAN unggul untuk </w:t>
      </w:r>
      <w:r>
        <w:rPr>
          <w:i/>
          <w:iCs/>
        </w:rPr>
        <w:t xml:space="preserve">memisahkan</w:t>
      </w:r>
      <w:r>
        <w:t xml:space="preserve"> outlier, bukan untuk segmentasi utama.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Anomali apa yang ditemukan &amp; artinya?</w:t>
      </w:r>
      <w:r>
        <w:t xml:space="preserve"> Nasabah dengan pinjaman &amp; transaksi puluhan hingga ratusan kali lipat saldonya (255 </w:t>
      </w:r>
      <w:r>
        <w:rPr>
          <w:i/>
          <w:iCs/>
        </w:rPr>
        <w:t xml:space="preserve">risk signal</w:t>
      </w:r>
      <w:r>
        <w:t xml:space="preserve">). Dalam konteks bank nyata, ini sinyal </w:t>
      </w:r>
      <w:r>
        <w:rPr>
          <w:b/>
          <w:bCs/>
        </w:rPr>
        <w:t xml:space="preserve">tekanan likuiditas / potensi gagal bayar</w:t>
      </w:r>
      <w:r>
        <w:t xml:space="preserve"> yang layak ditinjau.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Dibanding domain lain?</w:t>
      </w:r>
      <w:r>
        <w:t xml:space="preserve"> Karena dataset ini transaksional &amp; sintetis, kekuatan kami ada di </w:t>
      </w:r>
      <w:r>
        <w:rPr>
          <w:b/>
          <w:bCs/>
        </w:rPr>
        <w:t xml:space="preserve">segmentasi perilaku</w:t>
      </w:r>
      <w:r>
        <w:t xml:space="preserve"> dan </w:t>
      </w:r>
      <w:r>
        <w:rPr>
          <w:b/>
          <w:bCs/>
        </w:rPr>
        <w:t xml:space="preserve">konsentrasi risiko</w:t>
      </w:r>
      <w:r>
        <w:t xml:space="preserve">, bukan pada aturan asosiasi yang kuat (yang lebih cocok untuk domain seperti UCI Bank Marketing).</w:t>
      </w:r>
    </w:p>
    <w:p>
      <w:pPr>
        <w:pStyle w:val="Heading2"/>
      </w:pPr>
      <w:r>
        <w:t xml:space="preserve">8. Rekomendasi Bisnis</w:t>
      </w:r>
    </w:p>
    <w:p>
      <w:pPr>
        <w:spacing w:after="100"/>
        <w:ind w:left="400" w:hanging="400"/>
        <w:jc w:val="both"/>
      </w:pPr>
      <w:r>
        <w:t xml:space="preserve">1.  </w:t>
      </w:r>
      <w:r>
        <w:rPr>
          <w:b/>
          <w:bCs/>
        </w:rPr>
        <w:t xml:space="preserve">Tinjau ulang limit kartu</w:t>
      </w:r>
      <w:r>
        <w:t xml:space="preserve"> segmen </w:t>
      </w:r>
      <w:r>
        <w:rPr>
          <w:i/>
          <w:iCs/>
        </w:rPr>
        <w:t xml:space="preserve">Credit-Stressed / Over-Limit</w:t>
      </w:r>
      <w:r>
        <w:t xml:space="preserve"> (13%): utilisasi kronis &gt;100% pada limit kecil — peluang penyesuaian limit &amp; edukasi.</w:t>
      </w:r>
    </w:p>
    <w:p>
      <w:pPr>
        <w:spacing w:after="100"/>
        <w:ind w:left="400" w:hanging="400"/>
        <w:jc w:val="both"/>
      </w:pPr>
      <w:r>
        <w:t xml:space="preserve">2.  </w:t>
      </w:r>
      <w:r>
        <w:rPr>
          <w:b/>
          <w:bCs/>
        </w:rPr>
        <w:t xml:space="preserve">Pantau ketat</w:t>
      </w:r>
      <w:r>
        <w:t xml:space="preserve"> segmen </w:t>
      </w:r>
      <w:r>
        <w:rPr>
          <w:i/>
          <w:iCs/>
        </w:rPr>
        <w:t xml:space="preserve">Liquidity-Stressed</w:t>
      </w:r>
      <w:r>
        <w:t xml:space="preserve"> (7%): leverage ekstrem; prioritas </w:t>
      </w:r>
      <w:r>
        <w:rPr>
          <w:i/>
          <w:iCs/>
        </w:rPr>
        <w:t xml:space="preserve">early-warning</w:t>
      </w:r>
      <w:r>
        <w:t xml:space="preserve"> gagal bayar.</w:t>
      </w:r>
    </w:p>
    <w:p>
      <w:pPr>
        <w:spacing w:after="100"/>
        <w:ind w:left="400" w:hanging="400"/>
        <w:jc w:val="both"/>
      </w:pPr>
      <w:r>
        <w:t xml:space="preserve">3.  </w:t>
      </w:r>
      <w:r>
        <w:rPr>
          <w:b/>
          <w:bCs/>
        </w:rPr>
        <w:t xml:space="preserve">Eskalasi 255 </w:t>
      </w:r>
      <w:r>
        <w:rPr>
          <w:b/>
          <w:bCs/>
          <w:i/>
          <w:iCs/>
        </w:rPr>
        <w:t xml:space="preserve">risk signal</w:t>
      </w:r>
      <w:r>
        <w:t xml:space="preserve"> untuk peninjauan manual.</w:t>
      </w:r>
    </w:p>
    <w:p>
      <w:pPr>
        <w:spacing w:after="100"/>
        <w:ind w:left="400" w:hanging="400"/>
        <w:jc w:val="both"/>
      </w:pPr>
      <w:r>
        <w:t xml:space="preserve">4.  </w:t>
      </w:r>
      <w:r>
        <w:rPr>
          <w:b/>
          <w:bCs/>
        </w:rPr>
        <w:t xml:space="preserve">Audit kualitas data</w:t>
      </w:r>
      <w:r>
        <w:t xml:space="preserve">: selidiki inkonsistensi saldo-akhir 34% pada sistem sumber.</w:t>
      </w:r>
    </w:p>
    <w:p>
      <w:pPr>
        <w:pStyle w:val="Heading2"/>
      </w:pPr>
      <w:r>
        <w:t xml:space="preserve">9. Keterbatasan</w:t>
      </w:r>
    </w:p>
    <w:p>
      <w:pPr>
        <w:spacing w:after="140"/>
        <w:jc w:val="both"/>
      </w:pPr>
      <w:r>
        <w:t xml:space="preserve">Dataset bersifat </w:t>
      </w:r>
      <w:r>
        <w:rPr>
          <w:b/>
          <w:bCs/>
        </w:rPr>
        <w:t xml:space="preserve">sintetis</w:t>
      </w:r>
      <w:r>
        <w:t xml:space="preserve"> dengan atribut yang sebagian besar independen. Akibatnya: aturan asosiasi berlift moderat, dan "cluster alami" baru muncul setelah rekayasa fitur — keduanya </w:t>
      </w:r>
      <w:r>
        <w:rPr>
          <w:b/>
          <w:bCs/>
        </w:rPr>
        <w:t xml:space="preserve">didokumentasikan secara transparan</w:t>
      </w:r>
      <w:r>
        <w:t xml:space="preserve">, bukan disembunyikan. Temuan perilaku &amp; risiko bersifat metodologis-valid dan siap diuji ulang pada data perbankan riil.</w:t>
      </w:r>
    </w:p>
    <w:p>
      <w:pPr>
        <w:spacing w:after="140"/>
        <w:jc w:val="both"/>
      </w:pPr>
      <w:r>
        <w:rPr>
          <w:i/>
          <w:iCs/>
        </w:rPr>
        <w:t xml:space="preserve">Pendukung: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outputs/phase1–4</w:t>
      </w:r>
      <w:r>
        <w:rPr>
          <w:i/>
          <w:iCs/>
        </w:rPr>
        <w:t xml:space="preserve"> (grafik &amp; tabel),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outputs/phase3/top_rules.csv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outputs/phase4/anomaly_report.csv</w:t>
      </w:r>
      <w:r>
        <w:rPr>
          <w:i/>
          <w:iCs/>
        </w:rPr>
        <w:t xml:space="preserve">. Dashboard interaktif: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python main.py --phase 5</w:t>
      </w:r>
      <w:r>
        <w:rPr>
          <w:i/>
          <w:iCs/>
        </w:rPr>
        <w:t xml:space="preserve">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Knowledge Discovery Report — Kelompok 6 · Banking Transaction · Hal.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Discovery Report</dc:title>
  <dc:creator>Kelompok 6 - Banking Transaction</dc:creator>
  <cp:lastModifiedBy>Un-named</cp:lastModifiedBy>
  <cp:revision>1</cp:revision>
  <dcterms:created xsi:type="dcterms:W3CDTF">2026-07-04T15:47:24.437Z</dcterms:created>
  <dcterms:modified xsi:type="dcterms:W3CDTF">2026-07-04T15:47:24.440Z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