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before="1200"/>
        <w:jc w:val="center"/>
      </w:pPr>
      <w:r>
        <w:rPr>
          <w:color w:val="000000"/>
        </w:rPr>
        <w:t xml:space="preserve">Knowledge Discovery Report</w:t>
      </w:r>
    </w:p>
    <w:p>
      <w:pPr>
        <w:spacing w:after="100" w:line="276"/>
        <w:jc w:val="center"/>
      </w:pPr>
      <w:r>
        <w:rPr>
          <w:b/>
          <w:bCs/>
        </w:rPr>
        <w:t xml:space="preserve">Group Name:</w:t>
      </w:r>
      <w:r>
        <w:t xml:space="preserve"> Kelompok 6 </w:t>
      </w:r>
      <w:r>
        <w:rPr>
          <w:b/>
          <w:bCs/>
        </w:rPr>
        <w:t xml:space="preserve">Dataset:</w:t>
      </w:r>
      <w:r>
        <w:t xml:space="preserve"> Comprehensive Banking Database </w:t>
      </w:r>
      <w:r>
        <w:rPr>
          <w:b/>
          <w:bCs/>
        </w:rPr>
        <w:t xml:space="preserve">Domain Focus:</w:t>
      </w:r>
      <w:r>
        <w:t xml:space="preserve"> Perilaku transaksi dan demografi nasabah perbankan ritel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Mar>
              <w:top w:type="dxa" w:w="40"/>
              <w:left w:type="dxa" w:w="80"/>
              <w:bottom w:type="dxa" w:w="40"/>
              <w:right w:type="dxa" w:w="80"/>
            </w:tcMar>
          </w:tcPr>
          <w:p>
            <w:r>
              <w:rPr>
                <w:b/>
                <w:bCs/>
                <w:sz w:val="18"/>
                <w:szCs w:val="18"/>
              </w:rPr>
              <w:t xml:space="preserve">Student Name</w:t>
            </w:r>
          </w:p>
        </w:tc>
        <w:tc>
          <w:tcPr>
            <w:tcW w:type="dxa" w:w="4513"/>
            <w:tcMar>
              <w:top w:type="dxa" w:w="40"/>
              <w:left w:type="dxa" w:w="80"/>
              <w:bottom w:type="dxa" w:w="40"/>
              <w:right w:type="dxa" w:w="80"/>
            </w:tcMar>
          </w:tcPr>
          <w:p>
            <w:r>
              <w:rPr>
                <w:b/>
                <w:bCs/>
                <w:sz w:val="18"/>
                <w:szCs w:val="18"/>
              </w:rPr>
              <w:t xml:space="preserve">Role</w:t>
            </w:r>
          </w:p>
        </w:tc>
      </w:tr>
      <w:tr>
        <w:tc>
          <w:tcPr>
            <w:tcW w:type="dxa" w:w="4513"/>
            <w:tcMar>
              <w:top w:type="dxa" w:w="40"/>
              <w:left w:type="dxa" w:w="80"/>
              <w:bottom w:type="dxa" w:w="40"/>
              <w:right w:type="dxa" w:w="80"/>
            </w:tcMar>
          </w:tcPr>
          <w:p>
            <w:r>
              <w:rPr>
                <w:sz w:val="18"/>
                <w:szCs w:val="18"/>
              </w:rPr>
              <w:t xml:space="preserve">Vincent Fernandes</w:t>
            </w:r>
          </w:p>
        </w:tc>
        <w:tc>
          <w:tcPr>
            <w:tcW w:type="dxa" w:w="4513"/>
            <w:tcMar>
              <w:top w:type="dxa" w:w="40"/>
              <w:left w:type="dxa" w:w="80"/>
              <w:bottom w:type="dxa" w:w="40"/>
              <w:right w:type="dxa" w:w="80"/>
            </w:tcMar>
          </w:tcPr>
          <w:p>
            <w:r>
              <w:rPr>
                <w:sz w:val="18"/>
                <w:szCs w:val="18"/>
              </w:rPr>
              <w:t xml:space="preserve">Data Engineer</w:t>
            </w:r>
          </w:p>
        </w:tc>
      </w:tr>
      <w:tr>
        <w:tc>
          <w:tcPr>
            <w:tcW w:type="dxa" w:w="4513"/>
            <w:tcMar>
              <w:top w:type="dxa" w:w="40"/>
              <w:left w:type="dxa" w:w="80"/>
              <w:bottom w:type="dxa" w:w="40"/>
              <w:right w:type="dxa" w:w="80"/>
            </w:tcMar>
          </w:tcPr>
          <w:p>
            <w:r>
              <w:rPr>
                <w:sz w:val="18"/>
                <w:szCs w:val="18"/>
              </w:rPr>
              <w:t xml:space="preserve">Aryaka Syahrezki</w:t>
            </w:r>
          </w:p>
        </w:tc>
        <w:tc>
          <w:tcPr>
            <w:tcW w:type="dxa" w:w="4513"/>
            <w:tcMar>
              <w:top w:type="dxa" w:w="40"/>
              <w:left w:type="dxa" w:w="80"/>
              <w:bottom w:type="dxa" w:w="40"/>
              <w:right w:type="dxa" w:w="80"/>
            </w:tcMar>
          </w:tcPr>
          <w:p>
            <w:r>
              <w:rPr>
                <w:sz w:val="18"/>
                <w:szCs w:val="18"/>
              </w:rPr>
              <w:t xml:space="preserve">Data Engineer</w:t>
            </w:r>
          </w:p>
        </w:tc>
      </w:tr>
      <w:tr>
        <w:tc>
          <w:tcPr>
            <w:tcW w:type="dxa" w:w="4513"/>
            <w:tcMar>
              <w:top w:type="dxa" w:w="40"/>
              <w:left w:type="dxa" w:w="80"/>
              <w:bottom w:type="dxa" w:w="40"/>
              <w:right w:type="dxa" w:w="80"/>
            </w:tcMar>
          </w:tcPr>
          <w:p>
            <w:r>
              <w:rPr>
                <w:sz w:val="18"/>
                <w:szCs w:val="18"/>
              </w:rPr>
              <w:t xml:space="preserve">Crisvito</w:t>
            </w:r>
          </w:p>
        </w:tc>
        <w:tc>
          <w:tcPr>
            <w:tcW w:type="dxa" w:w="4513"/>
            <w:tcMar>
              <w:top w:type="dxa" w:w="40"/>
              <w:left w:type="dxa" w:w="80"/>
              <w:bottom w:type="dxa" w:w="40"/>
              <w:right w:type="dxa" w:w="80"/>
            </w:tcMar>
          </w:tcPr>
          <w:p>
            <w:r>
              <w:rPr>
                <w:sz w:val="18"/>
                <w:szCs w:val="18"/>
              </w:rPr>
              <w:t xml:space="preserve">Pattern Analyst</w:t>
            </w:r>
          </w:p>
        </w:tc>
      </w:tr>
      <w:tr>
        <w:tc>
          <w:tcPr>
            <w:tcW w:type="dxa" w:w="4513"/>
            <w:tcMar>
              <w:top w:type="dxa" w:w="40"/>
              <w:left w:type="dxa" w:w="80"/>
              <w:bottom w:type="dxa" w:w="40"/>
              <w:right w:type="dxa" w:w="80"/>
            </w:tcMar>
          </w:tcPr>
          <w:p>
            <w:r>
              <w:rPr>
                <w:sz w:val="18"/>
                <w:szCs w:val="18"/>
              </w:rPr>
              <w:t xml:space="preserve">Hillary Violen Christalia Sanjaya</w:t>
            </w:r>
          </w:p>
        </w:tc>
        <w:tc>
          <w:tcPr>
            <w:tcW w:type="dxa" w:w="4513"/>
            <w:tcMar>
              <w:top w:type="dxa" w:w="40"/>
              <w:left w:type="dxa" w:w="80"/>
              <w:bottom w:type="dxa" w:w="40"/>
              <w:right w:type="dxa" w:w="80"/>
            </w:tcMar>
          </w:tcPr>
          <w:p>
            <w:r>
              <w:rPr>
                <w:sz w:val="18"/>
                <w:szCs w:val="18"/>
              </w:rPr>
              <w:t xml:space="preserve">Segmentation Specialist</w:t>
            </w:r>
          </w:p>
        </w:tc>
      </w:tr>
      <w:tr>
        <w:tc>
          <w:tcPr>
            <w:tcW w:type="dxa" w:w="4513"/>
            <w:tcMar>
              <w:top w:type="dxa" w:w="40"/>
              <w:left w:type="dxa" w:w="80"/>
              <w:bottom w:type="dxa" w:w="40"/>
              <w:right w:type="dxa" w:w="80"/>
            </w:tcMar>
          </w:tcPr>
          <w:p>
            <w:r>
              <w:rPr>
                <w:sz w:val="18"/>
                <w:szCs w:val="18"/>
              </w:rPr>
              <w:t xml:space="preserve">Stephen Christopher</w:t>
            </w:r>
          </w:p>
        </w:tc>
        <w:tc>
          <w:tcPr>
            <w:tcW w:type="dxa" w:w="4513"/>
            <w:tcMar>
              <w:top w:type="dxa" w:w="40"/>
              <w:left w:type="dxa" w:w="80"/>
              <w:bottom w:type="dxa" w:w="40"/>
              <w:right w:type="dxa" w:w="80"/>
            </w:tcMar>
          </w:tcPr>
          <w:p>
            <w:r>
              <w:rPr>
                <w:sz w:val="18"/>
                <w:szCs w:val="18"/>
              </w:rPr>
              <w:t xml:space="preserve">Insight Communicator</w:t>
            </w:r>
          </w:p>
        </w:tc>
      </w:tr>
    </w:tbl>
    <w:p>
      <w:pPr>
        <w:spacing w:after="120"/>
      </w:pPr>
    </w:p>
    <w:p>
      <w:pPr>
        <w:spacing w:after="100" w:line="276"/>
        <w:jc w:val="center"/>
      </w:pPr>
      <w:r>
        <w:rPr>
          <w:b/>
          <w:bCs/>
        </w:rPr>
        <w:t xml:space="preserve">Submission Date:</w:t>
      </w:r>
      <w:r>
        <w:t xml:space="preserve"> 14 Juli 2026 </w:t>
      </w:r>
      <w:r>
        <w:rPr>
          <w:b/>
          <w:bCs/>
        </w:rPr>
        <w:t xml:space="preserve">Github URL:</w:t>
      </w:r>
      <w:r>
        <w:t xml:space="preserve"> https://github.com/Vincentfernandes17/Data-Mining-Banking-Transaction</w:t>
      </w:r>
    </w:p>
    <w:p>
      <w:pPr>
        <w:pStyle w:val="Heading1"/>
        <w:pageBreakBefore/>
        <w:spacing w:after="120" w:before="240"/>
      </w:pPr>
      <w:r>
        <w:rPr>
          <w:color w:val="000000"/>
        </w:rPr>
        <w:t xml:space="preserve">Executive Summary</w:t>
      </w:r>
    </w:p>
    <w:p>
      <w:pPr>
        <w:spacing w:after="120" w:line="276"/>
        <w:ind w:left="360"/>
        <w:jc w:val="both"/>
      </w:pPr>
      <w:r>
        <w:t xml:space="preserve">Analisis terhadap 5.000 nasabah menemukan bahwa risiko keuangan tidak tersebar merata melainkan menggumpal pada satu kelompok kecil, yaitu 7,2 persen nasabah berprofil likuiditas tertekan yang 78,6 persen anggotanya ditandai sebagai anomali perilaku oleh dua metode independen atau lebih. Saat ini bank belum memisahkan nasabahnya berdasarkan pola perilaku semacam ini karena tidak ada satu kolom pun pada data mentah yang menandainya secara langsung. Bank sebaiknya memprioritaskan pemantauan dini dan peninjauan manual atas 255 nasabah bertanda risiko yang teridentifikasi sebelum potensi gagal bayar benar benar terjadi.</w:t>
      </w:r>
    </w:p>
    <w:p>
      <w:pPr>
        <w:pStyle w:val="Heading1"/>
        <w:pageBreakBefore/>
        <w:spacing w:after="120" w:before="240"/>
      </w:pPr>
      <w:r>
        <w:rPr>
          <w:color w:val="000000"/>
        </w:rPr>
        <w:t xml:space="preserve">Dataset and Methodology</w:t>
      </w:r>
    </w:p>
    <w:p>
      <w:pPr>
        <w:pStyle w:val="Heading2"/>
        <w:spacing w:after="100" w:before="200"/>
        <w:ind w:left="240"/>
      </w:pPr>
      <w:r>
        <w:rPr>
          <w:color w:val="000000"/>
        </w:rPr>
        <w:t xml:space="preserve">Dataset</w:t>
      </w:r>
    </w:p>
    <w:p>
      <w:pPr>
        <w:spacing w:after="120" w:line="276"/>
        <w:ind w:left="360"/>
        <w:jc w:val="both"/>
      </w:pPr>
      <w:r>
        <w:t xml:space="preserve">Dataset yang dipakai bernama Comprehensive Banking Database, sebuah basis data perbankan ritel publik yang memuat 5.000 nasabah dengan 40 atribut asli mencakup demografi, saldo, transaksi, pinjaman, kartu kredit, sampai umpan balik layanan. Seluruh 5.000 baris dipakai tanpa penyampelan karena setiap baris mewakili satu nasabah unik dengan Customer ID tersendiri. Setelah seleksi dan rekayasa fitur, clustering pada Fase 2 berjalan di atas 3 rasio perilaku hasil rekayasa, sedangkan Association Rule Mining pada Fase 3 memakai 14 atribut kategorikal hasil diskretisasi berbasis domain. Fokus domainnya adalah perilaku transaksi harian dan demografi nasabah perbankan.</w:t>
      </w:r>
    </w:p>
    <w:p>
      <w:pPr>
        <w:pStyle w:val="Heading2"/>
        <w:spacing w:after="100" w:before="200"/>
        <w:ind w:left="240"/>
      </w:pPr>
      <w:r>
        <w:rPr>
          <w:color w:val="000000"/>
        </w:rPr>
        <w:t xml:space="preserve">Phase 1: Data Preprocessing</w:t>
      </w:r>
    </w:p>
    <w:p>
      <w:pPr>
        <w:spacing w:after="120" w:line="276"/>
        <w:ind w:left="360"/>
        <w:jc w:val="both"/>
      </w:pPr>
      <w:r>
        <w:t xml:space="preserve">Pemeriksaan kualitas menunjukkan data sudah bersih secara teknis dengan 0 nilai kosong dan 0 baris duplikat. Langkah transformasi meliputi winsorization pada 2 persen ekor atas untuk meredam outlier ekstrem sebelum penskalaan, StandardScaler agar setiap fitur setara skalanya, one hot encoding untuk atribut kategorikal, dan binning berbasis ambang domain untuk variabel kontinu. Ambang binning sengaja memakai batas tetap yang bermakna bisnis seperti utilisasi kartu di bawah 30 persen sampai di atas 100 persen, bukan pembagian kuantil yang batasnya bergeser mengikuti data.</w:t>
      </w:r>
    </w:p>
    <w:p>
      <w:pPr>
        <w:spacing w:after="120" w:line="276"/>
        <w:ind w:left="360"/>
        <w:jc w:val="both"/>
      </w:pPr>
      <w:r>
        <w:t xml:space="preserve">Hasil seleksi fitur menjadi temuan yang menentukan seluruh proyek. Seleksi memakai dua metode yaitu matriks korelasi dan Mutual Information berbasis entropi sesuai rubrik. Matriks korelasi menunjukkan bahwa satu satunya pasangan fitur yang benar benar berkorelasi kuat adalah pasangan turunan seperti Credit Card Balance dengan Minimum Payment Due yang korelasinya mendekati 1 karena pembayaran minimum memang persentase tetap dari saldo, sementara fitur fitur perilaku yang sesungguhnya nyaris tidak berkorelasi satu sama lain. Fitur kontinu mentah juga tersebar nyaris merata dengan skewness mendekati nol, misalnya Age 0,01 dan Account Balance minus 0,02. Nilai Mutual Information setiap fitur terhadap label Anomaly juga mendekati nol, yang berarti anomali tidak bisa dideteksi secara univariat dan harus ditangani secara multivariat di Fase 4. Karena angka mentah tidak punya struktur, kami merekayasa 3 rasio perilaku yaitu utilisasi kartu kredit, rasio transaksi terhadap saldo, dan rasio pinjaman terhadap saldo, yang justru punya struktur nyata dengan skewness 2,4 sampai 7,4. Untuk membuktikan pilihan ini tidak subjektif, sebuah pencarian menyeluruh atas 286 kombinasi tiga fitur dijalankan dan tiga rasio itu menempati peringkat pertama dengan silhouette 0,571, jauh di atas fitur mentah 0,065 maupun PCA 0,081. Jumlah fitur akhir yang dipakai untuk segmentasi adalah 3 rasio perilaku tersebut.</w:t>
      </w:r>
    </w:p>
    <w:p>
      <w:pPr>
        <w:pStyle w:val="Heading2"/>
        <w:spacing w:after="100" w:before="200"/>
        <w:ind w:left="240"/>
      </w:pPr>
      <w:r>
        <w:rPr>
          <w:color w:val="000000"/>
        </w:rPr>
        <w:t xml:space="preserve">Phase 2: Clustering</w:t>
      </w:r>
    </w:p>
    <w:p>
      <w:pPr>
        <w:spacing w:after="120" w:line="276"/>
        <w:ind w:left="360"/>
        <w:jc w:val="both"/>
      </w:pPr>
      <w:r>
        <w:t xml:space="preserve">Tiga algoritma dijalankan pada ruang 3 rasio yang sama yaitu K-Means, DBSCAN, dan Hierarchical. Untuk Hierarchical, koefisien kofenetik ketiga linkage diukur dan hasilnya adalah 0,915 untuk Average, 0,842 untuk Complete, dan 0,786 untuk Ward. Meskipun secara angka Average paling tinggi, linkage Average dan Complete cenderung menghasilkan satu cluster raksasa dengan cabang cabang kecil yang timpang sehingga tidak berguna untuk segmentasi bisnis. Karena itu linkage yang dipilih adalah Ward yang menghasilkan tiga segmen paling seimbang dan interpretable sambil tetap mempertahankan koefisien kofenetik yang layak sebesar 0,786. Nilai K final ditetapkan 3 atas dasar pertimbangan domain. Pada K sama dengan 3, silhouette K-Means adalah 0,571 dan silhouette Hierarchical Ward adalah 0,459. Kesepakatan antara metode utama K-Means dan validasinya Hierarchical Ward diukur dengan Adjusted Rand Index dan menghasilkan 0,590, sebuah kesepakatan substansial yang menunjukkan kedua metode independen menempatkan mayoritas nasabah pada segmen yang sama meski keduanya mengoptimalkan tujuan yang berbeda. DBSCAN dengan eps otomatis mengisolasi 274 nasabah atau sekitar 5,5 persen sebagai noise yang kemudian dipakai sebagai sinyal awal deteksi anomali di Fase 4.</w:t>
      </w:r>
    </w:p>
    <w:p>
      <w:pPr>
        <w:pStyle w:val="Heading2"/>
        <w:spacing w:after="100" w:before="200"/>
        <w:ind w:left="240"/>
      </w:pPr>
      <w:r>
        <w:rPr>
          <w:color w:val="000000"/>
        </w:rPr>
        <w:t xml:space="preserve">Phase 3: Association Rule Mining</w:t>
      </w:r>
    </w:p>
    <w:p>
      <w:pPr>
        <w:spacing w:after="120" w:line="276"/>
        <w:ind w:left="360"/>
        <w:jc w:val="both"/>
      </w:pPr>
      <w:r>
        <w:t xml:space="preserve">Variabel kontinu didiskretisasi lebih dulu memakai ambang berbasis domain agar setiap kategori konsisten dan mudah ditafsirkan. Algoritma Apriori dijalankan dengan minimum support 0,01 hasil penyetelan otomatis, minimum confidence 0,5, dan minimum lift 1,4. Total aturan yang dibangkitkan dari frequent itemsets sebelum penyaringan mencapai 1.083.726 aturan, lalu setelah disaring dengan ambang lift, confidence, dan pembuangan aturan sepele hanya tersisa 82 aturan yang dipertahankan. Rentang lift pada himpunan aturan akhir berada di 1,40 sampai 1,66.</w:t>
      </w:r>
    </w:p>
    <w:p>
      <w:pPr>
        <w:pStyle w:val="Heading2"/>
        <w:spacing w:after="100" w:before="200"/>
        <w:ind w:left="240"/>
      </w:pPr>
      <w:r>
        <w:rPr>
          <w:color w:val="000000"/>
        </w:rPr>
        <w:t xml:space="preserve">Phase 4: Anomaly Detection</w:t>
      </w:r>
    </w:p>
    <w:p>
      <w:pPr>
        <w:spacing w:after="120" w:line="276"/>
        <w:ind w:left="360"/>
        <w:jc w:val="both"/>
      </w:pPr>
      <w:r>
        <w:t xml:space="preserve">Jenis outlier yang dicari mencakup outlier titik lewat metode per fitur, outlier struktural multivariat lewat Isolation Forest, dan outlier kontekstual lewat penyilangan hasil dengan segmen Fase 2. Ketiga metode statistik memakai varian modified yang cocok untuk data condong. IQR memakai pagar skew adjusted berbasis medcouple, Z-Score memakai median dan MAD dengan ambang nilai absolut M lebih besar dari 3,5, dan Isolation Forest memakai threshold dari gap terbesar antar skor alih alih asumsi contamination manual. Total kandidat yang ditandai minimal satu metode sebelum korroborasi berjumlah 1.504 record.</w:t>
      </w:r>
    </w:p>
    <w:p>
      <w:pPr>
        <w:pStyle w:val="Heading1"/>
        <w:pageBreakBefore/>
        <w:spacing w:after="120" w:before="240"/>
      </w:pPr>
      <w:r>
        <w:rPr>
          <w:color w:val="000000"/>
        </w:rPr>
        <w:t xml:space="preserve">Findings</w:t>
      </w:r>
    </w:p>
    <w:p>
      <w:pPr>
        <w:pStyle w:val="Heading2"/>
        <w:spacing w:after="100" w:before="200"/>
        <w:ind w:left="240"/>
      </w:pPr>
      <w:r>
        <w:rPr>
          <w:color w:val="000000"/>
        </w:rPr>
        <w:t xml:space="preserve">Finding 1</w:t>
      </w:r>
    </w:p>
    <w:p>
      <w:pPr>
        <w:spacing w:after="120" w:line="276"/>
        <w:ind w:left="360"/>
        <w:jc w:val="both"/>
      </w:pPr>
      <w:r>
        <w:t xml:space="preserve">Nasabah terbagi menjadi tiga profil perilaku yang stabil dan 13,1 persen di antaranya secara kronis memakai kartu kredit di atas limitnya dengan utilisasi median 1,72 kali limit.</w:t>
      </w:r>
    </w:p>
    <w:p>
      <w:pPr>
        <w:spacing w:after="120" w:line="276"/>
        <w:ind w:left="360"/>
        <w:jc w:val="both"/>
      </w:pPr>
      <w:r>
        <w:rPr>
          <w:b/>
          <w:bCs/>
        </w:rPr>
        <w:t xml:space="preserve">Evidence</w:t>
      </w:r>
      <w:r>
        <w:t xml:space="preserve"> Segmentasi K-Means pada K sama dengan 3 dengan Silhouette Score 0,571 mengidentifikasi tiga segmen. Segmen Mainstream mencakup 79,8 persen nasabah dengan rasio sehat, segmen Credit-Stressed mencakup 13,1 persen atau 653 nasabah dengan utilisasi kartu median 1,72 kali limit padahal limit median mereka hanya 1.929 dibanding 6.178 pada segmen lain, dan segmen Liquidity-Stressed mencakup 7,2 persen atau 359 nasabah dengan rasio transaksi terhadap saldo 5,0 kali dan pinjaman terhadap saldo 52,6 kali. Silhouette Score 0,571 pada rentang 0 sampai 1 menandakan pemisahan segmen yang jelas.</w:t>
      </w:r>
    </w:p>
    <w:p>
      <w:pPr>
        <w:spacing w:after="120" w:line="276"/>
        <w:ind w:left="360"/>
        <w:jc w:val="both"/>
      </w:pPr>
      <w:r>
        <w:rPr>
          <w:b/>
          <w:bCs/>
        </w:rPr>
        <w:t xml:space="preserve">Corroboration</w:t>
      </w:r>
      <w:r>
        <w:t xml:space="preserve"> Hierarchical clustering dengan linkage Ward menemukan kembali tiga segmen yang sama dengan Adjusted Rand Index 0,590 terhadap hasil K-Means. Nilai ini menandakan kesepakatan substansial, bukan sekadar kebetulan yang nilainya akan mendekati nol, walaupun juga tidak sempurna karena K-Means dan Ward memang mengoptimalkan kriteria yang berbeda. Dua metode yang bekerja dengan prinsip berbeda sampai pada struktur segmen yang serupa, sehingga tiga profil perilaku ini bukan artefak satu algoritma.</w:t>
      </w:r>
    </w:p>
    <w:p>
      <w:pPr>
        <w:spacing w:after="120" w:line="276"/>
        <w:ind w:left="360"/>
        <w:jc w:val="both"/>
      </w:pPr>
      <w:r>
        <w:rPr>
          <w:b/>
          <w:bCs/>
        </w:rPr>
        <w:t xml:space="preserve">Business Implication</w:t>
      </w:r>
      <w:r>
        <w:t xml:space="preserve"> Temuan ini berbicara langsung pada produk kartu kredit dan segmen nasabah over-limit. Segmen Credit-Stressed bukan nasabah miskin karena saldo tabungan mereka normal, tetapi limit kartunya kecil sehingga mereka kronis melewati batas. Ini persoalan penetapan limit, bukan persoalan kemampuan bayar.</w:t>
      </w:r>
    </w:p>
    <w:p>
      <w:pPr>
        <w:spacing w:after="120" w:line="276"/>
        <w:ind w:left="360"/>
        <w:jc w:val="both"/>
      </w:pPr>
      <w:r>
        <w:rPr>
          <w:b/>
          <w:bCs/>
        </w:rPr>
        <w:t xml:space="preserve">Recommended Action</w:t>
      </w:r>
      <w:r>
        <w:t xml:space="preserve"> Tim manajemen risiko kartu kredit sebaiknya meninjau ulang kebijakan limit untuk 653 nasabah segmen Credit-Stressed, misalnya lewat penyesuaian limit yang terukur disertai edukasi penggunaan kartu, agar utilisasi kronis di atas 100 persen bisa ditekan.</w:t>
      </w:r>
    </w:p>
    <w:p>
      <w:pPr>
        <w:pStyle w:val="Heading2"/>
        <w:spacing w:after="100" w:before="200"/>
        <w:ind w:left="240"/>
      </w:pPr>
      <w:r>
        <w:rPr>
          <w:color w:val="000000"/>
        </w:rPr>
        <w:t xml:space="preserve">Finding 2</w:t>
      </w:r>
    </w:p>
    <w:p>
      <w:pPr>
        <w:spacing w:after="120" w:line="276"/>
        <w:ind w:left="360"/>
        <w:jc w:val="both"/>
      </w:pPr>
      <w:r>
        <w:t xml:space="preserve">Kombinasi pinjaman yang disetujui berukuran besar dengan utilisasi kartu moderat berasosiasi dengan transaksi setoran, dan kombinasi ini muncul 1,66 kali lebih sering dari yang diharapkan bila kedua hal tersebut tidak berhubungan.</w:t>
      </w:r>
    </w:p>
    <w:p>
      <w:pPr>
        <w:spacing w:after="120" w:line="276"/>
        <w:ind w:left="360"/>
        <w:jc w:val="both"/>
      </w:pPr>
      <w:r>
        <w:rPr>
          <w:b/>
          <w:bCs/>
        </w:rPr>
        <w:t xml:space="preserve">Evidence</w:t>
      </w:r>
      <w:r>
        <w:t xml:space="preserve"> Dari 82 aturan asosiasi yang dipertahankan, aturan dengan lift tertinggi menyatakan bahwa nasabah dengan utilisasi kartu kategori Moderate, status pinjaman Approved, ukuran pinjaman Large, dan status resolusi Pending cenderung melakukan transaksi bertipe Deposit. Aturan ini memiliki lift 1,66, confidence 0,56, dan support 0,0114 yang setara sekitar 57 nasabah. Lift 1,66 berarti asosiasi ini 66 persen lebih sering muncul dibanding bila kedua sisi aturan saling bebas.</w:t>
      </w:r>
    </w:p>
    <w:p>
      <w:pPr>
        <w:spacing w:after="120" w:line="276"/>
        <w:ind w:left="360"/>
        <w:jc w:val="both"/>
      </w:pPr>
      <w:r>
        <w:rPr>
          <w:b/>
          <w:bCs/>
        </w:rPr>
        <w:t xml:space="preserve">Corroboration</w:t>
      </w:r>
      <w:r>
        <w:t xml:space="preserve"> Aturan ini adalah yang terkuat dari 82 aturan yang lolos saring dari total 1.083.726 aturan yang dibangkitkan. Association Rule Mining hanya memakai satu algoritma sehingga tidak ada metode kedua yang mengonfirmasi aturan secara langsung, dan kami menyampaikan hal ini apa adanya. Batas atas lift yang hanya sekitar 1,66 di seluruh himpunan aturan konsisten dengan temuan Fase 1 bahwa atribut dataset ini hampir saling independen, sehingga kekuatan asosiasinya memang moderat.</w:t>
      </w:r>
    </w:p>
    <w:p>
      <w:pPr>
        <w:spacing w:after="120" w:line="276"/>
        <w:ind w:left="360"/>
        <w:jc w:val="both"/>
      </w:pPr>
      <w:r>
        <w:rPr>
          <w:b/>
          <w:bCs/>
        </w:rPr>
        <w:t xml:space="preserve">Business Implication</w:t>
      </w:r>
      <w:r>
        <w:t xml:space="preserve"> Pola ini menunjuk pada peluang cross-sell produk simpanan bagi nasabah yang sedang aktif secara finansial. Nasabah dengan pinjaman besar yang disetujui dan utilisasi kartu yang masih terkendali menunjukkan kecenderungan menyetor dana, yang menandakan arus kas masuk yang bisa diarahkan ke produk tabungan atau deposito.</w:t>
      </w:r>
    </w:p>
    <w:p>
      <w:pPr>
        <w:spacing w:after="120" w:line="276"/>
        <w:ind w:left="360"/>
        <w:jc w:val="both"/>
      </w:pPr>
      <w:r>
        <w:rPr>
          <w:b/>
          <w:bCs/>
        </w:rPr>
        <w:t xml:space="preserve">Recommended Action</w:t>
      </w:r>
      <w:r>
        <w:t xml:space="preserve"> Tim pemasaran produk simpanan sebaiknya menyasar nasabah dengan profil pinjaman besar yang baru disetujui dan utilisasi kartu moderat dengan penawaran produk setoran, karena kelompok inilah yang polanya paling menunjukkan perilaku menyetor.</w:t>
      </w:r>
    </w:p>
    <w:p>
      <w:pPr>
        <w:pStyle w:val="Heading2"/>
        <w:spacing w:after="100" w:before="200"/>
        <w:ind w:left="240"/>
      </w:pPr>
      <w:r>
        <w:rPr>
          <w:color w:val="000000"/>
        </w:rPr>
        <w:t xml:space="preserve">Finding 3</w:t>
      </w:r>
    </w:p>
    <w:p>
      <w:pPr>
        <w:spacing w:after="120" w:line="276"/>
        <w:ind w:left="360"/>
        <w:jc w:val="both"/>
      </w:pPr>
      <w:r>
        <w:t xml:space="preserve">Risiko perilaku terkonsentrasi tajam, yaitu 78,6 persen nasabah segmen Liquidity-Stressed ditandai sebagai anomali oleh dua metode atau lebih, dibanding hanya 0,4 persen pada segmen Mainstream.</w:t>
      </w:r>
    </w:p>
    <w:p>
      <w:pPr>
        <w:spacing w:after="120" w:line="276"/>
        <w:ind w:left="360"/>
        <w:jc w:val="both"/>
      </w:pPr>
      <w:r>
        <w:rPr>
          <w:b/>
          <w:bCs/>
        </w:rPr>
        <w:t xml:space="preserve">Evidence</w:t>
      </w:r>
      <w:r>
        <w:t xml:space="preserve"> Dari 5.000 nasabah, 1.504 ditandai minimal satu metode, 446 disepakati minimal dua metode sebagai anomali konsensus, dan 25 disepakati ketiga metode sekaligus. Ketika anomali konsensus ini disilangkan dengan segmen Fase 2, sebanyak 282 dari 359 nasabah Liquidity-Stressed atau 78,6 persen tergolong anomali konsensus, dibanding 149 dari 653 atau 22,8 persen pada Credit-Stressed, dan hanya 15 dari 3.988 atau 0,4 persen pada Mainstream. Klasifikasi berbasis aturan menandai 255 nasabah sebagai Risk Signal karena leverage atau likuiditasnya ekstrem sekaligus dikuatkan minimal dua metode.</w:t>
      </w:r>
    </w:p>
    <w:p>
      <w:pPr>
        <w:spacing w:after="120" w:line="276"/>
        <w:ind w:left="360"/>
        <w:jc w:val="both"/>
      </w:pPr>
      <w:r>
        <w:rPr>
          <w:b/>
          <w:bCs/>
        </w:rPr>
        <w:t xml:space="preserve">Corroboration</w:t>
      </w:r>
      <w:r>
        <w:t xml:space="preserve"> Sebanyak 203 nasabah ditandai anomali baik oleh metode statistik maupun oleh DBSCAN yang bekerja atas dasar kepadatan, dua pendekatan berbeda yang sepakat. Sebaliknya, label Anomaly bawaan dataset justru tidak mengonfirmasi temuan ini, dengan Precision 0,056 dan Recall 0,083 terhadap konsensus, setara tingkat kebetulan. Hal ini kami laporkan apa adanya dan menandakan label bawaan bersifat acak terhadap perilaku finansial, sehingga anomali berbasis perilaku justru lebih bermakna daripada label sintetis.</w:t>
      </w:r>
    </w:p>
    <w:p>
      <w:pPr>
        <w:spacing w:after="120" w:line="276"/>
        <w:ind w:left="360"/>
        <w:jc w:val="both"/>
      </w:pPr>
      <w:r>
        <w:rPr>
          <w:b/>
          <w:bCs/>
        </w:rPr>
        <w:t xml:space="preserve">Business Implication</w:t>
      </w:r>
      <w:r>
        <w:t xml:space="preserve"> Temuan ini berbicara pada keputusan operasional pemantauan risiko. Karena risiko menggumpal pada dua segmen kecil, bank tidak perlu memantau seluruh populasi secara seragam melainkan bisa memusatkan sumber daya pengawasan pada segmen Liquidity-Stressed dan Credit-Stressed yang hanya berjumlah sekitar 20 persen nasabah namun menampung hampir seluruh anomali.</w:t>
      </w:r>
    </w:p>
    <w:p>
      <w:pPr>
        <w:spacing w:after="120" w:line="276"/>
        <w:ind w:left="360"/>
        <w:jc w:val="both"/>
      </w:pPr>
      <w:r>
        <w:rPr>
          <w:b/>
          <w:bCs/>
        </w:rPr>
        <w:t xml:space="preserve">Recommended Action</w:t>
      </w:r>
      <w:r>
        <w:t xml:space="preserve"> Tim manajemen risiko sebaiknya menempatkan 255 nasabah Risk Signal ke dalam daftar peninjauan manual dan membangun mekanisme peringatan dini gagal bayar yang difokuskan pada segmen Liquidity-Stressed, alih alih menyebar perhatian ke seluruh basis nasabah.</w:t>
      </w:r>
    </w:p>
    <w:p>
      <w:pPr>
        <w:pStyle w:val="Heading1"/>
        <w:pageBreakBefore/>
        <w:spacing w:after="120" w:before="240"/>
      </w:pPr>
      <w:r>
        <w:rPr>
          <w:color w:val="000000"/>
        </w:rPr>
        <w:t xml:space="preserve">Limitations</w:t>
      </w:r>
    </w:p>
    <w:p>
      <w:pPr>
        <w:pStyle w:val="Heading2"/>
        <w:spacing w:after="100" w:before="200"/>
        <w:ind w:left="240"/>
      </w:pPr>
      <w:r>
        <w:rPr>
          <w:color w:val="000000"/>
        </w:rPr>
        <w:t xml:space="preserve">Scope of Outlier Detection</w:t>
      </w:r>
    </w:p>
    <w:p>
      <w:pPr>
        <w:spacing w:after="120" w:line="276"/>
        <w:ind w:left="360"/>
        <w:jc w:val="both"/>
      </w:pPr>
      <w:r>
        <w:t xml:space="preserve">Outlier titik dan outlier struktural multivariat sudah ditangani lewat metode per fitur dan Isolation Forest, dan outlier kontekstual ditangani secara parsial lewat penyilangan dengan segmen. Namun outlier kolektif yang menuntut fitur agregat berbasis jendela waktu belum dibangun, karena dataset ini bersifat setingkat transaksi tanpa penanda waktu yang memungkinkan agregasi temporal. Outlier kontekstual juga belum diperiksa secara penuh di dalam setiap segmen, sehingga masih ada ruang untuk pendalaman.</w:t>
      </w:r>
    </w:p>
    <w:p>
      <w:pPr>
        <w:pStyle w:val="Heading2"/>
        <w:spacing w:after="100" w:before="200"/>
        <w:ind w:left="240"/>
      </w:pPr>
      <w:r>
        <w:rPr>
          <w:color w:val="000000"/>
        </w:rPr>
        <w:t xml:space="preserve">Correlation versus Causation</w:t>
      </w:r>
    </w:p>
    <w:p>
      <w:pPr>
        <w:spacing w:after="120" w:line="276"/>
        <w:ind w:left="360"/>
        <w:jc w:val="both"/>
      </w:pPr>
      <w:r>
        <w:t xml:space="preserve">Aturan asosiasi pada Fase 3 hanya menyatakan keterjadian bersama, bukan sebab akibat. Pada Finding 2 mudah tergoda menyimpulkan bahwa pinjaman yang disetujui menyebabkan nasabah menyetor, tetapi bukti yang ada tidak mendukung klaim kausal semacam itu. Yang teramati hanyalah kedua hal muncul bersama lebih sering dari kebetulan, dan mekanisme penyebabnya tidak pernah diuji.</w:t>
      </w:r>
    </w:p>
    <w:p>
      <w:pPr>
        <w:pStyle w:val="Heading2"/>
        <w:spacing w:after="100" w:before="200"/>
        <w:ind w:left="240"/>
      </w:pPr>
      <w:r>
        <w:rPr>
          <w:color w:val="000000"/>
        </w:rPr>
        <w:t xml:space="preserve">Dataset Representativeness</w:t>
      </w:r>
    </w:p>
    <w:p>
      <w:pPr>
        <w:spacing w:after="120" w:line="276"/>
        <w:ind w:left="360"/>
        <w:jc w:val="both"/>
      </w:pPr>
      <w:r>
        <w:t xml:space="preserve">Dataset ini bersifat sintetis dengan atribut yang sebagian besar saling independen, sehingga aturan asosiasinya berlift moderat dan cluster alami baru muncul setelah rekayasa fitur. Cakupan geografis dan rentang waktunya tidak diketahui, dan tidak ada jaminan populasi ini mewakili basis nasabah bank nyata. Label Anomaly bawaannya pun terbukti acak terhadap perilaku finansial. Semua keterbatasan ini didokumentasikan secara transparan, bukan disembunyikan.</w:t>
      </w:r>
    </w:p>
    <w:p>
      <w:pPr>
        <w:pStyle w:val="Heading2"/>
        <w:spacing w:after="100" w:before="200"/>
        <w:ind w:left="240"/>
      </w:pPr>
      <w:r>
        <w:rPr>
          <w:color w:val="000000"/>
        </w:rPr>
        <w:t xml:space="preserve">What Additional Data Would Improve These Findings</w:t>
      </w:r>
    </w:p>
    <w:p>
      <w:pPr>
        <w:spacing w:after="120" w:line="276"/>
        <w:ind w:left="360"/>
        <w:jc w:val="both"/>
      </w:pPr>
      <w:r>
        <w:t xml:space="preserve">Penanda waktu transaksi akan memungkinkan pembangunan fitur agregat temporal untuk deteksi outlier kolektif dan analisis pola musiman. Data kepemilikan produk akan memperkuat aturan asosiasi lintas produk. Catatan interaksi layanan pelanggan akan membantu memverifikasi apakah nasabah Risk Signal memang menunjukkan tanda tekanan finansial. Yang terpenting, pengujian ulang pada data perbankan riil yang bukan sintetis akan memungkinkan kesimpulan yang lebih kuat ditarik dari pola yang ditemukan di sini.</w:t>
      </w:r>
    </w:p>
    <w:p>
      <w:pPr>
        <w:pStyle w:val="Heading1"/>
        <w:pageBreakBefore/>
        <w:spacing w:after="120" w:before="240"/>
      </w:pPr>
      <w:r>
        <w:rPr>
          <w:color w:val="000000"/>
        </w:rPr>
        <w:t xml:space="preserve">Appendix</w:t>
      </w:r>
    </w:p>
    <w:p>
      <w:pPr>
        <w:pStyle w:val="Heading2"/>
        <w:spacing w:after="100" w:before="200"/>
        <w:ind w:left="240"/>
      </w:pPr>
      <w:r>
        <w:rPr>
          <w:color w:val="000000"/>
        </w:rPr>
        <w:t xml:space="preserve">Appendix A: Full Cluster Profiles</w:t>
      </w:r>
    </w:p>
    <w:p>
      <w:pPr>
        <w:spacing w:after="120" w:line="276"/>
        <w:ind w:left="360"/>
        <w:jc w:val="both"/>
      </w:pPr>
      <w:r>
        <w:t xml:space="preserve">Nilai berikut adalah median pada satuan asli. Demografi seperti Gender, Age Group, Account Type, dan Card Type nyaris seragam antar segmen dengan selisih hanya 2 sampai 7 poin persen, sehingga segmen terbukti dibentuk oleh perilaku finansial dan bukan demografi.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c>
          <w:tcPr>
            <w:tcW w:type="dxa" w:w="1002"/>
            <w:tcMar>
              <w:top w:type="dxa" w:w="40"/>
              <w:left w:type="dxa" w:w="80"/>
              <w:bottom w:type="dxa" w:w="40"/>
              <w:right w:type="dxa" w:w="80"/>
            </w:tcMar>
          </w:tcPr>
          <w:p>
            <w:r>
              <w:rPr>
                <w:b/>
                <w:bCs/>
                <w:sz w:val="18"/>
                <w:szCs w:val="18"/>
              </w:rPr>
              <w:t xml:space="preserve">Segmen</w:t>
            </w:r>
          </w:p>
        </w:tc>
        <w:tc>
          <w:tcPr>
            <w:tcW w:type="dxa" w:w="1002"/>
            <w:tcMar>
              <w:top w:type="dxa" w:w="40"/>
              <w:left w:type="dxa" w:w="80"/>
              <w:bottom w:type="dxa" w:w="40"/>
              <w:right w:type="dxa" w:w="80"/>
            </w:tcMar>
          </w:tcPr>
          <w:p>
            <w:r>
              <w:rPr>
                <w:b/>
                <w:bCs/>
                <w:sz w:val="18"/>
                <w:szCs w:val="18"/>
              </w:rPr>
              <w:t xml:space="preserve">n</w:t>
            </w:r>
          </w:p>
        </w:tc>
        <w:tc>
          <w:tcPr>
            <w:tcW w:type="dxa" w:w="1002"/>
            <w:tcMar>
              <w:top w:type="dxa" w:w="40"/>
              <w:left w:type="dxa" w:w="80"/>
              <w:bottom w:type="dxa" w:w="40"/>
              <w:right w:type="dxa" w:w="80"/>
            </w:tcMar>
          </w:tcPr>
          <w:p>
            <w:r>
              <w:rPr>
                <w:b/>
                <w:bCs/>
                <w:sz w:val="18"/>
                <w:szCs w:val="18"/>
              </w:rPr>
              <w:t xml:space="preserve">Porsi</w:t>
            </w:r>
          </w:p>
        </w:tc>
        <w:tc>
          <w:tcPr>
            <w:tcW w:type="dxa" w:w="1002"/>
            <w:tcMar>
              <w:top w:type="dxa" w:w="40"/>
              <w:left w:type="dxa" w:w="80"/>
              <w:bottom w:type="dxa" w:w="40"/>
              <w:right w:type="dxa" w:w="80"/>
            </w:tcMar>
          </w:tcPr>
          <w:p>
            <w:r>
              <w:rPr>
                <w:b/>
                <w:bCs/>
                <w:sz w:val="18"/>
                <w:szCs w:val="18"/>
              </w:rPr>
              <w:t xml:space="preserve">Utilisasi Kartu</w:t>
            </w:r>
          </w:p>
        </w:tc>
        <w:tc>
          <w:tcPr>
            <w:tcW w:type="dxa" w:w="1002"/>
            <w:tcMar>
              <w:top w:type="dxa" w:w="40"/>
              <w:left w:type="dxa" w:w="80"/>
              <w:bottom w:type="dxa" w:w="40"/>
              <w:right w:type="dxa" w:w="80"/>
            </w:tcMar>
          </w:tcPr>
          <w:p>
            <w:r>
              <w:rPr>
                <w:b/>
                <w:bCs/>
                <w:sz w:val="18"/>
                <w:szCs w:val="18"/>
              </w:rPr>
              <w:t xml:space="preserve">Transaksi/Saldo</w:t>
            </w:r>
          </w:p>
        </w:tc>
        <w:tc>
          <w:tcPr>
            <w:tcW w:type="dxa" w:w="1002"/>
            <w:tcMar>
              <w:top w:type="dxa" w:w="40"/>
              <w:left w:type="dxa" w:w="80"/>
              <w:bottom w:type="dxa" w:w="40"/>
              <w:right w:type="dxa" w:w="80"/>
            </w:tcMar>
          </w:tcPr>
          <w:p>
            <w:r>
              <w:rPr>
                <w:b/>
                <w:bCs/>
                <w:sz w:val="18"/>
                <w:szCs w:val="18"/>
              </w:rPr>
              <w:t xml:space="preserve">Pinjaman/Saldo</w:t>
            </w:r>
          </w:p>
        </w:tc>
        <w:tc>
          <w:tcPr>
            <w:tcW w:type="dxa" w:w="1002"/>
            <w:tcMar>
              <w:top w:type="dxa" w:w="40"/>
              <w:left w:type="dxa" w:w="80"/>
              <w:bottom w:type="dxa" w:w="40"/>
              <w:right w:type="dxa" w:w="80"/>
            </w:tcMar>
          </w:tcPr>
          <w:p>
            <w:r>
              <w:rPr>
                <w:b/>
                <w:bCs/>
                <w:sz w:val="18"/>
                <w:szCs w:val="18"/>
              </w:rPr>
              <w:t xml:space="preserve">Saldo</w:t>
            </w:r>
          </w:p>
        </w:tc>
        <w:tc>
          <w:tcPr>
            <w:tcW w:type="dxa" w:w="1002"/>
            <w:tcMar>
              <w:top w:type="dxa" w:w="40"/>
              <w:left w:type="dxa" w:w="80"/>
              <w:bottom w:type="dxa" w:w="40"/>
              <w:right w:type="dxa" w:w="80"/>
            </w:tcMar>
          </w:tcPr>
          <w:p>
            <w:r>
              <w:rPr>
                <w:b/>
                <w:bCs/>
                <w:sz w:val="18"/>
                <w:szCs w:val="18"/>
              </w:rPr>
              <w:t xml:space="preserve">Limit</w:t>
            </w:r>
          </w:p>
        </w:tc>
        <w:tc>
          <w:tcPr>
            <w:tcW w:type="dxa" w:w="1010"/>
            <w:tcMar>
              <w:top w:type="dxa" w:w="40"/>
              <w:left w:type="dxa" w:w="80"/>
              <w:bottom w:type="dxa" w:w="40"/>
              <w:right w:type="dxa" w:w="80"/>
            </w:tcMar>
          </w:tcPr>
          <w:p>
            <w:r>
              <w:rPr>
                <w:b/>
                <w:bCs/>
                <w:sz w:val="18"/>
                <w:szCs w:val="18"/>
              </w:rPr>
              <w:t xml:space="preserve">Rekomendasi</w:t>
            </w:r>
          </w:p>
        </w:tc>
      </w:tr>
      <w:tr>
        <w:tc>
          <w:tcPr>
            <w:tcW w:type="dxa" w:w="1002"/>
            <w:tcMar>
              <w:top w:type="dxa" w:w="40"/>
              <w:left w:type="dxa" w:w="80"/>
              <w:bottom w:type="dxa" w:w="40"/>
              <w:right w:type="dxa" w:w="80"/>
            </w:tcMar>
          </w:tcPr>
          <w:p>
            <w:r>
              <w:rPr>
                <w:sz w:val="18"/>
                <w:szCs w:val="18"/>
              </w:rPr>
              <w:t xml:space="preserve">Mainstream / Balanced</w:t>
            </w:r>
          </w:p>
        </w:tc>
        <w:tc>
          <w:tcPr>
            <w:tcW w:type="dxa" w:w="1002"/>
            <w:tcMar>
              <w:top w:type="dxa" w:w="40"/>
              <w:left w:type="dxa" w:w="80"/>
              <w:bottom w:type="dxa" w:w="40"/>
              <w:right w:type="dxa" w:w="80"/>
            </w:tcMar>
          </w:tcPr>
          <w:p>
            <w:r>
              <w:rPr>
                <w:sz w:val="18"/>
                <w:szCs w:val="18"/>
              </w:rPr>
              <w:t xml:space="preserve">3.988</w:t>
            </w:r>
          </w:p>
        </w:tc>
        <w:tc>
          <w:tcPr>
            <w:tcW w:type="dxa" w:w="1002"/>
            <w:tcMar>
              <w:top w:type="dxa" w:w="40"/>
              <w:left w:type="dxa" w:w="80"/>
              <w:bottom w:type="dxa" w:w="40"/>
              <w:right w:type="dxa" w:w="80"/>
            </w:tcMar>
          </w:tcPr>
          <w:p>
            <w:r>
              <w:rPr>
                <w:sz w:val="18"/>
                <w:szCs w:val="18"/>
              </w:rPr>
              <w:t xml:space="preserve">79,8%</w:t>
            </w:r>
          </w:p>
        </w:tc>
        <w:tc>
          <w:tcPr>
            <w:tcW w:type="dxa" w:w="1002"/>
            <w:tcMar>
              <w:top w:type="dxa" w:w="40"/>
              <w:left w:type="dxa" w:w="80"/>
              <w:bottom w:type="dxa" w:w="40"/>
              <w:right w:type="dxa" w:w="80"/>
            </w:tcMar>
          </w:tcPr>
          <w:p>
            <w:r>
              <w:rPr>
                <w:sz w:val="18"/>
                <w:szCs w:val="18"/>
              </w:rPr>
              <w:t xml:space="preserve">0,38</w:t>
            </w:r>
          </w:p>
        </w:tc>
        <w:tc>
          <w:tcPr>
            <w:tcW w:type="dxa" w:w="1002"/>
            <w:tcMar>
              <w:top w:type="dxa" w:w="40"/>
              <w:left w:type="dxa" w:w="80"/>
              <w:bottom w:type="dxa" w:w="40"/>
              <w:right w:type="dxa" w:w="80"/>
            </w:tcMar>
          </w:tcPr>
          <w:p>
            <w:r>
              <w:rPr>
                <w:sz w:val="18"/>
                <w:szCs w:val="18"/>
              </w:rPr>
              <w:t xml:space="preserve">0,47</w:t>
            </w:r>
          </w:p>
        </w:tc>
        <w:tc>
          <w:tcPr>
            <w:tcW w:type="dxa" w:w="1002"/>
            <w:tcMar>
              <w:top w:type="dxa" w:w="40"/>
              <w:left w:type="dxa" w:w="80"/>
              <w:bottom w:type="dxa" w:w="40"/>
              <w:right w:type="dxa" w:w="80"/>
            </w:tcMar>
          </w:tcPr>
          <w:p>
            <w:r>
              <w:rPr>
                <w:sz w:val="18"/>
                <w:szCs w:val="18"/>
              </w:rPr>
              <w:t xml:space="preserve">4,66</w:t>
            </w:r>
          </w:p>
        </w:tc>
        <w:tc>
          <w:tcPr>
            <w:tcW w:type="dxa" w:w="1002"/>
            <w:tcMar>
              <w:top w:type="dxa" w:w="40"/>
              <w:left w:type="dxa" w:w="80"/>
              <w:bottom w:type="dxa" w:w="40"/>
              <w:right w:type="dxa" w:w="80"/>
            </w:tcMar>
          </w:tcPr>
          <w:p>
            <w:r>
              <w:rPr>
                <w:sz w:val="18"/>
                <w:szCs w:val="18"/>
              </w:rPr>
              <w:t xml:space="preserve">5.461</w:t>
            </w:r>
          </w:p>
        </w:tc>
        <w:tc>
          <w:tcPr>
            <w:tcW w:type="dxa" w:w="1002"/>
            <w:tcMar>
              <w:top w:type="dxa" w:w="40"/>
              <w:left w:type="dxa" w:w="80"/>
              <w:bottom w:type="dxa" w:w="40"/>
              <w:right w:type="dxa" w:w="80"/>
            </w:tcMar>
          </w:tcPr>
          <w:p>
            <w:r>
              <w:rPr>
                <w:sz w:val="18"/>
                <w:szCs w:val="18"/>
              </w:rPr>
              <w:t xml:space="preserve">6.178</w:t>
            </w:r>
          </w:p>
        </w:tc>
        <w:tc>
          <w:tcPr>
            <w:tcW w:type="dxa" w:w="1010"/>
            <w:tcMar>
              <w:top w:type="dxa" w:w="40"/>
              <w:left w:type="dxa" w:w="80"/>
              <w:bottom w:type="dxa" w:w="40"/>
              <w:right w:type="dxa" w:w="80"/>
            </w:tcMar>
          </w:tcPr>
          <w:p>
            <w:r>
              <w:rPr>
                <w:sz w:val="18"/>
                <w:szCs w:val="18"/>
              </w:rPr>
              <w:t xml:space="preserve">Pertahankan sebagai basis nasabah sehat</w:t>
            </w:r>
          </w:p>
        </w:tc>
      </w:tr>
      <w:tr>
        <w:tc>
          <w:tcPr>
            <w:tcW w:type="dxa" w:w="1002"/>
            <w:tcMar>
              <w:top w:type="dxa" w:w="40"/>
              <w:left w:type="dxa" w:w="80"/>
              <w:bottom w:type="dxa" w:w="40"/>
              <w:right w:type="dxa" w:w="80"/>
            </w:tcMar>
          </w:tcPr>
          <w:p>
            <w:r>
              <w:rPr>
                <w:sz w:val="18"/>
                <w:szCs w:val="18"/>
              </w:rPr>
              <w:t xml:space="preserve">Credit-Stressed / Over-Limit</w:t>
            </w:r>
          </w:p>
        </w:tc>
        <w:tc>
          <w:tcPr>
            <w:tcW w:type="dxa" w:w="1002"/>
            <w:tcMar>
              <w:top w:type="dxa" w:w="40"/>
              <w:left w:type="dxa" w:w="80"/>
              <w:bottom w:type="dxa" w:w="40"/>
              <w:right w:type="dxa" w:w="80"/>
            </w:tcMar>
          </w:tcPr>
          <w:p>
            <w:r>
              <w:rPr>
                <w:sz w:val="18"/>
                <w:szCs w:val="18"/>
              </w:rPr>
              <w:t xml:space="preserve">653</w:t>
            </w:r>
          </w:p>
        </w:tc>
        <w:tc>
          <w:tcPr>
            <w:tcW w:type="dxa" w:w="1002"/>
            <w:tcMar>
              <w:top w:type="dxa" w:w="40"/>
              <w:left w:type="dxa" w:w="80"/>
              <w:bottom w:type="dxa" w:w="40"/>
              <w:right w:type="dxa" w:w="80"/>
            </w:tcMar>
          </w:tcPr>
          <w:p>
            <w:r>
              <w:rPr>
                <w:sz w:val="18"/>
                <w:szCs w:val="18"/>
              </w:rPr>
              <w:t xml:space="preserve">13,1%</w:t>
            </w:r>
          </w:p>
        </w:tc>
        <w:tc>
          <w:tcPr>
            <w:tcW w:type="dxa" w:w="1002"/>
            <w:tcMar>
              <w:top w:type="dxa" w:w="40"/>
              <w:left w:type="dxa" w:w="80"/>
              <w:bottom w:type="dxa" w:w="40"/>
              <w:right w:type="dxa" w:w="80"/>
            </w:tcMar>
          </w:tcPr>
          <w:p>
            <w:r>
              <w:rPr>
                <w:sz w:val="18"/>
                <w:szCs w:val="18"/>
              </w:rPr>
              <w:t xml:space="preserve">1,72</w:t>
            </w:r>
          </w:p>
        </w:tc>
        <w:tc>
          <w:tcPr>
            <w:tcW w:type="dxa" w:w="1002"/>
            <w:tcMar>
              <w:top w:type="dxa" w:w="40"/>
              <w:left w:type="dxa" w:w="80"/>
              <w:bottom w:type="dxa" w:w="40"/>
              <w:right w:type="dxa" w:w="80"/>
            </w:tcMar>
          </w:tcPr>
          <w:p>
            <w:r>
              <w:rPr>
                <w:sz w:val="18"/>
                <w:szCs w:val="18"/>
              </w:rPr>
              <w:t xml:space="preserve">0,47</w:t>
            </w:r>
          </w:p>
        </w:tc>
        <w:tc>
          <w:tcPr>
            <w:tcW w:type="dxa" w:w="1002"/>
            <w:tcMar>
              <w:top w:type="dxa" w:w="40"/>
              <w:left w:type="dxa" w:w="80"/>
              <w:bottom w:type="dxa" w:w="40"/>
              <w:right w:type="dxa" w:w="80"/>
            </w:tcMar>
          </w:tcPr>
          <w:p>
            <w:r>
              <w:rPr>
                <w:sz w:val="18"/>
                <w:szCs w:val="18"/>
              </w:rPr>
              <w:t xml:space="preserve">4,73</w:t>
            </w:r>
          </w:p>
        </w:tc>
        <w:tc>
          <w:tcPr>
            <w:tcW w:type="dxa" w:w="1002"/>
            <w:tcMar>
              <w:top w:type="dxa" w:w="40"/>
              <w:left w:type="dxa" w:w="80"/>
              <w:bottom w:type="dxa" w:w="40"/>
              <w:right w:type="dxa" w:w="80"/>
            </w:tcMar>
          </w:tcPr>
          <w:p>
            <w:r>
              <w:rPr>
                <w:sz w:val="18"/>
                <w:szCs w:val="18"/>
              </w:rPr>
              <w:t xml:space="preserve">5.198</w:t>
            </w:r>
          </w:p>
        </w:tc>
        <w:tc>
          <w:tcPr>
            <w:tcW w:type="dxa" w:w="1002"/>
            <w:tcMar>
              <w:top w:type="dxa" w:w="40"/>
              <w:left w:type="dxa" w:w="80"/>
              <w:bottom w:type="dxa" w:w="40"/>
              <w:right w:type="dxa" w:w="80"/>
            </w:tcMar>
          </w:tcPr>
          <w:p>
            <w:r>
              <w:rPr>
                <w:sz w:val="18"/>
                <w:szCs w:val="18"/>
              </w:rPr>
              <w:t xml:space="preserve">1.929</w:t>
            </w:r>
          </w:p>
        </w:tc>
        <w:tc>
          <w:tcPr>
            <w:tcW w:type="dxa" w:w="1010"/>
            <w:tcMar>
              <w:top w:type="dxa" w:w="40"/>
              <w:left w:type="dxa" w:w="80"/>
              <w:bottom w:type="dxa" w:w="40"/>
              <w:right w:type="dxa" w:w="80"/>
            </w:tcMar>
          </w:tcPr>
          <w:p>
            <w:r>
              <w:rPr>
                <w:sz w:val="18"/>
                <w:szCs w:val="18"/>
              </w:rPr>
              <w:t xml:space="preserve">Tinjau ulang limit kartu dan edukasi kredit</w:t>
            </w:r>
          </w:p>
        </w:tc>
      </w:tr>
      <w:tr>
        <w:tc>
          <w:tcPr>
            <w:tcW w:type="dxa" w:w="1002"/>
            <w:tcMar>
              <w:top w:type="dxa" w:w="40"/>
              <w:left w:type="dxa" w:w="80"/>
              <w:bottom w:type="dxa" w:w="40"/>
              <w:right w:type="dxa" w:w="80"/>
            </w:tcMar>
          </w:tcPr>
          <w:p>
            <w:r>
              <w:rPr>
                <w:sz w:val="18"/>
                <w:szCs w:val="18"/>
              </w:rPr>
              <w:t xml:space="preserve">Liquidity-Stressed / High-Leverage</w:t>
            </w:r>
          </w:p>
        </w:tc>
        <w:tc>
          <w:tcPr>
            <w:tcW w:type="dxa" w:w="1002"/>
            <w:tcMar>
              <w:top w:type="dxa" w:w="40"/>
              <w:left w:type="dxa" w:w="80"/>
              <w:bottom w:type="dxa" w:w="40"/>
              <w:right w:type="dxa" w:w="80"/>
            </w:tcMar>
          </w:tcPr>
          <w:p>
            <w:r>
              <w:rPr>
                <w:sz w:val="18"/>
                <w:szCs w:val="18"/>
              </w:rPr>
              <w:t xml:space="preserve">359</w:t>
            </w:r>
          </w:p>
        </w:tc>
        <w:tc>
          <w:tcPr>
            <w:tcW w:type="dxa" w:w="1002"/>
            <w:tcMar>
              <w:top w:type="dxa" w:w="40"/>
              <w:left w:type="dxa" w:w="80"/>
              <w:bottom w:type="dxa" w:w="40"/>
              <w:right w:type="dxa" w:w="80"/>
            </w:tcMar>
          </w:tcPr>
          <w:p>
            <w:r>
              <w:rPr>
                <w:sz w:val="18"/>
                <w:szCs w:val="18"/>
              </w:rPr>
              <w:t xml:space="preserve">7,2%</w:t>
            </w:r>
          </w:p>
        </w:tc>
        <w:tc>
          <w:tcPr>
            <w:tcW w:type="dxa" w:w="1002"/>
            <w:tcMar>
              <w:top w:type="dxa" w:w="40"/>
              <w:left w:type="dxa" w:w="80"/>
              <w:bottom w:type="dxa" w:w="40"/>
              <w:right w:type="dxa" w:w="80"/>
            </w:tcMar>
          </w:tcPr>
          <w:p>
            <w:r>
              <w:rPr>
                <w:sz w:val="18"/>
                <w:szCs w:val="18"/>
              </w:rPr>
              <w:t xml:space="preserve">0,43</w:t>
            </w:r>
          </w:p>
        </w:tc>
        <w:tc>
          <w:tcPr>
            <w:tcW w:type="dxa" w:w="1002"/>
            <w:tcMar>
              <w:top w:type="dxa" w:w="40"/>
              <w:left w:type="dxa" w:w="80"/>
              <w:bottom w:type="dxa" w:w="40"/>
              <w:right w:type="dxa" w:w="80"/>
            </w:tcMar>
          </w:tcPr>
          <w:p>
            <w:r>
              <w:rPr>
                <w:sz w:val="18"/>
                <w:szCs w:val="18"/>
              </w:rPr>
              <w:t xml:space="preserve">5,04</w:t>
            </w:r>
          </w:p>
        </w:tc>
        <w:tc>
          <w:tcPr>
            <w:tcW w:type="dxa" w:w="1002"/>
            <w:tcMar>
              <w:top w:type="dxa" w:w="40"/>
              <w:left w:type="dxa" w:w="80"/>
              <w:bottom w:type="dxa" w:w="40"/>
              <w:right w:type="dxa" w:w="80"/>
            </w:tcMar>
          </w:tcPr>
          <w:p>
            <w:r>
              <w:rPr>
                <w:sz w:val="18"/>
                <w:szCs w:val="18"/>
              </w:rPr>
              <w:t xml:space="preserve">52,61</w:t>
            </w:r>
          </w:p>
        </w:tc>
        <w:tc>
          <w:tcPr>
            <w:tcW w:type="dxa" w:w="1002"/>
            <w:tcMar>
              <w:top w:type="dxa" w:w="40"/>
              <w:left w:type="dxa" w:w="80"/>
              <w:bottom w:type="dxa" w:w="40"/>
              <w:right w:type="dxa" w:w="80"/>
            </w:tcMar>
          </w:tcPr>
          <w:p>
            <w:r>
              <w:rPr>
                <w:sz w:val="18"/>
                <w:szCs w:val="18"/>
              </w:rPr>
              <w:t xml:space="preserve">550</w:t>
            </w:r>
          </w:p>
        </w:tc>
        <w:tc>
          <w:tcPr>
            <w:tcW w:type="dxa" w:w="1002"/>
            <w:tcMar>
              <w:top w:type="dxa" w:w="40"/>
              <w:left w:type="dxa" w:w="80"/>
              <w:bottom w:type="dxa" w:w="40"/>
              <w:right w:type="dxa" w:w="80"/>
            </w:tcMar>
          </w:tcPr>
          <w:p>
            <w:r>
              <w:rPr>
                <w:sz w:val="18"/>
                <w:szCs w:val="18"/>
              </w:rPr>
              <w:t xml:space="preserve">5.763</w:t>
            </w:r>
          </w:p>
        </w:tc>
        <w:tc>
          <w:tcPr>
            <w:tcW w:type="dxa" w:w="1010"/>
            <w:tcMar>
              <w:top w:type="dxa" w:w="40"/>
              <w:left w:type="dxa" w:w="80"/>
              <w:bottom w:type="dxa" w:w="40"/>
              <w:right w:type="dxa" w:w="80"/>
            </w:tcMar>
          </w:tcPr>
          <w:p>
            <w:r>
              <w:rPr>
                <w:sz w:val="18"/>
                <w:szCs w:val="18"/>
              </w:rPr>
              <w:t xml:space="preserve">Pemantauan dini gagal bayar</w:t>
            </w:r>
          </w:p>
        </w:tc>
      </w:tr>
      <w:tr>
        <w:tc>
          <w:tcPr>
            <w:tcW w:type="dxa" w:w="1002"/>
            <w:tcMar>
              <w:top w:type="dxa" w:w="40"/>
              <w:left w:type="dxa" w:w="80"/>
              <w:bottom w:type="dxa" w:w="40"/>
              <w:right w:type="dxa" w:w="80"/>
            </w:tcMar>
          </w:tcPr>
          <w:p>
            <w:r>
              <w:rPr>
                <w:sz w:val="18"/>
                <w:szCs w:val="18"/>
              </w:rPr>
              <w:t xml:space="preserve">DBSCAN Noise</w:t>
            </w:r>
          </w:p>
        </w:tc>
        <w:tc>
          <w:tcPr>
            <w:tcW w:type="dxa" w:w="1002"/>
            <w:tcMar>
              <w:top w:type="dxa" w:w="40"/>
              <w:left w:type="dxa" w:w="80"/>
              <w:bottom w:type="dxa" w:w="40"/>
              <w:right w:type="dxa" w:w="80"/>
            </w:tcMar>
          </w:tcPr>
          <w:p>
            <w:r>
              <w:rPr>
                <w:sz w:val="18"/>
                <w:szCs w:val="18"/>
              </w:rPr>
              <w:t xml:space="preserve">274</w:t>
            </w:r>
          </w:p>
        </w:tc>
        <w:tc>
          <w:tcPr>
            <w:tcW w:type="dxa" w:w="1002"/>
            <w:tcMar>
              <w:top w:type="dxa" w:w="40"/>
              <w:left w:type="dxa" w:w="80"/>
              <w:bottom w:type="dxa" w:w="40"/>
              <w:right w:type="dxa" w:w="80"/>
            </w:tcMar>
          </w:tcPr>
          <w:p>
            <w:r>
              <w:rPr>
                <w:sz w:val="18"/>
                <w:szCs w:val="18"/>
              </w:rPr>
              <w:t xml:space="preserve">5,5%</w:t>
            </w:r>
          </w:p>
        </w:tc>
        <w:tc>
          <w:tcPr>
            <w:tcW w:type="dxa" w:w="1002"/>
            <w:tcMar>
              <w:top w:type="dxa" w:w="40"/>
              <w:left w:type="dxa" w:w="80"/>
              <w:bottom w:type="dxa" w:w="40"/>
              <w:right w:type="dxa" w:w="80"/>
            </w:tcMar>
          </w:tcPr>
          <w:p>
            <w:r>
              <w:rPr>
                <w:sz w:val="18"/>
                <w:szCs w:val="18"/>
              </w:rPr>
              <w:t xml:space="preserve">perilaku ekstrem</w:t>
            </w:r>
          </w:p>
        </w:tc>
        <w:tc>
          <w:tcPr>
            <w:tcW w:type="dxa" w:w="1002"/>
            <w:tcMar>
              <w:top w:type="dxa" w:w="40"/>
              <w:left w:type="dxa" w:w="80"/>
              <w:bottom w:type="dxa" w:w="40"/>
              <w:right w:type="dxa" w:w="80"/>
            </w:tcMar>
          </w:tcPr>
          <w:p>
            <w:r>
              <w:rPr>
                <w:sz w:val="18"/>
                <w:szCs w:val="18"/>
              </w:rPr>
              <w:t xml:space="preserve">perilaku ekstrem</w:t>
            </w:r>
          </w:p>
        </w:tc>
        <w:tc>
          <w:tcPr>
            <w:tcW w:type="dxa" w:w="1002"/>
            <w:tcMar>
              <w:top w:type="dxa" w:w="40"/>
              <w:left w:type="dxa" w:w="80"/>
              <w:bottom w:type="dxa" w:w="40"/>
              <w:right w:type="dxa" w:w="80"/>
            </w:tcMar>
          </w:tcPr>
          <w:p>
            <w:r>
              <w:rPr>
                <w:sz w:val="18"/>
                <w:szCs w:val="18"/>
              </w:rPr>
              <w:t xml:space="preserve">perilaku ekstrem</w:t>
            </w:r>
          </w:p>
        </w:tc>
        <w:tc>
          <w:tcPr>
            <w:tcW w:type="dxa" w:w="1002"/>
            <w:tcMar>
              <w:top w:type="dxa" w:w="40"/>
              <w:left w:type="dxa" w:w="80"/>
              <w:bottom w:type="dxa" w:w="40"/>
              <w:right w:type="dxa" w:w="80"/>
            </w:tcMar>
          </w:tcPr>
          <w:p>
            <w:r>
              <w:rPr>
                <w:sz w:val="18"/>
                <w:szCs w:val="18"/>
              </w:rPr>
              <w:t xml:space="preserve">rendah</w:t>
            </w:r>
          </w:p>
        </w:tc>
        <w:tc>
          <w:tcPr>
            <w:tcW w:type="dxa" w:w="1002"/>
            <w:tcMar>
              <w:top w:type="dxa" w:w="40"/>
              <w:left w:type="dxa" w:w="80"/>
              <w:bottom w:type="dxa" w:w="40"/>
              <w:right w:type="dxa" w:w="80"/>
            </w:tcMar>
          </w:tcPr>
          <w:p>
            <w:r>
              <w:rPr>
                <w:sz w:val="18"/>
                <w:szCs w:val="18"/>
              </w:rPr>
              <w:t xml:space="preserve">bervariasi</w:t>
            </w:r>
          </w:p>
        </w:tc>
        <w:tc>
          <w:tcPr>
            <w:tcW w:type="dxa" w:w="1010"/>
            <w:tcMar>
              <w:top w:type="dxa" w:w="40"/>
              <w:left w:type="dxa" w:w="80"/>
              <w:bottom w:type="dxa" w:w="40"/>
              <w:right w:type="dxa" w:w="80"/>
            </w:tcMar>
          </w:tcPr>
          <w:p>
            <w:r>
              <w:rPr>
                <w:sz w:val="18"/>
                <w:szCs w:val="18"/>
              </w:rPr>
              <w:t xml:space="preserve">Umpankan ke deteksi anomali Fase 4</w:t>
            </w:r>
          </w:p>
        </w:tc>
      </w:tr>
    </w:tbl>
    <w:p>
      <w:pPr>
        <w:spacing w:after="120"/>
      </w:pPr>
    </w:p>
    <w:p>
      <w:pPr>
        <w:pStyle w:val="Heading2"/>
        <w:spacing w:after="100" w:before="200"/>
        <w:ind w:left="240"/>
      </w:pPr>
      <w:r>
        <w:rPr>
          <w:color w:val="000000"/>
        </w:rPr>
        <w:t xml:space="preserve">Appendix B: Full Association Rule Table</w:t>
      </w:r>
    </w:p>
    <w:p>
      <w:pPr>
        <w:spacing w:after="120" w:line="276"/>
        <w:ind w:left="360"/>
        <w:jc w:val="both"/>
      </w:pPr>
      <w:r>
        <w:t xml:space="preserve">Daftar lengkap 82 aturan tersimpan pada outputs/phase3/rules_all.csv, diurutkan menurun berdasarkan Lift. Lima belas aturan teratas ditampilkan di bawah ini dengan nama item persis seperti pada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Mar>
              <w:top w:type="dxa" w:w="40"/>
              <w:left w:type="dxa" w:w="80"/>
              <w:bottom w:type="dxa" w:w="40"/>
              <w:right w:type="dxa" w:w="80"/>
            </w:tcMar>
          </w:tcPr>
          <w:p>
            <w:r>
              <w:rPr>
                <w:b/>
                <w:bCs/>
                <w:sz w:val="18"/>
                <w:szCs w:val="18"/>
              </w:rPr>
              <w:t xml:space="preserve">Antecedent</w:t>
            </w:r>
          </w:p>
        </w:tc>
        <w:tc>
          <w:tcPr>
            <w:tcW w:type="dxa" w:w="1805"/>
            <w:tcMar>
              <w:top w:type="dxa" w:w="40"/>
              <w:left w:type="dxa" w:w="80"/>
              <w:bottom w:type="dxa" w:w="40"/>
              <w:right w:type="dxa" w:w="80"/>
            </w:tcMar>
          </w:tcPr>
          <w:p>
            <w:r>
              <w:rPr>
                <w:b/>
                <w:bCs/>
                <w:sz w:val="18"/>
                <w:szCs w:val="18"/>
              </w:rPr>
              <w:t xml:space="preserve">Consequent</w:t>
            </w:r>
          </w:p>
        </w:tc>
        <w:tc>
          <w:tcPr>
            <w:tcW w:type="dxa" w:w="1805"/>
            <w:tcMar>
              <w:top w:type="dxa" w:w="40"/>
              <w:left w:type="dxa" w:w="80"/>
              <w:bottom w:type="dxa" w:w="40"/>
              <w:right w:type="dxa" w:w="80"/>
            </w:tcMar>
          </w:tcPr>
          <w:p>
            <w:r>
              <w:rPr>
                <w:b/>
                <w:bCs/>
                <w:sz w:val="18"/>
                <w:szCs w:val="18"/>
              </w:rPr>
              <w:t xml:space="preserve">Support</w:t>
            </w:r>
          </w:p>
        </w:tc>
        <w:tc>
          <w:tcPr>
            <w:tcW w:type="dxa" w:w="1805"/>
            <w:tcMar>
              <w:top w:type="dxa" w:w="40"/>
              <w:left w:type="dxa" w:w="80"/>
              <w:bottom w:type="dxa" w:w="40"/>
              <w:right w:type="dxa" w:w="80"/>
            </w:tcMar>
          </w:tcPr>
          <w:p>
            <w:r>
              <w:rPr>
                <w:b/>
                <w:bCs/>
                <w:sz w:val="18"/>
                <w:szCs w:val="18"/>
              </w:rPr>
              <w:t xml:space="preserve">Confidence</w:t>
            </w:r>
          </w:p>
        </w:tc>
        <w:tc>
          <w:tcPr>
            <w:tcW w:type="dxa" w:w="1806"/>
            <w:tcMar>
              <w:top w:type="dxa" w:w="40"/>
              <w:left w:type="dxa" w:w="80"/>
              <w:bottom w:type="dxa" w:w="40"/>
              <w:right w:type="dxa" w:w="80"/>
            </w:tcMar>
          </w:tcPr>
          <w:p>
            <w:r>
              <w:rPr>
                <w:b/>
                <w:bCs/>
                <w:sz w:val="18"/>
                <w:szCs w:val="18"/>
              </w:rPr>
              <w:t xml:space="preserve">Lift</w:t>
            </w:r>
          </w:p>
        </w:tc>
      </w:tr>
      <w:tr>
        <w:tc>
          <w:tcPr>
            <w:tcW w:type="dxa" w:w="1805"/>
            <w:tcMar>
              <w:top w:type="dxa" w:w="40"/>
              <w:left w:type="dxa" w:w="80"/>
              <w:bottom w:type="dxa" w:w="40"/>
              <w:right w:type="dxa" w:w="80"/>
            </w:tcMar>
          </w:tcPr>
          <w:p>
            <w:r>
              <w:rPr>
                <w:sz w:val="18"/>
                <w:szCs w:val="18"/>
              </w:rPr>
              <w:t xml:space="preserve">CC_Utilization_Category=Moderate, Loan Status=Approved, Loan_Size=Large, Resolution Status=Pending</w:t>
            </w:r>
          </w:p>
        </w:tc>
        <w:tc>
          <w:tcPr>
            <w:tcW w:type="dxa" w:w="1805"/>
            <w:tcMar>
              <w:top w:type="dxa" w:w="40"/>
              <w:left w:type="dxa" w:w="80"/>
              <w:bottom w:type="dxa" w:w="40"/>
              <w:right w:type="dxa" w:w="80"/>
            </w:tcMar>
          </w:tcPr>
          <w:p>
            <w:r>
              <w:rPr>
                <w:sz w:val="18"/>
                <w:szCs w:val="18"/>
              </w:rPr>
              <w:t xml:space="preserve">Transaction Type=Deposit</w:t>
            </w:r>
          </w:p>
        </w:tc>
        <w:tc>
          <w:tcPr>
            <w:tcW w:type="dxa" w:w="1805"/>
            <w:tcMar>
              <w:top w:type="dxa" w:w="40"/>
              <w:left w:type="dxa" w:w="80"/>
              <w:bottom w:type="dxa" w:w="40"/>
              <w:right w:type="dxa" w:w="80"/>
            </w:tcMar>
          </w:tcPr>
          <w:p>
            <w:r>
              <w:rPr>
                <w:sz w:val="18"/>
                <w:szCs w:val="18"/>
              </w:rPr>
              <w:t xml:space="preserve">0,0114</w:t>
            </w:r>
          </w:p>
        </w:tc>
        <w:tc>
          <w:tcPr>
            <w:tcW w:type="dxa" w:w="1805"/>
            <w:tcMar>
              <w:top w:type="dxa" w:w="40"/>
              <w:left w:type="dxa" w:w="80"/>
              <w:bottom w:type="dxa" w:w="40"/>
              <w:right w:type="dxa" w:w="80"/>
            </w:tcMar>
          </w:tcPr>
          <w:p>
            <w:r>
              <w:rPr>
                <w:sz w:val="18"/>
                <w:szCs w:val="18"/>
              </w:rPr>
              <w:t xml:space="preserve">0,564</w:t>
            </w:r>
          </w:p>
        </w:tc>
        <w:tc>
          <w:tcPr>
            <w:tcW w:type="dxa" w:w="1806"/>
            <w:tcMar>
              <w:top w:type="dxa" w:w="40"/>
              <w:left w:type="dxa" w:w="80"/>
              <w:bottom w:type="dxa" w:w="40"/>
              <w:right w:type="dxa" w:w="80"/>
            </w:tcMar>
          </w:tcPr>
          <w:p>
            <w:r>
              <w:rPr>
                <w:sz w:val="18"/>
                <w:szCs w:val="18"/>
              </w:rPr>
              <w:t xml:space="preserve">1,662</w:t>
            </w:r>
          </w:p>
        </w:tc>
      </w:tr>
      <w:tr>
        <w:tc>
          <w:tcPr>
            <w:tcW w:type="dxa" w:w="1805"/>
            <w:tcMar>
              <w:top w:type="dxa" w:w="40"/>
              <w:left w:type="dxa" w:w="80"/>
              <w:bottom w:type="dxa" w:w="40"/>
              <w:right w:type="dxa" w:w="80"/>
            </w:tcMar>
          </w:tcPr>
          <w:p>
            <w:r>
              <w:rPr>
                <w:sz w:val="18"/>
                <w:szCs w:val="18"/>
              </w:rPr>
              <w:t xml:space="preserve">Card Type=AMEX, Feedback Type=Complaint, Loan Type=Mortgage, Resolution Status=Pending</w:t>
            </w:r>
          </w:p>
        </w:tc>
        <w:tc>
          <w:tcPr>
            <w:tcW w:type="dxa" w:w="1805"/>
            <w:tcMar>
              <w:top w:type="dxa" w:w="40"/>
              <w:left w:type="dxa" w:w="80"/>
              <w:bottom w:type="dxa" w:w="40"/>
              <w:right w:type="dxa" w:w="80"/>
            </w:tcMar>
          </w:tcPr>
          <w:p>
            <w:r>
              <w:rPr>
                <w:sz w:val="18"/>
                <w:szCs w:val="18"/>
              </w:rPr>
              <w:t xml:space="preserve">Transaction Type=Deposit</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0,549</w:t>
            </w:r>
          </w:p>
        </w:tc>
        <w:tc>
          <w:tcPr>
            <w:tcW w:type="dxa" w:w="1806"/>
            <w:tcMar>
              <w:top w:type="dxa" w:w="40"/>
              <w:left w:type="dxa" w:w="80"/>
              <w:bottom w:type="dxa" w:w="40"/>
              <w:right w:type="dxa" w:w="80"/>
            </w:tcMar>
          </w:tcPr>
          <w:p>
            <w:r>
              <w:rPr>
                <w:sz w:val="18"/>
                <w:szCs w:val="18"/>
              </w:rPr>
              <w:t xml:space="preserve">1,618</w:t>
            </w:r>
          </w:p>
        </w:tc>
      </w:tr>
      <w:tr>
        <w:tc>
          <w:tcPr>
            <w:tcW w:type="dxa" w:w="1805"/>
            <w:tcMar>
              <w:top w:type="dxa" w:w="40"/>
              <w:left w:type="dxa" w:w="80"/>
              <w:bottom w:type="dxa" w:w="40"/>
              <w:right w:type="dxa" w:w="80"/>
            </w:tcMar>
          </w:tcPr>
          <w:p>
            <w:r>
              <w:rPr>
                <w:sz w:val="18"/>
                <w:szCs w:val="18"/>
              </w:rPr>
              <w:t xml:space="preserve">Account Type=Current, Feedback Type=Praise, Loan Type=Personal, Transaction Type=Transfer</w:t>
            </w:r>
          </w:p>
        </w:tc>
        <w:tc>
          <w:tcPr>
            <w:tcW w:type="dxa" w:w="1805"/>
            <w:tcMar>
              <w:top w:type="dxa" w:w="40"/>
              <w:left w:type="dxa" w:w="80"/>
              <w:bottom w:type="dxa" w:w="40"/>
              <w:right w:type="dxa" w:w="80"/>
            </w:tcMar>
          </w:tcPr>
          <w:p>
            <w:r>
              <w:rPr>
                <w:sz w:val="18"/>
                <w:szCs w:val="18"/>
              </w:rPr>
              <w:t xml:space="preserve">Rate_Category=High</w:t>
            </w:r>
          </w:p>
        </w:tc>
        <w:tc>
          <w:tcPr>
            <w:tcW w:type="dxa" w:w="1805"/>
            <w:tcMar>
              <w:top w:type="dxa" w:w="40"/>
              <w:left w:type="dxa" w:w="80"/>
              <w:bottom w:type="dxa" w:w="40"/>
              <w:right w:type="dxa" w:w="80"/>
            </w:tcMar>
          </w:tcPr>
          <w:p>
            <w:r>
              <w:rPr>
                <w:sz w:val="18"/>
                <w:szCs w:val="18"/>
              </w:rPr>
              <w:t xml:space="preserve">0,0104</w:t>
            </w:r>
          </w:p>
        </w:tc>
        <w:tc>
          <w:tcPr>
            <w:tcW w:type="dxa" w:w="1805"/>
            <w:tcMar>
              <w:top w:type="dxa" w:w="40"/>
              <w:left w:type="dxa" w:w="80"/>
              <w:bottom w:type="dxa" w:w="40"/>
              <w:right w:type="dxa" w:w="80"/>
            </w:tcMar>
          </w:tcPr>
          <w:p>
            <w:r>
              <w:rPr>
                <w:sz w:val="18"/>
                <w:szCs w:val="18"/>
              </w:rPr>
              <w:t xml:space="preserve">0,547</w:t>
            </w:r>
          </w:p>
        </w:tc>
        <w:tc>
          <w:tcPr>
            <w:tcW w:type="dxa" w:w="1806"/>
            <w:tcMar>
              <w:top w:type="dxa" w:w="40"/>
              <w:left w:type="dxa" w:w="80"/>
              <w:bottom w:type="dxa" w:w="40"/>
              <w:right w:type="dxa" w:w="80"/>
            </w:tcMar>
          </w:tcPr>
          <w:p>
            <w:r>
              <w:rPr>
                <w:sz w:val="18"/>
                <w:szCs w:val="18"/>
              </w:rPr>
              <w:t xml:space="preserve">1,617</w:t>
            </w:r>
          </w:p>
        </w:tc>
      </w:tr>
      <w:tr>
        <w:tc>
          <w:tcPr>
            <w:tcW w:type="dxa" w:w="1805"/>
            <w:tcMar>
              <w:top w:type="dxa" w:w="40"/>
              <w:left w:type="dxa" w:w="80"/>
              <w:bottom w:type="dxa" w:w="40"/>
              <w:right w:type="dxa" w:w="80"/>
            </w:tcMar>
          </w:tcPr>
          <w:p>
            <w:r>
              <w:rPr>
                <w:sz w:val="18"/>
                <w:szCs w:val="18"/>
              </w:rPr>
              <w:t xml:space="preserve">Card Type=AMEX, Gender=Male, Loan_Size=Very Large, Resolution Status=Pending</w:t>
            </w:r>
          </w:p>
        </w:tc>
        <w:tc>
          <w:tcPr>
            <w:tcW w:type="dxa" w:w="1805"/>
            <w:tcMar>
              <w:top w:type="dxa" w:w="40"/>
              <w:left w:type="dxa" w:w="80"/>
              <w:bottom w:type="dxa" w:w="40"/>
              <w:right w:type="dxa" w:w="80"/>
            </w:tcMar>
          </w:tcPr>
          <w:p>
            <w:r>
              <w:rPr>
                <w:sz w:val="18"/>
                <w:szCs w:val="18"/>
              </w:rPr>
              <w:t xml:space="preserve">Rate_Category=Moderate</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0,526</w:t>
            </w:r>
          </w:p>
        </w:tc>
        <w:tc>
          <w:tcPr>
            <w:tcW w:type="dxa" w:w="1806"/>
            <w:tcMar>
              <w:top w:type="dxa" w:w="40"/>
              <w:left w:type="dxa" w:w="80"/>
              <w:bottom w:type="dxa" w:w="40"/>
              <w:right w:type="dxa" w:w="80"/>
            </w:tcMar>
          </w:tcPr>
          <w:p>
            <w:r>
              <w:rPr>
                <w:sz w:val="18"/>
                <w:szCs w:val="18"/>
              </w:rPr>
              <w:t xml:space="preserve">1,617</w:t>
            </w:r>
          </w:p>
        </w:tc>
      </w:tr>
      <w:tr>
        <w:tc>
          <w:tcPr>
            <w:tcW w:type="dxa" w:w="1805"/>
            <w:tcMar>
              <w:top w:type="dxa" w:w="40"/>
              <w:left w:type="dxa" w:w="80"/>
              <w:bottom w:type="dxa" w:w="40"/>
              <w:right w:type="dxa" w:w="80"/>
            </w:tcMar>
          </w:tcPr>
          <w:p>
            <w:r>
              <w:rPr>
                <w:sz w:val="18"/>
                <w:szCs w:val="18"/>
              </w:rPr>
              <w:t xml:space="preserve">Account Type=Savings, Balance_Bucket=Mass-Market, Card Type=Visa, Loan Status=Approved</w:t>
            </w:r>
          </w:p>
        </w:tc>
        <w:tc>
          <w:tcPr>
            <w:tcW w:type="dxa" w:w="1805"/>
            <w:tcMar>
              <w:top w:type="dxa" w:w="40"/>
              <w:left w:type="dxa" w:w="80"/>
              <w:bottom w:type="dxa" w:w="40"/>
              <w:right w:type="dxa" w:w="80"/>
            </w:tcMar>
          </w:tcPr>
          <w:p>
            <w:r>
              <w:rPr>
                <w:sz w:val="18"/>
                <w:szCs w:val="18"/>
              </w:rPr>
              <w:t xml:space="preserve">Rate_Category=High</w:t>
            </w:r>
          </w:p>
        </w:tc>
        <w:tc>
          <w:tcPr>
            <w:tcW w:type="dxa" w:w="1805"/>
            <w:tcMar>
              <w:top w:type="dxa" w:w="40"/>
              <w:left w:type="dxa" w:w="80"/>
              <w:bottom w:type="dxa" w:w="40"/>
              <w:right w:type="dxa" w:w="80"/>
            </w:tcMar>
          </w:tcPr>
          <w:p>
            <w:r>
              <w:rPr>
                <w:sz w:val="18"/>
                <w:szCs w:val="18"/>
              </w:rPr>
              <w:t xml:space="preserve">0,011</w:t>
            </w:r>
          </w:p>
        </w:tc>
        <w:tc>
          <w:tcPr>
            <w:tcW w:type="dxa" w:w="1805"/>
            <w:tcMar>
              <w:top w:type="dxa" w:w="40"/>
              <w:left w:type="dxa" w:w="80"/>
              <w:bottom w:type="dxa" w:w="40"/>
              <w:right w:type="dxa" w:w="80"/>
            </w:tcMar>
          </w:tcPr>
          <w:p>
            <w:r>
              <w:rPr>
                <w:sz w:val="18"/>
                <w:szCs w:val="18"/>
              </w:rPr>
              <w:t xml:space="preserve">0,539</w:t>
            </w:r>
          </w:p>
        </w:tc>
        <w:tc>
          <w:tcPr>
            <w:tcW w:type="dxa" w:w="1806"/>
            <w:tcMar>
              <w:top w:type="dxa" w:w="40"/>
              <w:left w:type="dxa" w:w="80"/>
              <w:bottom w:type="dxa" w:w="40"/>
              <w:right w:type="dxa" w:w="80"/>
            </w:tcMar>
          </w:tcPr>
          <w:p>
            <w:r>
              <w:rPr>
                <w:sz w:val="18"/>
                <w:szCs w:val="18"/>
              </w:rPr>
              <w:t xml:space="preserve">1,593</w:t>
            </w:r>
          </w:p>
        </w:tc>
      </w:tr>
      <w:tr>
        <w:tc>
          <w:tcPr>
            <w:tcW w:type="dxa" w:w="1805"/>
            <w:tcMar>
              <w:top w:type="dxa" w:w="40"/>
              <w:left w:type="dxa" w:w="80"/>
              <w:bottom w:type="dxa" w:w="40"/>
              <w:right w:type="dxa" w:w="80"/>
            </w:tcMar>
          </w:tcPr>
          <w:p>
            <w:r>
              <w:rPr>
                <w:sz w:val="18"/>
                <w:szCs w:val="18"/>
              </w:rPr>
              <w:t xml:space="preserve">Age_Group=Early Career, CC_Utilization_Category=Moderate, Loan_Size=Medium</w:t>
            </w:r>
          </w:p>
        </w:tc>
        <w:tc>
          <w:tcPr>
            <w:tcW w:type="dxa" w:w="1805"/>
            <w:tcMar>
              <w:top w:type="dxa" w:w="40"/>
              <w:left w:type="dxa" w:w="80"/>
              <w:bottom w:type="dxa" w:w="40"/>
              <w:right w:type="dxa" w:w="80"/>
            </w:tcMar>
          </w:tcPr>
          <w:p>
            <w:r>
              <w:rPr>
                <w:sz w:val="18"/>
                <w:szCs w:val="18"/>
              </w:rPr>
              <w:t xml:space="preserve">Transaction Type=Transfer</w:t>
            </w:r>
          </w:p>
        </w:tc>
        <w:tc>
          <w:tcPr>
            <w:tcW w:type="dxa" w:w="1805"/>
            <w:tcMar>
              <w:top w:type="dxa" w:w="40"/>
              <w:left w:type="dxa" w:w="80"/>
              <w:bottom w:type="dxa" w:w="40"/>
              <w:right w:type="dxa" w:w="80"/>
            </w:tcMar>
          </w:tcPr>
          <w:p>
            <w:r>
              <w:rPr>
                <w:sz w:val="18"/>
                <w:szCs w:val="18"/>
              </w:rPr>
              <w:t xml:space="preserve">0,0114</w:t>
            </w:r>
          </w:p>
        </w:tc>
        <w:tc>
          <w:tcPr>
            <w:tcW w:type="dxa" w:w="1805"/>
            <w:tcMar>
              <w:top w:type="dxa" w:w="40"/>
              <w:left w:type="dxa" w:w="80"/>
              <w:bottom w:type="dxa" w:w="40"/>
              <w:right w:type="dxa" w:w="80"/>
            </w:tcMar>
          </w:tcPr>
          <w:p>
            <w:r>
              <w:rPr>
                <w:sz w:val="18"/>
                <w:szCs w:val="18"/>
              </w:rPr>
              <w:t xml:space="preserve">0,513</w:t>
            </w:r>
          </w:p>
        </w:tc>
        <w:tc>
          <w:tcPr>
            <w:tcW w:type="dxa" w:w="1806"/>
            <w:tcMar>
              <w:top w:type="dxa" w:w="40"/>
              <w:left w:type="dxa" w:w="80"/>
              <w:bottom w:type="dxa" w:w="40"/>
              <w:right w:type="dxa" w:w="80"/>
            </w:tcMar>
          </w:tcPr>
          <w:p>
            <w:r>
              <w:rPr>
                <w:sz w:val="18"/>
                <w:szCs w:val="18"/>
              </w:rPr>
              <w:t xml:space="preserve">1,576</w:t>
            </w:r>
          </w:p>
        </w:tc>
      </w:tr>
      <w:tr>
        <w:tc>
          <w:tcPr>
            <w:tcW w:type="dxa" w:w="1805"/>
            <w:tcMar>
              <w:top w:type="dxa" w:w="40"/>
              <w:left w:type="dxa" w:w="80"/>
              <w:bottom w:type="dxa" w:w="40"/>
              <w:right w:type="dxa" w:w="80"/>
            </w:tcMar>
          </w:tcPr>
          <w:p>
            <w:r>
              <w:rPr>
                <w:sz w:val="18"/>
                <w:szCs w:val="18"/>
              </w:rPr>
              <w:t xml:space="preserve">Account Type=Current, Balance_Bucket=Mass-Market, Feedback Type=Praise, Loan Type=Personal</w:t>
            </w:r>
          </w:p>
        </w:tc>
        <w:tc>
          <w:tcPr>
            <w:tcW w:type="dxa" w:w="1805"/>
            <w:tcMar>
              <w:top w:type="dxa" w:w="40"/>
              <w:left w:type="dxa" w:w="80"/>
              <w:bottom w:type="dxa" w:w="40"/>
              <w:right w:type="dxa" w:w="80"/>
            </w:tcMar>
          </w:tcPr>
          <w:p>
            <w:r>
              <w:rPr>
                <w:sz w:val="18"/>
                <w:szCs w:val="18"/>
              </w:rPr>
              <w:t xml:space="preserve">Rate_Category=High</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0,532</w:t>
            </w:r>
          </w:p>
        </w:tc>
        <w:tc>
          <w:tcPr>
            <w:tcW w:type="dxa" w:w="1806"/>
            <w:tcMar>
              <w:top w:type="dxa" w:w="40"/>
              <w:left w:type="dxa" w:w="80"/>
              <w:bottom w:type="dxa" w:w="40"/>
              <w:right w:type="dxa" w:w="80"/>
            </w:tcMar>
          </w:tcPr>
          <w:p>
            <w:r>
              <w:rPr>
                <w:sz w:val="18"/>
                <w:szCs w:val="18"/>
              </w:rPr>
              <w:t xml:space="preserve">1,572</w:t>
            </w:r>
          </w:p>
        </w:tc>
      </w:tr>
      <w:tr>
        <w:tc>
          <w:tcPr>
            <w:tcW w:type="dxa" w:w="1805"/>
            <w:tcMar>
              <w:top w:type="dxa" w:w="40"/>
              <w:left w:type="dxa" w:w="80"/>
              <w:bottom w:type="dxa" w:w="40"/>
              <w:right w:type="dxa" w:w="80"/>
            </w:tcMar>
          </w:tcPr>
          <w:p>
            <w:r>
              <w:rPr>
                <w:sz w:val="18"/>
                <w:szCs w:val="18"/>
              </w:rPr>
              <w:t xml:space="preserve">Account Type=Current, Gender=Female, Rate_Category=High, Transaction Type=Withdrawal</w:t>
            </w:r>
          </w:p>
        </w:tc>
        <w:tc>
          <w:tcPr>
            <w:tcW w:type="dxa" w:w="1805"/>
            <w:tcMar>
              <w:top w:type="dxa" w:w="40"/>
              <w:left w:type="dxa" w:w="80"/>
              <w:bottom w:type="dxa" w:w="40"/>
              <w:right w:type="dxa" w:w="80"/>
            </w:tcMar>
          </w:tcPr>
          <w:p>
            <w:r>
              <w:rPr>
                <w:sz w:val="18"/>
                <w:szCs w:val="18"/>
              </w:rPr>
              <w:t xml:space="preserve">Card Type=MasterCard</w:t>
            </w:r>
          </w:p>
        </w:tc>
        <w:tc>
          <w:tcPr>
            <w:tcW w:type="dxa" w:w="1805"/>
            <w:tcMar>
              <w:top w:type="dxa" w:w="40"/>
              <w:left w:type="dxa" w:w="80"/>
              <w:bottom w:type="dxa" w:w="40"/>
              <w:right w:type="dxa" w:w="80"/>
            </w:tcMar>
          </w:tcPr>
          <w:p>
            <w:r>
              <w:rPr>
                <w:sz w:val="18"/>
                <w:szCs w:val="18"/>
              </w:rPr>
              <w:t xml:space="preserve">0,0116</w:t>
            </w:r>
          </w:p>
        </w:tc>
        <w:tc>
          <w:tcPr>
            <w:tcW w:type="dxa" w:w="1805"/>
            <w:tcMar>
              <w:top w:type="dxa" w:w="40"/>
              <w:left w:type="dxa" w:w="80"/>
              <w:bottom w:type="dxa" w:w="40"/>
              <w:right w:type="dxa" w:w="80"/>
            </w:tcMar>
          </w:tcPr>
          <w:p>
            <w:r>
              <w:rPr>
                <w:sz w:val="18"/>
                <w:szCs w:val="18"/>
              </w:rPr>
              <w:t xml:space="preserve">0,532</w:t>
            </w:r>
          </w:p>
        </w:tc>
        <w:tc>
          <w:tcPr>
            <w:tcW w:type="dxa" w:w="1806"/>
            <w:tcMar>
              <w:top w:type="dxa" w:w="40"/>
              <w:left w:type="dxa" w:w="80"/>
              <w:bottom w:type="dxa" w:w="40"/>
              <w:right w:type="dxa" w:w="80"/>
            </w:tcMar>
          </w:tcPr>
          <w:p>
            <w:r>
              <w:rPr>
                <w:sz w:val="18"/>
                <w:szCs w:val="18"/>
              </w:rPr>
              <w:t xml:space="preserve">1,569</w:t>
            </w:r>
          </w:p>
        </w:tc>
      </w:tr>
      <w:tr>
        <w:tc>
          <w:tcPr>
            <w:tcW w:type="dxa" w:w="1805"/>
            <w:tcMar>
              <w:top w:type="dxa" w:w="40"/>
              <w:left w:type="dxa" w:w="80"/>
              <w:bottom w:type="dxa" w:w="40"/>
              <w:right w:type="dxa" w:w="80"/>
            </w:tcMar>
          </w:tcPr>
          <w:p>
            <w:r>
              <w:rPr>
                <w:sz w:val="18"/>
                <w:szCs w:val="18"/>
              </w:rPr>
              <w:t xml:space="preserve">Age_Group=Pre-Retirement, CC_Utilization_Category=Low, Gender=Other, Resolution Status=Resolved</w:t>
            </w:r>
          </w:p>
        </w:tc>
        <w:tc>
          <w:tcPr>
            <w:tcW w:type="dxa" w:w="1805"/>
            <w:tcMar>
              <w:top w:type="dxa" w:w="40"/>
              <w:left w:type="dxa" w:w="80"/>
              <w:bottom w:type="dxa" w:w="40"/>
              <w:right w:type="dxa" w:w="80"/>
            </w:tcMar>
          </w:tcPr>
          <w:p>
            <w:r>
              <w:rPr>
                <w:sz w:val="18"/>
                <w:szCs w:val="18"/>
              </w:rPr>
              <w:t xml:space="preserve">Transaction_Size=Very Large</w:t>
            </w:r>
          </w:p>
        </w:tc>
        <w:tc>
          <w:tcPr>
            <w:tcW w:type="dxa" w:w="1805"/>
            <w:tcMar>
              <w:top w:type="dxa" w:w="40"/>
              <w:left w:type="dxa" w:w="80"/>
              <w:bottom w:type="dxa" w:w="40"/>
              <w:right w:type="dxa" w:w="80"/>
            </w:tcMar>
          </w:tcPr>
          <w:p>
            <w:r>
              <w:rPr>
                <w:sz w:val="18"/>
                <w:szCs w:val="18"/>
              </w:rPr>
              <w:t xml:space="preserve">0,0104</w:t>
            </w:r>
          </w:p>
        </w:tc>
        <w:tc>
          <w:tcPr>
            <w:tcW w:type="dxa" w:w="1805"/>
            <w:tcMar>
              <w:top w:type="dxa" w:w="40"/>
              <w:left w:type="dxa" w:w="80"/>
              <w:bottom w:type="dxa" w:w="40"/>
              <w:right w:type="dxa" w:w="80"/>
            </w:tcMar>
          </w:tcPr>
          <w:p>
            <w:r>
              <w:rPr>
                <w:sz w:val="18"/>
                <w:szCs w:val="18"/>
              </w:rPr>
              <w:t xml:space="preserve">0,619</w:t>
            </w:r>
          </w:p>
        </w:tc>
        <w:tc>
          <w:tcPr>
            <w:tcW w:type="dxa" w:w="1806"/>
            <w:tcMar>
              <w:top w:type="dxa" w:w="40"/>
              <w:left w:type="dxa" w:w="80"/>
              <w:bottom w:type="dxa" w:w="40"/>
              <w:right w:type="dxa" w:w="80"/>
            </w:tcMar>
          </w:tcPr>
          <w:p>
            <w:r>
              <w:rPr>
                <w:sz w:val="18"/>
                <w:szCs w:val="18"/>
              </w:rPr>
              <w:t xml:space="preserve">1,563</w:t>
            </w:r>
          </w:p>
        </w:tc>
      </w:tr>
      <w:tr>
        <w:tc>
          <w:tcPr>
            <w:tcW w:type="dxa" w:w="1805"/>
            <w:tcMar>
              <w:top w:type="dxa" w:w="40"/>
              <w:left w:type="dxa" w:w="80"/>
              <w:bottom w:type="dxa" w:w="40"/>
              <w:right w:type="dxa" w:w="80"/>
            </w:tcMar>
          </w:tcPr>
          <w:p>
            <w:r>
              <w:rPr>
                <w:sz w:val="18"/>
                <w:szCs w:val="18"/>
              </w:rPr>
              <w:t xml:space="preserve">CC_Utilization_Category=Low, Loan Status=Closed, Resolution Status=Resolved, Transaction Type=Transfer</w:t>
            </w:r>
          </w:p>
        </w:tc>
        <w:tc>
          <w:tcPr>
            <w:tcW w:type="dxa" w:w="1805"/>
            <w:tcMar>
              <w:top w:type="dxa" w:w="40"/>
              <w:left w:type="dxa" w:w="80"/>
              <w:bottom w:type="dxa" w:w="40"/>
              <w:right w:type="dxa" w:w="80"/>
            </w:tcMar>
          </w:tcPr>
          <w:p>
            <w:r>
              <w:rPr>
                <w:sz w:val="18"/>
                <w:szCs w:val="18"/>
              </w:rPr>
              <w:t xml:space="preserve">Loan Type=Mortgage</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0,532</w:t>
            </w:r>
          </w:p>
        </w:tc>
        <w:tc>
          <w:tcPr>
            <w:tcW w:type="dxa" w:w="1806"/>
            <w:tcMar>
              <w:top w:type="dxa" w:w="40"/>
              <w:left w:type="dxa" w:w="80"/>
              <w:bottom w:type="dxa" w:w="40"/>
              <w:right w:type="dxa" w:w="80"/>
            </w:tcMar>
          </w:tcPr>
          <w:p>
            <w:r>
              <w:rPr>
                <w:sz w:val="18"/>
                <w:szCs w:val="18"/>
              </w:rPr>
              <w:t xml:space="preserve">1,554</w:t>
            </w:r>
          </w:p>
        </w:tc>
      </w:tr>
      <w:tr>
        <w:tc>
          <w:tcPr>
            <w:tcW w:type="dxa" w:w="1805"/>
            <w:tcMar>
              <w:top w:type="dxa" w:w="40"/>
              <w:left w:type="dxa" w:w="80"/>
              <w:bottom w:type="dxa" w:w="40"/>
              <w:right w:type="dxa" w:w="80"/>
            </w:tcMar>
          </w:tcPr>
          <w:p>
            <w:r>
              <w:rPr>
                <w:sz w:val="18"/>
                <w:szCs w:val="18"/>
              </w:rPr>
              <w:t xml:space="preserve">Account Type=Current, Gender=Female, Loan_Size=Medium, Transaction_Size=Large</w:t>
            </w:r>
          </w:p>
        </w:tc>
        <w:tc>
          <w:tcPr>
            <w:tcW w:type="dxa" w:w="1805"/>
            <w:tcMar>
              <w:top w:type="dxa" w:w="40"/>
              <w:left w:type="dxa" w:w="80"/>
              <w:bottom w:type="dxa" w:w="40"/>
              <w:right w:type="dxa" w:w="80"/>
            </w:tcMar>
          </w:tcPr>
          <w:p>
            <w:r>
              <w:rPr>
                <w:sz w:val="18"/>
                <w:szCs w:val="18"/>
              </w:rPr>
              <w:t xml:space="preserve">Loan Status=Approved</w:t>
            </w:r>
          </w:p>
        </w:tc>
        <w:tc>
          <w:tcPr>
            <w:tcW w:type="dxa" w:w="1805"/>
            <w:tcMar>
              <w:top w:type="dxa" w:w="40"/>
              <w:left w:type="dxa" w:w="80"/>
              <w:bottom w:type="dxa" w:w="40"/>
              <w:right w:type="dxa" w:w="80"/>
            </w:tcMar>
          </w:tcPr>
          <w:p>
            <w:r>
              <w:rPr>
                <w:sz w:val="18"/>
                <w:szCs w:val="18"/>
              </w:rPr>
              <w:t xml:space="preserve">0,011</w:t>
            </w:r>
          </w:p>
        </w:tc>
        <w:tc>
          <w:tcPr>
            <w:tcW w:type="dxa" w:w="1805"/>
            <w:tcMar>
              <w:top w:type="dxa" w:w="40"/>
              <w:left w:type="dxa" w:w="80"/>
              <w:bottom w:type="dxa" w:w="40"/>
              <w:right w:type="dxa" w:w="80"/>
            </w:tcMar>
          </w:tcPr>
          <w:p>
            <w:r>
              <w:rPr>
                <w:sz w:val="18"/>
                <w:szCs w:val="18"/>
              </w:rPr>
              <w:t xml:space="preserve">0,529</w:t>
            </w:r>
          </w:p>
        </w:tc>
        <w:tc>
          <w:tcPr>
            <w:tcW w:type="dxa" w:w="1806"/>
            <w:tcMar>
              <w:top w:type="dxa" w:w="40"/>
              <w:left w:type="dxa" w:w="80"/>
              <w:bottom w:type="dxa" w:w="40"/>
              <w:right w:type="dxa" w:w="80"/>
            </w:tcMar>
          </w:tcPr>
          <w:p>
            <w:r>
              <w:rPr>
                <w:sz w:val="18"/>
                <w:szCs w:val="18"/>
              </w:rPr>
              <w:t xml:space="preserve">1,546</w:t>
            </w:r>
          </w:p>
        </w:tc>
      </w:tr>
      <w:tr>
        <w:tc>
          <w:tcPr>
            <w:tcW w:type="dxa" w:w="1805"/>
            <w:tcMar>
              <w:top w:type="dxa" w:w="40"/>
              <w:left w:type="dxa" w:w="80"/>
              <w:bottom w:type="dxa" w:w="40"/>
              <w:right w:type="dxa" w:w="80"/>
            </w:tcMar>
          </w:tcPr>
          <w:p>
            <w:r>
              <w:rPr>
                <w:sz w:val="18"/>
                <w:szCs w:val="18"/>
              </w:rPr>
              <w:t xml:space="preserve">Account Type=Savings, Balance_Bucket=Mass-Market, Loan Status=Approved, Rate_Category=High</w:t>
            </w:r>
          </w:p>
        </w:tc>
        <w:tc>
          <w:tcPr>
            <w:tcW w:type="dxa" w:w="1805"/>
            <w:tcMar>
              <w:top w:type="dxa" w:w="40"/>
              <w:left w:type="dxa" w:w="80"/>
              <w:bottom w:type="dxa" w:w="40"/>
              <w:right w:type="dxa" w:w="80"/>
            </w:tcMar>
          </w:tcPr>
          <w:p>
            <w:r>
              <w:rPr>
                <w:sz w:val="18"/>
                <w:szCs w:val="18"/>
              </w:rPr>
              <w:t xml:space="preserve">Card Type=Visa</w:t>
            </w:r>
          </w:p>
        </w:tc>
        <w:tc>
          <w:tcPr>
            <w:tcW w:type="dxa" w:w="1805"/>
            <w:tcMar>
              <w:top w:type="dxa" w:w="40"/>
              <w:left w:type="dxa" w:w="80"/>
              <w:bottom w:type="dxa" w:w="40"/>
              <w:right w:type="dxa" w:w="80"/>
            </w:tcMar>
          </w:tcPr>
          <w:p>
            <w:r>
              <w:rPr>
                <w:sz w:val="18"/>
                <w:szCs w:val="18"/>
              </w:rPr>
              <w:t xml:space="preserve">0,011</w:t>
            </w:r>
          </w:p>
        </w:tc>
        <w:tc>
          <w:tcPr>
            <w:tcW w:type="dxa" w:w="1805"/>
            <w:tcMar>
              <w:top w:type="dxa" w:w="40"/>
              <w:left w:type="dxa" w:w="80"/>
              <w:bottom w:type="dxa" w:w="40"/>
              <w:right w:type="dxa" w:w="80"/>
            </w:tcMar>
          </w:tcPr>
          <w:p>
            <w:r>
              <w:rPr>
                <w:sz w:val="18"/>
                <w:szCs w:val="18"/>
              </w:rPr>
              <w:t xml:space="preserve">0,5</w:t>
            </w:r>
          </w:p>
        </w:tc>
        <w:tc>
          <w:tcPr>
            <w:tcW w:type="dxa" w:w="1806"/>
            <w:tcMar>
              <w:top w:type="dxa" w:w="40"/>
              <w:left w:type="dxa" w:w="80"/>
              <w:bottom w:type="dxa" w:w="40"/>
              <w:right w:type="dxa" w:w="80"/>
            </w:tcMar>
          </w:tcPr>
          <w:p>
            <w:r>
              <w:rPr>
                <w:sz w:val="18"/>
                <w:szCs w:val="18"/>
              </w:rPr>
              <w:t xml:space="preserve">1,538</w:t>
            </w:r>
          </w:p>
        </w:tc>
      </w:tr>
      <w:tr>
        <w:tc>
          <w:tcPr>
            <w:tcW w:type="dxa" w:w="1805"/>
            <w:tcMar>
              <w:top w:type="dxa" w:w="40"/>
              <w:left w:type="dxa" w:w="80"/>
              <w:bottom w:type="dxa" w:w="40"/>
              <w:right w:type="dxa" w:w="80"/>
            </w:tcMar>
          </w:tcPr>
          <w:p>
            <w:r>
              <w:rPr>
                <w:sz w:val="18"/>
                <w:szCs w:val="18"/>
              </w:rPr>
              <w:t xml:space="preserve">CC_Utilization_Category=Low, Loan Status=Approved, Rate_Category=Moderate, Resolution Status=Resolved</w:t>
            </w:r>
          </w:p>
        </w:tc>
        <w:tc>
          <w:tcPr>
            <w:tcW w:type="dxa" w:w="1805"/>
            <w:tcMar>
              <w:top w:type="dxa" w:w="40"/>
              <w:left w:type="dxa" w:w="80"/>
              <w:bottom w:type="dxa" w:w="40"/>
              <w:right w:type="dxa" w:w="80"/>
            </w:tcMar>
          </w:tcPr>
          <w:p>
            <w:r>
              <w:rPr>
                <w:sz w:val="18"/>
                <w:szCs w:val="18"/>
              </w:rPr>
              <w:t xml:space="preserve">Transaction Type=Deposit</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0,521</w:t>
            </w:r>
          </w:p>
        </w:tc>
        <w:tc>
          <w:tcPr>
            <w:tcW w:type="dxa" w:w="1806"/>
            <w:tcMar>
              <w:top w:type="dxa" w:w="40"/>
              <w:left w:type="dxa" w:w="80"/>
              <w:bottom w:type="dxa" w:w="40"/>
              <w:right w:type="dxa" w:w="80"/>
            </w:tcMar>
          </w:tcPr>
          <w:p>
            <w:r>
              <w:rPr>
                <w:sz w:val="18"/>
                <w:szCs w:val="18"/>
              </w:rPr>
              <w:t xml:space="preserve">1,534</w:t>
            </w:r>
          </w:p>
        </w:tc>
      </w:tr>
      <w:tr>
        <w:tc>
          <w:tcPr>
            <w:tcW w:type="dxa" w:w="1805"/>
            <w:tcMar>
              <w:top w:type="dxa" w:w="40"/>
              <w:left w:type="dxa" w:w="80"/>
              <w:bottom w:type="dxa" w:w="40"/>
              <w:right w:type="dxa" w:w="80"/>
            </w:tcMar>
          </w:tcPr>
          <w:p>
            <w:r>
              <w:rPr>
                <w:sz w:val="18"/>
                <w:szCs w:val="18"/>
              </w:rPr>
              <w:t xml:space="preserve">Account Type=Savings, CC_Utilization_Category=Moderate, Loan_Size=Very Large, Transaction Type=Deposit</w:t>
            </w:r>
          </w:p>
        </w:tc>
        <w:tc>
          <w:tcPr>
            <w:tcW w:type="dxa" w:w="1805"/>
            <w:tcMar>
              <w:top w:type="dxa" w:w="40"/>
              <w:left w:type="dxa" w:w="80"/>
              <w:bottom w:type="dxa" w:w="40"/>
              <w:right w:type="dxa" w:w="80"/>
            </w:tcMar>
          </w:tcPr>
          <w:p>
            <w:r>
              <w:rPr>
                <w:sz w:val="18"/>
                <w:szCs w:val="18"/>
              </w:rPr>
              <w:t xml:space="preserve">Card Type=AMEX</w:t>
            </w:r>
          </w:p>
        </w:tc>
        <w:tc>
          <w:tcPr>
            <w:tcW w:type="dxa" w:w="1805"/>
            <w:tcMar>
              <w:top w:type="dxa" w:w="40"/>
              <w:left w:type="dxa" w:w="80"/>
              <w:bottom w:type="dxa" w:w="40"/>
              <w:right w:type="dxa" w:w="80"/>
            </w:tcMar>
          </w:tcPr>
          <w:p>
            <w:r>
              <w:rPr>
                <w:sz w:val="18"/>
                <w:szCs w:val="18"/>
              </w:rPr>
              <w:t xml:space="preserve">0,0106</w:t>
            </w:r>
          </w:p>
        </w:tc>
        <w:tc>
          <w:tcPr>
            <w:tcW w:type="dxa" w:w="1805"/>
            <w:tcMar>
              <w:top w:type="dxa" w:w="40"/>
              <w:left w:type="dxa" w:w="80"/>
              <w:bottom w:type="dxa" w:w="40"/>
              <w:right w:type="dxa" w:w="80"/>
            </w:tcMar>
          </w:tcPr>
          <w:p>
            <w:r>
              <w:rPr>
                <w:sz w:val="18"/>
                <w:szCs w:val="18"/>
              </w:rPr>
              <w:t xml:space="preserve">0,515</w:t>
            </w:r>
          </w:p>
        </w:tc>
        <w:tc>
          <w:tcPr>
            <w:tcW w:type="dxa" w:w="1806"/>
            <w:tcMar>
              <w:top w:type="dxa" w:w="40"/>
              <w:left w:type="dxa" w:w="80"/>
              <w:bottom w:type="dxa" w:w="40"/>
              <w:right w:type="dxa" w:w="80"/>
            </w:tcMar>
          </w:tcPr>
          <w:p>
            <w:r>
              <w:rPr>
                <w:sz w:val="18"/>
                <w:szCs w:val="18"/>
              </w:rPr>
              <w:t xml:space="preserve">1,532</w:t>
            </w:r>
          </w:p>
        </w:tc>
      </w:tr>
      <w:tr>
        <w:tc>
          <w:tcPr>
            <w:tcW w:type="dxa" w:w="1805"/>
            <w:tcMar>
              <w:top w:type="dxa" w:w="40"/>
              <w:left w:type="dxa" w:w="80"/>
              <w:bottom w:type="dxa" w:w="40"/>
              <w:right w:type="dxa" w:w="80"/>
            </w:tcMar>
          </w:tcPr>
          <w:p>
            <w:r>
              <w:rPr>
                <w:sz w:val="18"/>
                <w:szCs w:val="18"/>
              </w:rPr>
              <w:t xml:space="preserve">Age_Group=Pre-Retirement, Card Type=MasterCard, Resolution Status=Pending, Transaction_Size=Large</w:t>
            </w:r>
          </w:p>
        </w:tc>
        <w:tc>
          <w:tcPr>
            <w:tcW w:type="dxa" w:w="1805"/>
            <w:tcMar>
              <w:top w:type="dxa" w:w="40"/>
              <w:left w:type="dxa" w:w="80"/>
              <w:bottom w:type="dxa" w:w="40"/>
              <w:right w:type="dxa" w:w="80"/>
            </w:tcMar>
          </w:tcPr>
          <w:p>
            <w:r>
              <w:rPr>
                <w:sz w:val="18"/>
                <w:szCs w:val="18"/>
              </w:rPr>
              <w:t xml:space="preserve">Balance_Bucket=Mass-Market</w:t>
            </w:r>
          </w:p>
        </w:tc>
        <w:tc>
          <w:tcPr>
            <w:tcW w:type="dxa" w:w="1805"/>
            <w:tcMar>
              <w:top w:type="dxa" w:w="40"/>
              <w:left w:type="dxa" w:w="80"/>
              <w:bottom w:type="dxa" w:w="40"/>
              <w:right w:type="dxa" w:w="80"/>
            </w:tcMar>
          </w:tcPr>
          <w:p>
            <w:r>
              <w:rPr>
                <w:sz w:val="18"/>
                <w:szCs w:val="18"/>
              </w:rPr>
              <w:t xml:space="preserve">0,01</w:t>
            </w:r>
          </w:p>
        </w:tc>
        <w:tc>
          <w:tcPr>
            <w:tcW w:type="dxa" w:w="1805"/>
            <w:tcMar>
              <w:top w:type="dxa" w:w="40"/>
              <w:left w:type="dxa" w:w="80"/>
              <w:bottom w:type="dxa" w:w="40"/>
              <w:right w:type="dxa" w:w="80"/>
            </w:tcMar>
          </w:tcPr>
          <w:p>
            <w:r>
              <w:rPr>
                <w:sz w:val="18"/>
                <w:szCs w:val="18"/>
              </w:rPr>
              <w:t xml:space="preserve">0,526</w:t>
            </w:r>
          </w:p>
        </w:tc>
        <w:tc>
          <w:tcPr>
            <w:tcW w:type="dxa" w:w="1806"/>
            <w:tcMar>
              <w:top w:type="dxa" w:w="40"/>
              <w:left w:type="dxa" w:w="80"/>
              <w:bottom w:type="dxa" w:w="40"/>
              <w:right w:type="dxa" w:w="80"/>
            </w:tcMar>
          </w:tcPr>
          <w:p>
            <w:r>
              <w:rPr>
                <w:sz w:val="18"/>
                <w:szCs w:val="18"/>
              </w:rPr>
              <w:t xml:space="preserve">1,529</w:t>
            </w:r>
          </w:p>
        </w:tc>
      </w:tr>
    </w:tbl>
    <w:p>
      <w:pPr>
        <w:spacing w:after="120"/>
      </w:pPr>
    </w:p>
    <w:p>
      <w:pPr>
        <w:pStyle w:val="Heading2"/>
        <w:spacing w:after="100" w:before="200"/>
        <w:ind w:left="240"/>
      </w:pPr>
      <w:r>
        <w:rPr>
          <w:color w:val="000000"/>
        </w:rPr>
        <w:t xml:space="preserve">Appendix C: Anomaly Detection Results</w:t>
      </w:r>
    </w:p>
    <w:p>
      <w:pPr>
        <w:spacing w:after="120" w:line="276"/>
        <w:ind w:left="360"/>
        <w:jc w:val="both"/>
      </w:pPr>
      <w:r>
        <w:t xml:space="preserve">Contoh anomali paling meyakinkan yang ditandai ketiga metode sekaligus. Semua tergolong segmen Liquidity-Stressed dan diklasifikasikan sebagai Risk Signal karena rasio pinjaman dan transaksi terhadap saldonya ekstrem.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c>
          <w:tcPr>
            <w:tcW w:type="dxa" w:w="1805"/>
            <w:tcMar>
              <w:top w:type="dxa" w:w="40"/>
              <w:left w:type="dxa" w:w="80"/>
              <w:bottom w:type="dxa" w:w="40"/>
              <w:right w:type="dxa" w:w="80"/>
            </w:tcMar>
          </w:tcPr>
          <w:p>
            <w:r>
              <w:rPr>
                <w:b/>
                <w:bCs/>
                <w:sz w:val="18"/>
                <w:szCs w:val="18"/>
              </w:rPr>
              <w:t xml:space="preserve">Record ID</w:t>
            </w:r>
          </w:p>
        </w:tc>
        <w:tc>
          <w:tcPr>
            <w:tcW w:type="dxa" w:w="1805"/>
            <w:tcMar>
              <w:top w:type="dxa" w:w="40"/>
              <w:left w:type="dxa" w:w="80"/>
              <w:bottom w:type="dxa" w:w="40"/>
              <w:right w:type="dxa" w:w="80"/>
            </w:tcMar>
          </w:tcPr>
          <w:p>
            <w:r>
              <w:rPr>
                <w:b/>
                <w:bCs/>
                <w:sz w:val="18"/>
                <w:szCs w:val="18"/>
              </w:rPr>
              <w:t xml:space="preserve">Ditandai Metode</w:t>
            </w:r>
          </w:p>
        </w:tc>
        <w:tc>
          <w:tcPr>
            <w:tcW w:type="dxa" w:w="1805"/>
            <w:tcMar>
              <w:top w:type="dxa" w:w="40"/>
              <w:left w:type="dxa" w:w="80"/>
              <w:bottom w:type="dxa" w:w="40"/>
              <w:right w:type="dxa" w:w="80"/>
            </w:tcMar>
          </w:tcPr>
          <w:p>
            <w:r>
              <w:rPr>
                <w:b/>
                <w:bCs/>
                <w:sz w:val="18"/>
                <w:szCs w:val="18"/>
              </w:rPr>
              <w:t xml:space="preserve">Skor Kunci</w:t>
            </w:r>
          </w:p>
        </w:tc>
        <w:tc>
          <w:tcPr>
            <w:tcW w:type="dxa" w:w="1805"/>
            <w:tcMar>
              <w:top w:type="dxa" w:w="40"/>
              <w:left w:type="dxa" w:w="80"/>
              <w:bottom w:type="dxa" w:w="40"/>
              <w:right w:type="dxa" w:w="80"/>
            </w:tcMar>
          </w:tcPr>
          <w:p>
            <w:r>
              <w:rPr>
                <w:b/>
                <w:bCs/>
                <w:sz w:val="18"/>
                <w:szCs w:val="18"/>
              </w:rPr>
              <w:t xml:space="preserve">Tipe Outlier</w:t>
            </w:r>
          </w:p>
        </w:tc>
        <w:tc>
          <w:tcPr>
            <w:tcW w:type="dxa" w:w="1806"/>
            <w:tcMar>
              <w:top w:type="dxa" w:w="40"/>
              <w:left w:type="dxa" w:w="80"/>
              <w:bottom w:type="dxa" w:w="40"/>
              <w:right w:type="dxa" w:w="80"/>
            </w:tcMar>
          </w:tcPr>
          <w:p>
            <w:r>
              <w:rPr>
                <w:b/>
                <w:bCs/>
                <w:sz w:val="18"/>
                <w:szCs w:val="18"/>
              </w:rPr>
              <w:t xml:space="preserve">Interpretasi Bisnis</w:t>
            </w:r>
          </w:p>
        </w:tc>
      </w:tr>
      <w:tr>
        <w:tc>
          <w:tcPr>
            <w:tcW w:type="dxa" w:w="1805"/>
            <w:tcMar>
              <w:top w:type="dxa" w:w="40"/>
              <w:left w:type="dxa" w:w="80"/>
              <w:bottom w:type="dxa" w:w="40"/>
              <w:right w:type="dxa" w:w="80"/>
            </w:tcMar>
          </w:tcPr>
          <w:p>
            <w:r>
              <w:rPr>
                <w:sz w:val="18"/>
                <w:szCs w:val="18"/>
              </w:rPr>
              <w:t xml:space="preserve">4385</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327,8 dan Transaksi/Saldo 37,8</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ekstrem, eskalasi risiko</w:t>
            </w:r>
          </w:p>
        </w:tc>
      </w:tr>
      <w:tr>
        <w:tc>
          <w:tcPr>
            <w:tcW w:type="dxa" w:w="1805"/>
            <w:tcMar>
              <w:top w:type="dxa" w:w="40"/>
              <w:left w:type="dxa" w:w="80"/>
              <w:bottom w:type="dxa" w:w="40"/>
              <w:right w:type="dxa" w:w="80"/>
            </w:tcMar>
          </w:tcPr>
          <w:p>
            <w:r>
              <w:rPr>
                <w:sz w:val="18"/>
                <w:szCs w:val="18"/>
              </w:rPr>
              <w:t xml:space="preserve">2960</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403,9</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ekstrem, eskalasi risiko</w:t>
            </w:r>
          </w:p>
        </w:tc>
      </w:tr>
      <w:tr>
        <w:tc>
          <w:tcPr>
            <w:tcW w:type="dxa" w:w="1805"/>
            <w:tcMar>
              <w:top w:type="dxa" w:w="40"/>
              <w:left w:type="dxa" w:w="80"/>
              <w:bottom w:type="dxa" w:w="40"/>
              <w:right w:type="dxa" w:w="80"/>
            </w:tcMar>
          </w:tcPr>
          <w:p>
            <w:r>
              <w:rPr>
                <w:sz w:val="18"/>
                <w:szCs w:val="18"/>
              </w:rPr>
              <w:t xml:space="preserve">308</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251,9 dan CC 1,51</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dan kartu tertekan bersamaan</w:t>
            </w:r>
          </w:p>
        </w:tc>
      </w:tr>
      <w:tr>
        <w:tc>
          <w:tcPr>
            <w:tcW w:type="dxa" w:w="1805"/>
            <w:tcMar>
              <w:top w:type="dxa" w:w="40"/>
              <w:left w:type="dxa" w:w="80"/>
              <w:bottom w:type="dxa" w:w="40"/>
              <w:right w:type="dxa" w:w="80"/>
            </w:tcMar>
          </w:tcPr>
          <w:p>
            <w:r>
              <w:rPr>
                <w:sz w:val="18"/>
                <w:szCs w:val="18"/>
              </w:rPr>
              <w:t xml:space="preserve">4053</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289,6</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ekstrem, eskalasi risiko</w:t>
            </w:r>
          </w:p>
        </w:tc>
      </w:tr>
      <w:tr>
        <w:tc>
          <w:tcPr>
            <w:tcW w:type="dxa" w:w="1805"/>
            <w:tcMar>
              <w:top w:type="dxa" w:w="40"/>
              <w:left w:type="dxa" w:w="80"/>
              <w:bottom w:type="dxa" w:w="40"/>
              <w:right w:type="dxa" w:w="80"/>
            </w:tcMar>
          </w:tcPr>
          <w:p>
            <w:r>
              <w:rPr>
                <w:sz w:val="18"/>
                <w:szCs w:val="18"/>
              </w:rPr>
              <w:t xml:space="preserve">1874</w:t>
            </w:r>
          </w:p>
        </w:tc>
        <w:tc>
          <w:tcPr>
            <w:tcW w:type="dxa" w:w="1805"/>
            <w:tcMar>
              <w:top w:type="dxa" w:w="40"/>
              <w:left w:type="dxa" w:w="80"/>
              <w:bottom w:type="dxa" w:w="40"/>
              <w:right w:type="dxa" w:w="80"/>
            </w:tcMar>
          </w:tcPr>
          <w:p>
            <w:r>
              <w:rPr>
                <w:sz w:val="18"/>
                <w:szCs w:val="18"/>
              </w:rPr>
              <w:t xml:space="preserve">IQR, Z-Score, Isolation Forest</w:t>
            </w:r>
          </w:p>
        </w:tc>
        <w:tc>
          <w:tcPr>
            <w:tcW w:type="dxa" w:w="1805"/>
            <w:tcMar>
              <w:top w:type="dxa" w:w="40"/>
              <w:left w:type="dxa" w:w="80"/>
              <w:bottom w:type="dxa" w:w="40"/>
              <w:right w:type="dxa" w:w="80"/>
            </w:tcMar>
          </w:tcPr>
          <w:p>
            <w:r>
              <w:rPr>
                <w:sz w:val="18"/>
                <w:szCs w:val="18"/>
              </w:rPr>
              <w:t xml:space="preserve">Pinjaman/Saldo 327,4</w:t>
            </w:r>
          </w:p>
        </w:tc>
        <w:tc>
          <w:tcPr>
            <w:tcW w:type="dxa" w:w="1805"/>
            <w:tcMar>
              <w:top w:type="dxa" w:w="40"/>
              <w:left w:type="dxa" w:w="80"/>
              <w:bottom w:type="dxa" w:w="40"/>
              <w:right w:type="dxa" w:w="80"/>
            </w:tcMar>
          </w:tcPr>
          <w:p>
            <w:r>
              <w:rPr>
                <w:sz w:val="18"/>
                <w:szCs w:val="18"/>
              </w:rPr>
              <w:t xml:space="preserve">Point dan Structural</w:t>
            </w:r>
          </w:p>
        </w:tc>
        <w:tc>
          <w:tcPr>
            <w:tcW w:type="dxa" w:w="1806"/>
            <w:tcMar>
              <w:top w:type="dxa" w:w="40"/>
              <w:left w:type="dxa" w:w="80"/>
              <w:bottom w:type="dxa" w:w="40"/>
              <w:right w:type="dxa" w:w="80"/>
            </w:tcMar>
          </w:tcPr>
          <w:p>
            <w:r>
              <w:rPr>
                <w:sz w:val="18"/>
                <w:szCs w:val="18"/>
              </w:rPr>
              <w:t xml:space="preserve">Leverage ekstrem, eskalasi risiko</w:t>
            </w:r>
          </w:p>
        </w:tc>
      </w:tr>
    </w:tbl>
    <w:p>
      <w:pPr>
        <w:spacing w:after="120"/>
      </w:pPr>
    </w:p>
    <w:p>
      <w:pPr>
        <w:spacing w:after="120" w:line="276"/>
        <w:ind w:left="360"/>
        <w:jc w:val="both"/>
      </w:pPr>
      <w:r>
        <w:t xml:space="preserve">Tabel lengkap 1.504 record ter-flag tersimpan pada outputs/phase4/anomaly_report.csv beserta flag per metode, skor Isolation Forest, hasil silang cluster, dan klasifikasinya.</w:t>
      </w:r>
    </w:p>
    <w:p>
      <w:pPr>
        <w:pStyle w:val="Heading2"/>
        <w:spacing w:after="100" w:before="200"/>
        <w:ind w:left="240"/>
      </w:pPr>
      <w:r>
        <w:rPr>
          <w:color w:val="000000"/>
        </w:rPr>
        <w:t xml:space="preserve">Appendix D: Evaluation Metrics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c>
          <w:tcPr>
            <w:tcW w:type="dxa" w:w="3008"/>
            <w:tcMar>
              <w:top w:type="dxa" w:w="40"/>
              <w:left w:type="dxa" w:w="80"/>
              <w:bottom w:type="dxa" w:w="40"/>
              <w:right w:type="dxa" w:w="80"/>
            </w:tcMar>
          </w:tcPr>
          <w:p>
            <w:r>
              <w:rPr>
                <w:b/>
                <w:bCs/>
                <w:sz w:val="18"/>
                <w:szCs w:val="18"/>
              </w:rPr>
              <w:t xml:space="preserve">Phase</w:t>
            </w:r>
          </w:p>
        </w:tc>
        <w:tc>
          <w:tcPr>
            <w:tcW w:type="dxa" w:w="3008"/>
            <w:tcMar>
              <w:top w:type="dxa" w:w="40"/>
              <w:left w:type="dxa" w:w="80"/>
              <w:bottom w:type="dxa" w:w="40"/>
              <w:right w:type="dxa" w:w="80"/>
            </w:tcMar>
          </w:tcPr>
          <w:p>
            <w:r>
              <w:rPr>
                <w:b/>
                <w:bCs/>
                <w:sz w:val="18"/>
                <w:szCs w:val="18"/>
              </w:rPr>
              <w:t xml:space="preserve">Metric</w:t>
            </w:r>
          </w:p>
        </w:tc>
        <w:tc>
          <w:tcPr>
            <w:tcW w:type="dxa" w:w="3010"/>
            <w:tcMar>
              <w:top w:type="dxa" w:w="40"/>
              <w:left w:type="dxa" w:w="80"/>
              <w:bottom w:type="dxa" w:w="40"/>
              <w:right w:type="dxa" w:w="80"/>
            </w:tcMar>
          </w:tcPr>
          <w:p>
            <w:r>
              <w:rPr>
                <w:b/>
                <w:bCs/>
                <w:sz w:val="18"/>
                <w:szCs w:val="18"/>
              </w:rPr>
              <w:t xml:space="preserve">Value</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Silhouette Score K-Means pada K final 3</w:t>
            </w:r>
          </w:p>
        </w:tc>
        <w:tc>
          <w:tcPr>
            <w:tcW w:type="dxa" w:w="3010"/>
            <w:tcMar>
              <w:top w:type="dxa" w:w="40"/>
              <w:left w:type="dxa" w:w="80"/>
              <w:bottom w:type="dxa" w:w="40"/>
              <w:right w:type="dxa" w:w="80"/>
            </w:tcMar>
          </w:tcPr>
          <w:p>
            <w:r>
              <w:rPr>
                <w:sz w:val="18"/>
                <w:szCs w:val="18"/>
              </w:rPr>
              <w:t xml:space="preserve">0,571</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Silhouette Score Hierarchical Ward pada K final 3</w:t>
            </w:r>
          </w:p>
        </w:tc>
        <w:tc>
          <w:tcPr>
            <w:tcW w:type="dxa" w:w="3010"/>
            <w:tcMar>
              <w:top w:type="dxa" w:w="40"/>
              <w:left w:type="dxa" w:w="80"/>
              <w:bottom w:type="dxa" w:w="40"/>
              <w:right w:type="dxa" w:w="80"/>
            </w:tcMar>
          </w:tcPr>
          <w:p>
            <w:r>
              <w:rPr>
                <w:sz w:val="18"/>
                <w:szCs w:val="18"/>
              </w:rPr>
              <w:t xml:space="preserve">0,459</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Cophenetic Correlation linkage Ward (dipilih)</w:t>
            </w:r>
          </w:p>
        </w:tc>
        <w:tc>
          <w:tcPr>
            <w:tcW w:type="dxa" w:w="3010"/>
            <w:tcMar>
              <w:top w:type="dxa" w:w="40"/>
              <w:left w:type="dxa" w:w="80"/>
              <w:bottom w:type="dxa" w:w="40"/>
              <w:right w:type="dxa" w:w="80"/>
            </w:tcMar>
          </w:tcPr>
          <w:p>
            <w:r>
              <w:rPr>
                <w:sz w:val="18"/>
                <w:szCs w:val="18"/>
              </w:rPr>
              <w:t xml:space="preserve">0,786</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Cophenetic Correlation linkage Complete</w:t>
            </w:r>
          </w:p>
        </w:tc>
        <w:tc>
          <w:tcPr>
            <w:tcW w:type="dxa" w:w="3010"/>
            <w:tcMar>
              <w:top w:type="dxa" w:w="40"/>
              <w:left w:type="dxa" w:w="80"/>
              <w:bottom w:type="dxa" w:w="40"/>
              <w:right w:type="dxa" w:w="80"/>
            </w:tcMar>
          </w:tcPr>
          <w:p>
            <w:r>
              <w:rPr>
                <w:sz w:val="18"/>
                <w:szCs w:val="18"/>
              </w:rPr>
              <w:t xml:space="preserve">0,842</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Cophenetic Correlation linkage Average</w:t>
            </w:r>
          </w:p>
        </w:tc>
        <w:tc>
          <w:tcPr>
            <w:tcW w:type="dxa" w:w="3010"/>
            <w:tcMar>
              <w:top w:type="dxa" w:w="40"/>
              <w:left w:type="dxa" w:w="80"/>
              <w:bottom w:type="dxa" w:w="40"/>
              <w:right w:type="dxa" w:w="80"/>
            </w:tcMar>
          </w:tcPr>
          <w:p>
            <w:r>
              <w:rPr>
                <w:sz w:val="18"/>
                <w:szCs w:val="18"/>
              </w:rPr>
              <w:t xml:space="preserve">0,915</w:t>
            </w:r>
          </w:p>
        </w:tc>
      </w:tr>
      <w:tr>
        <w:tc>
          <w:tcPr>
            <w:tcW w:type="dxa" w:w="3008"/>
            <w:tcMar>
              <w:top w:type="dxa" w:w="40"/>
              <w:left w:type="dxa" w:w="80"/>
              <w:bottom w:type="dxa" w:w="40"/>
              <w:right w:type="dxa" w:w="80"/>
            </w:tcMar>
          </w:tcPr>
          <w:p>
            <w:r>
              <w:rPr>
                <w:sz w:val="18"/>
                <w:szCs w:val="18"/>
              </w:rPr>
              <w:t xml:space="preserve">Phase 2</w:t>
            </w:r>
          </w:p>
        </w:tc>
        <w:tc>
          <w:tcPr>
            <w:tcW w:type="dxa" w:w="3008"/>
            <w:tcMar>
              <w:top w:type="dxa" w:w="40"/>
              <w:left w:type="dxa" w:w="80"/>
              <w:bottom w:type="dxa" w:w="40"/>
              <w:right w:type="dxa" w:w="80"/>
            </w:tcMar>
          </w:tcPr>
          <w:p>
            <w:r>
              <w:rPr>
                <w:sz w:val="18"/>
                <w:szCs w:val="18"/>
              </w:rPr>
              <w:t xml:space="preserve">Adjusted Rand Index K-Means vs Hierarchical</w:t>
            </w:r>
          </w:p>
        </w:tc>
        <w:tc>
          <w:tcPr>
            <w:tcW w:type="dxa" w:w="3010"/>
            <w:tcMar>
              <w:top w:type="dxa" w:w="40"/>
              <w:left w:type="dxa" w:w="80"/>
              <w:bottom w:type="dxa" w:w="40"/>
              <w:right w:type="dxa" w:w="80"/>
            </w:tcMar>
          </w:tcPr>
          <w:p>
            <w:r>
              <w:rPr>
                <w:sz w:val="18"/>
                <w:szCs w:val="18"/>
              </w:rPr>
              <w:t xml:space="preserve">0,590</w:t>
            </w:r>
          </w:p>
        </w:tc>
      </w:tr>
      <w:tr>
        <w:tc>
          <w:tcPr>
            <w:tcW w:type="dxa" w:w="3008"/>
            <w:tcMar>
              <w:top w:type="dxa" w:w="40"/>
              <w:left w:type="dxa" w:w="80"/>
              <w:bottom w:type="dxa" w:w="40"/>
              <w:right w:type="dxa" w:w="80"/>
            </w:tcMar>
          </w:tcPr>
          <w:p>
            <w:r>
              <w:rPr>
                <w:sz w:val="18"/>
                <w:szCs w:val="18"/>
              </w:rPr>
              <w:t xml:space="preserve">Phase 3</w:t>
            </w:r>
          </w:p>
        </w:tc>
        <w:tc>
          <w:tcPr>
            <w:tcW w:type="dxa" w:w="3008"/>
            <w:tcMar>
              <w:top w:type="dxa" w:w="40"/>
              <w:left w:type="dxa" w:w="80"/>
              <w:bottom w:type="dxa" w:w="40"/>
              <w:right w:type="dxa" w:w="80"/>
            </w:tcMar>
          </w:tcPr>
          <w:p>
            <w:r>
              <w:rPr>
                <w:sz w:val="18"/>
                <w:szCs w:val="18"/>
              </w:rPr>
              <w:t xml:space="preserve">Jumlah aturan dibangkitkan sebelum penyaringan</w:t>
            </w:r>
          </w:p>
        </w:tc>
        <w:tc>
          <w:tcPr>
            <w:tcW w:type="dxa" w:w="3010"/>
            <w:tcMar>
              <w:top w:type="dxa" w:w="40"/>
              <w:left w:type="dxa" w:w="80"/>
              <w:bottom w:type="dxa" w:w="40"/>
              <w:right w:type="dxa" w:w="80"/>
            </w:tcMar>
          </w:tcPr>
          <w:p>
            <w:r>
              <w:rPr>
                <w:sz w:val="18"/>
                <w:szCs w:val="18"/>
              </w:rPr>
              <w:t xml:space="preserve">1.083.726</w:t>
            </w:r>
          </w:p>
        </w:tc>
      </w:tr>
      <w:tr>
        <w:tc>
          <w:tcPr>
            <w:tcW w:type="dxa" w:w="3008"/>
            <w:tcMar>
              <w:top w:type="dxa" w:w="40"/>
              <w:left w:type="dxa" w:w="80"/>
              <w:bottom w:type="dxa" w:w="40"/>
              <w:right w:type="dxa" w:w="80"/>
            </w:tcMar>
          </w:tcPr>
          <w:p>
            <w:r>
              <w:rPr>
                <w:sz w:val="18"/>
                <w:szCs w:val="18"/>
              </w:rPr>
              <w:t xml:space="preserve">Phase 3</w:t>
            </w:r>
          </w:p>
        </w:tc>
        <w:tc>
          <w:tcPr>
            <w:tcW w:type="dxa" w:w="3008"/>
            <w:tcMar>
              <w:top w:type="dxa" w:w="40"/>
              <w:left w:type="dxa" w:w="80"/>
              <w:bottom w:type="dxa" w:w="40"/>
              <w:right w:type="dxa" w:w="80"/>
            </w:tcMar>
          </w:tcPr>
          <w:p>
            <w:r>
              <w:rPr>
                <w:sz w:val="18"/>
                <w:szCs w:val="18"/>
              </w:rPr>
              <w:t xml:space="preserve">Jumlah aturan dipertahankan setelah penyaringan</w:t>
            </w:r>
          </w:p>
        </w:tc>
        <w:tc>
          <w:tcPr>
            <w:tcW w:type="dxa" w:w="3010"/>
            <w:tcMar>
              <w:top w:type="dxa" w:w="40"/>
              <w:left w:type="dxa" w:w="80"/>
              <w:bottom w:type="dxa" w:w="40"/>
              <w:right w:type="dxa" w:w="80"/>
            </w:tcMar>
          </w:tcPr>
          <w:p>
            <w:r>
              <w:rPr>
                <w:sz w:val="18"/>
                <w:szCs w:val="18"/>
              </w:rPr>
              <w:t xml:space="preserve">82</w:t>
            </w:r>
          </w:p>
        </w:tc>
      </w:tr>
      <w:tr>
        <w:tc>
          <w:tcPr>
            <w:tcW w:type="dxa" w:w="3008"/>
            <w:tcMar>
              <w:top w:type="dxa" w:w="40"/>
              <w:left w:type="dxa" w:w="80"/>
              <w:bottom w:type="dxa" w:w="40"/>
              <w:right w:type="dxa" w:w="80"/>
            </w:tcMar>
          </w:tcPr>
          <w:p>
            <w:r>
              <w:rPr>
                <w:sz w:val="18"/>
                <w:szCs w:val="18"/>
              </w:rPr>
              <w:t xml:space="preserve">Phase 3</w:t>
            </w:r>
          </w:p>
        </w:tc>
        <w:tc>
          <w:tcPr>
            <w:tcW w:type="dxa" w:w="3008"/>
            <w:tcMar>
              <w:top w:type="dxa" w:w="40"/>
              <w:left w:type="dxa" w:w="80"/>
              <w:bottom w:type="dxa" w:w="40"/>
              <w:right w:type="dxa" w:w="80"/>
            </w:tcMar>
          </w:tcPr>
          <w:p>
            <w:r>
              <w:rPr>
                <w:sz w:val="18"/>
                <w:szCs w:val="18"/>
              </w:rPr>
              <w:t xml:space="preserve">Lift tertinggi pada aturan yang dipertahankan</w:t>
            </w:r>
          </w:p>
        </w:tc>
        <w:tc>
          <w:tcPr>
            <w:tcW w:type="dxa" w:w="3010"/>
            <w:tcMar>
              <w:top w:type="dxa" w:w="40"/>
              <w:left w:type="dxa" w:w="80"/>
              <w:bottom w:type="dxa" w:w="40"/>
              <w:right w:type="dxa" w:w="80"/>
            </w:tcMar>
          </w:tcPr>
          <w:p>
            <w:r>
              <w:rPr>
                <w:sz w:val="18"/>
                <w:szCs w:val="18"/>
              </w:rPr>
              <w:t xml:space="preserve">1,662</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Total kandidat anomali sebelum korroborasi</w:t>
            </w:r>
          </w:p>
        </w:tc>
        <w:tc>
          <w:tcPr>
            <w:tcW w:type="dxa" w:w="3010"/>
            <w:tcMar>
              <w:top w:type="dxa" w:w="40"/>
              <w:left w:type="dxa" w:w="80"/>
              <w:bottom w:type="dxa" w:w="40"/>
              <w:right w:type="dxa" w:w="80"/>
            </w:tcMar>
          </w:tcPr>
          <w:p>
            <w:r>
              <w:rPr>
                <w:sz w:val="18"/>
                <w:szCs w:val="18"/>
              </w:rPr>
              <w:t xml:space="preserve">1.504</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Anomali terkonfirmasi minimal dua metode</w:t>
            </w:r>
          </w:p>
        </w:tc>
        <w:tc>
          <w:tcPr>
            <w:tcW w:type="dxa" w:w="3010"/>
            <w:tcMar>
              <w:top w:type="dxa" w:w="40"/>
              <w:left w:type="dxa" w:w="80"/>
              <w:bottom w:type="dxa" w:w="40"/>
              <w:right w:type="dxa" w:w="80"/>
            </w:tcMar>
          </w:tcPr>
          <w:p>
            <w:r>
              <w:rPr>
                <w:sz w:val="18"/>
                <w:szCs w:val="18"/>
              </w:rPr>
              <w:t xml:space="preserve">446</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Anomali disepakati ketiga metode</w:t>
            </w:r>
          </w:p>
        </w:tc>
        <w:tc>
          <w:tcPr>
            <w:tcW w:type="dxa" w:w="3010"/>
            <w:tcMar>
              <w:top w:type="dxa" w:w="40"/>
              <w:left w:type="dxa" w:w="80"/>
              <w:bottom w:type="dxa" w:w="40"/>
              <w:right w:type="dxa" w:w="80"/>
            </w:tcMar>
          </w:tcPr>
          <w:p>
            <w:r>
              <w:rPr>
                <w:sz w:val="18"/>
                <w:szCs w:val="18"/>
              </w:rPr>
              <w:t xml:space="preserve">25</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Nasabah Risk Signal untuk eskalasi</w:t>
            </w:r>
          </w:p>
        </w:tc>
        <w:tc>
          <w:tcPr>
            <w:tcW w:type="dxa" w:w="3010"/>
            <w:tcMar>
              <w:top w:type="dxa" w:w="40"/>
              <w:left w:type="dxa" w:w="80"/>
              <w:bottom w:type="dxa" w:w="40"/>
              <w:right w:type="dxa" w:w="80"/>
            </w:tcMar>
          </w:tcPr>
          <w:p>
            <w:r>
              <w:rPr>
                <w:sz w:val="18"/>
                <w:szCs w:val="18"/>
              </w:rPr>
              <w:t xml:space="preserve">255</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Precision konsensus terhadap label bawaan</w:t>
            </w:r>
          </w:p>
        </w:tc>
        <w:tc>
          <w:tcPr>
            <w:tcW w:type="dxa" w:w="3010"/>
            <w:tcMar>
              <w:top w:type="dxa" w:w="40"/>
              <w:left w:type="dxa" w:w="80"/>
              <w:bottom w:type="dxa" w:w="40"/>
              <w:right w:type="dxa" w:w="80"/>
            </w:tcMar>
          </w:tcPr>
          <w:p>
            <w:r>
              <w:rPr>
                <w:sz w:val="18"/>
                <w:szCs w:val="18"/>
              </w:rPr>
              <w:t xml:space="preserve">0,056</w:t>
            </w:r>
          </w:p>
        </w:tc>
      </w:tr>
      <w:tr>
        <w:tc>
          <w:tcPr>
            <w:tcW w:type="dxa" w:w="3008"/>
            <w:tcMar>
              <w:top w:type="dxa" w:w="40"/>
              <w:left w:type="dxa" w:w="80"/>
              <w:bottom w:type="dxa" w:w="40"/>
              <w:right w:type="dxa" w:w="80"/>
            </w:tcMar>
          </w:tcPr>
          <w:p>
            <w:r>
              <w:rPr>
                <w:sz w:val="18"/>
                <w:szCs w:val="18"/>
              </w:rPr>
              <w:t xml:space="preserve">Phase 4</w:t>
            </w:r>
          </w:p>
        </w:tc>
        <w:tc>
          <w:tcPr>
            <w:tcW w:type="dxa" w:w="3008"/>
            <w:tcMar>
              <w:top w:type="dxa" w:w="40"/>
              <w:left w:type="dxa" w:w="80"/>
              <w:bottom w:type="dxa" w:w="40"/>
              <w:right w:type="dxa" w:w="80"/>
            </w:tcMar>
          </w:tcPr>
          <w:p>
            <w:r>
              <w:rPr>
                <w:sz w:val="18"/>
                <w:szCs w:val="18"/>
              </w:rPr>
              <w:t xml:space="preserve">Recall konsensus terhadap label bawaan</w:t>
            </w:r>
          </w:p>
        </w:tc>
        <w:tc>
          <w:tcPr>
            <w:tcW w:type="dxa" w:w="3010"/>
            <w:tcMar>
              <w:top w:type="dxa" w:w="40"/>
              <w:left w:type="dxa" w:w="80"/>
              <w:bottom w:type="dxa" w:w="40"/>
              <w:right w:type="dxa" w:w="80"/>
            </w:tcMar>
          </w:tcPr>
          <w:p>
            <w:r>
              <w:rPr>
                <w:sz w:val="18"/>
                <w:szCs w:val="18"/>
              </w:rPr>
              <w:t xml:space="preserve">0,083</w:t>
            </w:r>
          </w:p>
        </w:tc>
      </w:tr>
    </w:tbl>
    <w:p>
      <w:pPr>
        <w:spacing w:after="12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30"/>
      <w:szCs w:val="30"/>
    </w:rPr>
  </w:style>
  <w:style w:type="paragraph" w:styleId="Heading2">
    <w:name w:val="Heading 2"/>
    <w:basedOn w:val="Normal"/>
    <w:next w:val="Normal"/>
    <w:qFormat/>
    <w:rPr>
      <w:rFonts w:ascii="Calibri" w:cs="Calibri" w:eastAsia="Calibri" w:hAnsi="Calibri"/>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Discovery Report - Banking Transaction</dc:title>
  <dc:creator>Kelompok 6 - Banking Transaction</dc:creator>
  <dc:description>Laporan Knowledge Discovery mengikuti template resmi: Executive Summary, Dataset and Methodology, Findings, Limitations, Appendix.</dc:description>
  <cp:lastModifiedBy>Un-named</cp:lastModifiedBy>
  <cp:revision>1</cp:revision>
  <dcterms:created xsi:type="dcterms:W3CDTF">2026-07-14T01:46:10.817Z</dcterms:created>
  <dcterms:modified xsi:type="dcterms:W3CDTF">2026-07-14T01:46:10.828Z</dcterms:modified>
</cp:coreProperties>
</file>

<file path=docProps/custom.xml><?xml version="1.0" encoding="utf-8"?>
<Properties xmlns="http://schemas.openxmlformats.org/officeDocument/2006/custom-properties" xmlns:vt="http://schemas.openxmlformats.org/officeDocument/2006/docPropsVTypes"/>
</file>